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59C23" w14:textId="77777777" w:rsidR="00744B3E" w:rsidRPr="009672FC" w:rsidRDefault="00744B3E" w:rsidP="00744B3E">
      <w:pPr>
        <w:jc w:val="center"/>
        <w:rPr>
          <w:rFonts w:ascii="Garamond" w:hAnsi="Garamond"/>
          <w:sz w:val="36"/>
          <w:szCs w:val="36"/>
        </w:rPr>
      </w:pPr>
      <w:r w:rsidRPr="009672FC">
        <w:rPr>
          <w:rFonts w:ascii="Garamond" w:hAnsi="Garamond"/>
          <w:sz w:val="36"/>
          <w:szCs w:val="36"/>
        </w:rPr>
        <w:t>UNIVERSITA’ DEGLI STUDI DI VERONA</w:t>
      </w:r>
    </w:p>
    <w:p w14:paraId="72D3CDB1" w14:textId="77777777" w:rsidR="00744B3E" w:rsidRPr="009672FC" w:rsidRDefault="00744B3E" w:rsidP="00744B3E">
      <w:pPr>
        <w:jc w:val="center"/>
        <w:rPr>
          <w:rFonts w:ascii="Garamond" w:hAnsi="Garamond"/>
          <w:sz w:val="40"/>
          <w:szCs w:val="40"/>
        </w:rPr>
      </w:pPr>
    </w:p>
    <w:p w14:paraId="4286FD7B" w14:textId="77777777" w:rsidR="00744B3E" w:rsidRPr="009672FC" w:rsidRDefault="00744B3E" w:rsidP="00744B3E">
      <w:pPr>
        <w:jc w:val="center"/>
        <w:rPr>
          <w:rFonts w:ascii="Garamond" w:hAnsi="Garamond"/>
          <w:i/>
        </w:rPr>
      </w:pPr>
    </w:p>
    <w:p w14:paraId="4FB72D07" w14:textId="6490DC24" w:rsidR="00744B3E" w:rsidRPr="009672FC" w:rsidRDefault="00744B3E" w:rsidP="00744B3E">
      <w:pPr>
        <w:jc w:val="center"/>
        <w:rPr>
          <w:rFonts w:ascii="Garamond" w:hAnsi="Garamond"/>
          <w:i/>
          <w:lang w:val="en-GB"/>
        </w:rPr>
      </w:pPr>
      <w:r w:rsidRPr="009672FC">
        <w:rPr>
          <w:rFonts w:ascii="Garamond" w:hAnsi="Garamond"/>
          <w:i/>
          <w:lang w:val="en-GB"/>
        </w:rPr>
        <w:t xml:space="preserve">DEPARTMENT OF ECONOMICS </w:t>
      </w:r>
    </w:p>
    <w:p w14:paraId="41473B1C" w14:textId="77777777" w:rsidR="00744B3E" w:rsidRPr="009672FC" w:rsidRDefault="00744B3E" w:rsidP="00744B3E">
      <w:pPr>
        <w:jc w:val="center"/>
        <w:rPr>
          <w:rFonts w:ascii="Garamond" w:hAnsi="Garamond"/>
          <w:i/>
          <w:lang w:val="en-GB"/>
        </w:rPr>
      </w:pPr>
    </w:p>
    <w:p w14:paraId="5FDE2CF4" w14:textId="77777777" w:rsidR="00744B3E" w:rsidRPr="009672FC" w:rsidRDefault="00744B3E" w:rsidP="00744B3E">
      <w:pPr>
        <w:jc w:val="center"/>
        <w:rPr>
          <w:rFonts w:ascii="Garamond" w:hAnsi="Garamond"/>
          <w:b/>
          <w:i/>
          <w:lang w:val="en-GB"/>
        </w:rPr>
      </w:pPr>
    </w:p>
    <w:p w14:paraId="696F87AC" w14:textId="59FAD425" w:rsidR="00744B3E" w:rsidRPr="009672FC" w:rsidRDefault="00744B3E" w:rsidP="00744B3E">
      <w:pPr>
        <w:jc w:val="center"/>
        <w:rPr>
          <w:rFonts w:ascii="Garamond" w:hAnsi="Garamond"/>
          <w:i/>
          <w:lang w:val="en-GB"/>
        </w:rPr>
      </w:pPr>
      <w:r w:rsidRPr="009672FC">
        <w:rPr>
          <w:rFonts w:ascii="Garamond" w:hAnsi="Garamond"/>
          <w:i/>
          <w:lang w:val="en-GB"/>
        </w:rPr>
        <w:t>GRADUATE SCHOOL OF ECONOMICS AND LEGAL SCIENCES</w:t>
      </w:r>
    </w:p>
    <w:p w14:paraId="76B4B510" w14:textId="77777777" w:rsidR="00744B3E" w:rsidRPr="009672FC" w:rsidRDefault="00744B3E" w:rsidP="00744B3E">
      <w:pPr>
        <w:jc w:val="center"/>
        <w:rPr>
          <w:rFonts w:ascii="Garamond" w:hAnsi="Garamond"/>
          <w:i/>
          <w:lang w:val="en-GB"/>
        </w:rPr>
      </w:pPr>
    </w:p>
    <w:p w14:paraId="5DDA1DD4" w14:textId="77777777" w:rsidR="00744B3E" w:rsidRPr="009672FC" w:rsidRDefault="00744B3E" w:rsidP="00744B3E">
      <w:pPr>
        <w:jc w:val="center"/>
        <w:rPr>
          <w:rFonts w:ascii="Garamond" w:hAnsi="Garamond"/>
          <w:b/>
          <w:i/>
          <w:lang w:val="en-GB"/>
        </w:rPr>
      </w:pPr>
    </w:p>
    <w:p w14:paraId="13B72695" w14:textId="77777777" w:rsidR="00744B3E" w:rsidRPr="009672FC" w:rsidRDefault="00744B3E" w:rsidP="00744B3E">
      <w:pPr>
        <w:jc w:val="center"/>
        <w:rPr>
          <w:rFonts w:ascii="Garamond" w:hAnsi="Garamond"/>
          <w:i/>
          <w:lang w:val="en-GB"/>
        </w:rPr>
      </w:pPr>
    </w:p>
    <w:p w14:paraId="6A16A837" w14:textId="2CF3986C" w:rsidR="00744B3E" w:rsidRPr="009672FC" w:rsidRDefault="00744B3E" w:rsidP="00744B3E">
      <w:pPr>
        <w:jc w:val="center"/>
        <w:rPr>
          <w:rFonts w:ascii="Garamond" w:hAnsi="Garamond"/>
          <w:i/>
          <w:lang w:val="en-GB"/>
        </w:rPr>
      </w:pPr>
      <w:r w:rsidRPr="009672FC">
        <w:rPr>
          <w:rFonts w:ascii="Garamond" w:hAnsi="Garamond"/>
          <w:i/>
          <w:lang w:val="en-GB"/>
        </w:rPr>
        <w:t xml:space="preserve">DOCTORAL PROGRAM IN </w:t>
      </w:r>
    </w:p>
    <w:p w14:paraId="182B414D" w14:textId="054CEA00" w:rsidR="00744B3E" w:rsidRPr="009672FC" w:rsidRDefault="00744B3E" w:rsidP="00744B3E">
      <w:pPr>
        <w:jc w:val="center"/>
        <w:rPr>
          <w:rFonts w:ascii="Garamond" w:hAnsi="Garamond"/>
          <w:i/>
          <w:lang w:val="en-GB"/>
        </w:rPr>
      </w:pPr>
      <w:r w:rsidRPr="009672FC">
        <w:rPr>
          <w:rFonts w:ascii="Garamond" w:hAnsi="Garamond"/>
          <w:i/>
          <w:lang w:val="en-GB"/>
        </w:rPr>
        <w:t>MANAGEMENT AND ECONOMICS</w:t>
      </w:r>
    </w:p>
    <w:p w14:paraId="02403D58" w14:textId="77777777" w:rsidR="00744B3E" w:rsidRPr="009672FC" w:rsidRDefault="00744B3E" w:rsidP="00744B3E">
      <w:pPr>
        <w:jc w:val="center"/>
        <w:rPr>
          <w:rFonts w:ascii="Garamond" w:hAnsi="Garamond"/>
          <w:i/>
          <w:lang w:val="en-GB"/>
        </w:rPr>
      </w:pPr>
    </w:p>
    <w:p w14:paraId="757E1A01" w14:textId="77777777" w:rsidR="00744B3E" w:rsidRPr="009672FC" w:rsidRDefault="00744B3E" w:rsidP="00744B3E">
      <w:pPr>
        <w:jc w:val="center"/>
        <w:rPr>
          <w:rFonts w:ascii="Garamond" w:hAnsi="Garamond"/>
          <w:i/>
          <w:lang w:val="en-GB"/>
        </w:rPr>
      </w:pPr>
      <w:r w:rsidRPr="009672FC">
        <w:rPr>
          <w:rFonts w:ascii="Garamond" w:hAnsi="Garamond"/>
          <w:i/>
          <w:lang w:val="en-GB"/>
        </w:rPr>
        <w:t xml:space="preserve">WITH THE FINANCIAL CONTRIBUTION OF </w:t>
      </w:r>
    </w:p>
    <w:p w14:paraId="01B88BAF" w14:textId="77777777" w:rsidR="00744B3E" w:rsidRPr="009672FC" w:rsidRDefault="00744B3E" w:rsidP="00744B3E">
      <w:pPr>
        <w:jc w:val="center"/>
        <w:rPr>
          <w:rFonts w:ascii="Garamond" w:hAnsi="Garamond"/>
          <w:i/>
          <w:lang w:val="en-GB"/>
        </w:rPr>
      </w:pPr>
      <w:r w:rsidRPr="009672FC">
        <w:rPr>
          <w:rFonts w:ascii="Garamond" w:hAnsi="Garamond"/>
          <w:i/>
          <w:lang w:val="en-GB"/>
        </w:rPr>
        <w:t>(NAME IF THE FUNDING INSTITUTION)</w:t>
      </w:r>
    </w:p>
    <w:p w14:paraId="1FD37199" w14:textId="77777777" w:rsidR="00744B3E" w:rsidRPr="009672FC" w:rsidRDefault="00744B3E" w:rsidP="00744B3E">
      <w:pPr>
        <w:jc w:val="center"/>
        <w:rPr>
          <w:rFonts w:ascii="Garamond" w:hAnsi="Garamond"/>
          <w:i/>
          <w:lang w:val="en-GB"/>
        </w:rPr>
      </w:pPr>
    </w:p>
    <w:p w14:paraId="0DB9B6D5" w14:textId="19849822" w:rsidR="00744B3E" w:rsidRPr="009672FC" w:rsidRDefault="00744B3E" w:rsidP="00744B3E">
      <w:pPr>
        <w:jc w:val="center"/>
        <w:rPr>
          <w:rFonts w:ascii="Garamond" w:hAnsi="Garamond"/>
          <w:i/>
          <w:lang w:val="en-GB"/>
        </w:rPr>
      </w:pPr>
      <w:r w:rsidRPr="009672FC">
        <w:rPr>
          <w:rFonts w:ascii="Garamond" w:hAnsi="Garamond"/>
          <w:i/>
          <w:lang w:val="en-GB"/>
        </w:rPr>
        <w:t>UNIVERSITY OF VERONA</w:t>
      </w:r>
    </w:p>
    <w:p w14:paraId="28A7AEFF" w14:textId="77777777" w:rsidR="00744B3E" w:rsidRPr="009672FC" w:rsidRDefault="00744B3E" w:rsidP="00744B3E">
      <w:pPr>
        <w:jc w:val="center"/>
        <w:rPr>
          <w:rFonts w:ascii="Garamond" w:hAnsi="Garamond"/>
          <w:i/>
          <w:lang w:val="en-GB"/>
        </w:rPr>
      </w:pPr>
    </w:p>
    <w:p w14:paraId="43F12728" w14:textId="77777777" w:rsidR="00744B3E" w:rsidRPr="009672FC" w:rsidRDefault="00744B3E" w:rsidP="00744B3E">
      <w:pPr>
        <w:jc w:val="center"/>
        <w:rPr>
          <w:rFonts w:ascii="Garamond" w:hAnsi="Garamond"/>
          <w:lang w:val="en-GB"/>
        </w:rPr>
      </w:pPr>
    </w:p>
    <w:p w14:paraId="1577FE0E" w14:textId="1BF8C50E" w:rsidR="00744B3E" w:rsidRPr="009672FC" w:rsidRDefault="00B93B10" w:rsidP="00744B3E">
      <w:pPr>
        <w:jc w:val="center"/>
        <w:rPr>
          <w:rFonts w:ascii="Garamond" w:hAnsi="Garamond"/>
          <w:lang w:val="en-GB"/>
        </w:rPr>
      </w:pPr>
      <w:r w:rsidRPr="009672FC">
        <w:rPr>
          <w:rFonts w:ascii="Garamond" w:hAnsi="Garamond"/>
          <w:lang w:val="en-GB"/>
        </w:rPr>
        <w:t xml:space="preserve">Cycle </w:t>
      </w:r>
      <w:r w:rsidR="00744B3E" w:rsidRPr="009672FC">
        <w:rPr>
          <w:rFonts w:ascii="Garamond" w:hAnsi="Garamond"/>
          <w:lang w:val="en-GB"/>
        </w:rPr>
        <w:t>XXXIV, 2018-20</w:t>
      </w:r>
      <w:r w:rsidR="00980AC9" w:rsidRPr="009672FC">
        <w:rPr>
          <w:rFonts w:ascii="Garamond" w:hAnsi="Garamond"/>
          <w:lang w:val="en-GB"/>
        </w:rPr>
        <w:t>21</w:t>
      </w:r>
    </w:p>
    <w:p w14:paraId="375A0E5E" w14:textId="77777777" w:rsidR="00744B3E" w:rsidRPr="009672FC" w:rsidRDefault="00744B3E" w:rsidP="00744B3E">
      <w:pPr>
        <w:jc w:val="center"/>
        <w:rPr>
          <w:rFonts w:ascii="Garamond" w:hAnsi="Garamond"/>
          <w:lang w:val="en-GB"/>
        </w:rPr>
      </w:pPr>
    </w:p>
    <w:p w14:paraId="14E5F73B" w14:textId="77777777" w:rsidR="00744B3E" w:rsidRPr="009672FC" w:rsidRDefault="00744B3E" w:rsidP="00744B3E">
      <w:pPr>
        <w:jc w:val="center"/>
        <w:rPr>
          <w:rFonts w:ascii="Garamond" w:hAnsi="Garamond"/>
        </w:rPr>
      </w:pPr>
      <w:r w:rsidRPr="009672FC">
        <w:rPr>
          <w:rFonts w:ascii="Garamond" w:hAnsi="Garamond"/>
        </w:rPr>
        <w:t>TITLE OF THE DOCTORAL THESIS</w:t>
      </w:r>
    </w:p>
    <w:p w14:paraId="554A460F" w14:textId="77777777" w:rsidR="00744B3E" w:rsidRPr="009672FC" w:rsidRDefault="00744B3E" w:rsidP="00744B3E">
      <w:pPr>
        <w:jc w:val="center"/>
        <w:rPr>
          <w:rFonts w:ascii="Garamond" w:hAnsi="Garamond"/>
        </w:rPr>
      </w:pPr>
    </w:p>
    <w:p w14:paraId="306EA415" w14:textId="38998517" w:rsidR="00D3508B" w:rsidRPr="009672FC" w:rsidRDefault="00D3508B" w:rsidP="00D3508B">
      <w:pPr>
        <w:pStyle w:val="MDPI19line"/>
        <w:spacing w:after="0"/>
        <w:ind w:left="720" w:right="720"/>
        <w:jc w:val="center"/>
        <w:rPr>
          <w:rFonts w:ascii="Garamond" w:hAnsi="Garamond" w:cs="Times New Roman"/>
          <w:sz w:val="24"/>
        </w:rPr>
      </w:pPr>
    </w:p>
    <w:p w14:paraId="191DF745" w14:textId="273A492F" w:rsidR="00980AC9" w:rsidRPr="009672FC" w:rsidRDefault="00D3508B" w:rsidP="00D3508B">
      <w:pPr>
        <w:pStyle w:val="MDPI19line"/>
        <w:spacing w:after="0"/>
        <w:ind w:left="720" w:right="720"/>
        <w:jc w:val="center"/>
        <w:rPr>
          <w:rFonts w:ascii="Garamond" w:hAnsi="Garamond" w:cs="Times New Roman"/>
          <w:sz w:val="24"/>
        </w:rPr>
      </w:pPr>
      <w:r w:rsidRPr="009672FC">
        <w:rPr>
          <w:rFonts w:ascii="Garamond" w:hAnsi="Garamond" w:cs="Times New Roman"/>
          <w:sz w:val="24"/>
        </w:rPr>
        <w:t>Managing Relational Capabilities of Inter-Organizational Innovation Ecosystems: Emp</w:t>
      </w:r>
      <w:r w:rsidR="00F20DD7">
        <w:rPr>
          <w:rFonts w:ascii="Garamond" w:hAnsi="Garamond" w:cs="Times New Roman"/>
          <w:sz w:val="24"/>
        </w:rPr>
        <w:t>i</w:t>
      </w:r>
      <w:r w:rsidRPr="009672FC">
        <w:rPr>
          <w:rFonts w:ascii="Garamond" w:hAnsi="Garamond" w:cs="Times New Roman"/>
          <w:sz w:val="24"/>
        </w:rPr>
        <w:t>rical Investigations</w:t>
      </w:r>
    </w:p>
    <w:p w14:paraId="1CA04F87" w14:textId="77777777" w:rsidR="00744B3E" w:rsidRPr="009672FC" w:rsidRDefault="00744B3E" w:rsidP="00744B3E">
      <w:pPr>
        <w:rPr>
          <w:rFonts w:ascii="Garamond" w:hAnsi="Garamond"/>
        </w:rPr>
      </w:pPr>
    </w:p>
    <w:p w14:paraId="2668989B" w14:textId="77777777" w:rsidR="00B93B10" w:rsidRPr="009672FC" w:rsidRDefault="00B93B10" w:rsidP="00744B3E">
      <w:pPr>
        <w:jc w:val="center"/>
        <w:rPr>
          <w:rFonts w:ascii="Garamond" w:hAnsi="Garamond"/>
        </w:rPr>
      </w:pPr>
    </w:p>
    <w:p w14:paraId="203A2A5E" w14:textId="2F59E310" w:rsidR="00744B3E" w:rsidRPr="009672FC" w:rsidRDefault="00D3508B" w:rsidP="00744B3E">
      <w:pPr>
        <w:jc w:val="center"/>
        <w:rPr>
          <w:rFonts w:ascii="Garamond" w:hAnsi="Garamond"/>
        </w:rPr>
      </w:pPr>
      <w:r w:rsidRPr="009672FC">
        <w:rPr>
          <w:rFonts w:ascii="Garamond" w:hAnsi="Garamond"/>
        </w:rPr>
        <w:t>Thesis Defense Committee</w:t>
      </w:r>
    </w:p>
    <w:p w14:paraId="1E9AABA5" w14:textId="38652D57" w:rsidR="00D3508B" w:rsidRPr="009672FC" w:rsidRDefault="00D3508B" w:rsidP="00D3508B">
      <w:pPr>
        <w:jc w:val="center"/>
        <w:rPr>
          <w:rFonts w:ascii="Garamond" w:hAnsi="Garamond"/>
        </w:rPr>
      </w:pPr>
    </w:p>
    <w:p w14:paraId="72781F8D" w14:textId="77777777" w:rsidR="00744B3E" w:rsidRPr="009672FC" w:rsidRDefault="00744B3E" w:rsidP="00744B3E">
      <w:pPr>
        <w:rPr>
          <w:rFonts w:ascii="Garamond" w:hAnsi="Garamond"/>
          <w:lang w:val="en-GB"/>
        </w:rPr>
      </w:pPr>
    </w:p>
    <w:p w14:paraId="055F6866" w14:textId="77777777" w:rsidR="00744B3E" w:rsidRPr="009672FC" w:rsidRDefault="00744B3E" w:rsidP="00744B3E">
      <w:pPr>
        <w:rPr>
          <w:rFonts w:ascii="Garamond" w:hAnsi="Garamond"/>
        </w:rPr>
      </w:pPr>
    </w:p>
    <w:p w14:paraId="3ECD151F" w14:textId="77777777" w:rsidR="00B93B10" w:rsidRPr="009672FC" w:rsidRDefault="00B93B10" w:rsidP="00744B3E">
      <w:pPr>
        <w:rPr>
          <w:rFonts w:ascii="Garamond" w:hAnsi="Garamond"/>
        </w:rPr>
      </w:pPr>
    </w:p>
    <w:p w14:paraId="68F237F7" w14:textId="77777777" w:rsidR="00B93B10" w:rsidRPr="009672FC" w:rsidRDefault="00B93B10" w:rsidP="00744B3E">
      <w:pPr>
        <w:rPr>
          <w:rFonts w:ascii="Garamond" w:hAnsi="Garamond"/>
        </w:rPr>
      </w:pPr>
    </w:p>
    <w:p w14:paraId="1A3262D7" w14:textId="77777777" w:rsidR="00B93B10" w:rsidRPr="009672FC" w:rsidRDefault="00B93B10" w:rsidP="00744B3E">
      <w:pPr>
        <w:rPr>
          <w:rFonts w:ascii="Garamond" w:hAnsi="Garamond"/>
        </w:rPr>
      </w:pPr>
    </w:p>
    <w:p w14:paraId="0BBD4313" w14:textId="77777777" w:rsidR="00B93B10" w:rsidRPr="009672FC" w:rsidRDefault="00B93B10" w:rsidP="00744B3E">
      <w:pPr>
        <w:rPr>
          <w:rFonts w:ascii="Garamond" w:hAnsi="Garamond"/>
        </w:rPr>
      </w:pPr>
    </w:p>
    <w:p w14:paraId="3834D46B" w14:textId="1A06A38E" w:rsidR="00744B3E" w:rsidRPr="009672FC" w:rsidRDefault="00744B3E" w:rsidP="00744B3E">
      <w:pPr>
        <w:rPr>
          <w:rFonts w:ascii="Garamond" w:hAnsi="Garamond"/>
        </w:rPr>
      </w:pPr>
      <w:r w:rsidRPr="009672FC">
        <w:rPr>
          <w:rFonts w:ascii="Garamond" w:hAnsi="Garamond"/>
        </w:rPr>
        <w:t xml:space="preserve">Coordinator: </w:t>
      </w:r>
      <w:r w:rsidRPr="009672FC">
        <w:rPr>
          <w:rFonts w:ascii="Garamond" w:hAnsi="Garamond"/>
        </w:rPr>
        <w:tab/>
        <w:t>Prof.</w:t>
      </w:r>
      <w:r w:rsidR="00D3508B" w:rsidRPr="009672FC">
        <w:rPr>
          <w:rFonts w:ascii="Garamond" w:hAnsi="Garamond"/>
        </w:rPr>
        <w:t xml:space="preserve"> Roberto Ricciuti </w:t>
      </w:r>
    </w:p>
    <w:p w14:paraId="5DC5CBA9" w14:textId="77777777" w:rsidR="00744B3E" w:rsidRPr="009672FC" w:rsidRDefault="00744B3E" w:rsidP="00744B3E">
      <w:pPr>
        <w:rPr>
          <w:rFonts w:ascii="Garamond" w:hAnsi="Garamond"/>
        </w:rPr>
      </w:pPr>
    </w:p>
    <w:p w14:paraId="0822F47B" w14:textId="2572D212" w:rsidR="00744B3E" w:rsidRPr="009672FC" w:rsidRDefault="00744B3E" w:rsidP="00744B3E">
      <w:pPr>
        <w:rPr>
          <w:rFonts w:ascii="Garamond" w:hAnsi="Garamond"/>
        </w:rPr>
      </w:pPr>
      <w:r w:rsidRPr="009672FC">
        <w:rPr>
          <w:rFonts w:ascii="Garamond" w:hAnsi="Garamond"/>
        </w:rPr>
        <w:tab/>
        <w:t xml:space="preserve">       </w:t>
      </w:r>
    </w:p>
    <w:p w14:paraId="4009BD3E" w14:textId="77777777" w:rsidR="00744B3E" w:rsidRPr="009672FC" w:rsidRDefault="00744B3E" w:rsidP="00744B3E">
      <w:pPr>
        <w:jc w:val="right"/>
        <w:rPr>
          <w:rFonts w:ascii="Garamond" w:hAnsi="Garamond"/>
        </w:rPr>
      </w:pPr>
    </w:p>
    <w:p w14:paraId="50ADD3F5" w14:textId="42618567" w:rsidR="00744B3E" w:rsidRPr="009672FC" w:rsidRDefault="00744B3E" w:rsidP="00744B3E">
      <w:pPr>
        <w:rPr>
          <w:rFonts w:ascii="Garamond" w:hAnsi="Garamond"/>
        </w:rPr>
      </w:pPr>
      <w:r w:rsidRPr="009672FC">
        <w:rPr>
          <w:rFonts w:ascii="Garamond" w:hAnsi="Garamond"/>
        </w:rPr>
        <w:t xml:space="preserve">Tutor: </w:t>
      </w:r>
      <w:r w:rsidRPr="009672FC">
        <w:rPr>
          <w:rFonts w:ascii="Garamond" w:hAnsi="Garamond"/>
        </w:rPr>
        <w:tab/>
      </w:r>
      <w:r w:rsidRPr="009672FC">
        <w:rPr>
          <w:rFonts w:ascii="Garamond" w:hAnsi="Garamond"/>
        </w:rPr>
        <w:tab/>
        <w:t>Prof.</w:t>
      </w:r>
      <w:r w:rsidR="00D3508B" w:rsidRPr="009672FC">
        <w:rPr>
          <w:rFonts w:ascii="Garamond" w:hAnsi="Garamond"/>
        </w:rPr>
        <w:t xml:space="preserve"> Cecilia Rossignoli</w:t>
      </w:r>
    </w:p>
    <w:p w14:paraId="37A92F14" w14:textId="77777777" w:rsidR="00744B3E" w:rsidRPr="009672FC" w:rsidRDefault="00744B3E" w:rsidP="00744B3E">
      <w:pPr>
        <w:rPr>
          <w:rFonts w:ascii="Garamond" w:hAnsi="Garamond"/>
        </w:rPr>
      </w:pPr>
    </w:p>
    <w:p w14:paraId="707FDA45" w14:textId="40F1CA9D" w:rsidR="00744B3E" w:rsidRPr="009672FC" w:rsidRDefault="00744B3E" w:rsidP="00744B3E">
      <w:pPr>
        <w:rPr>
          <w:rFonts w:ascii="Garamond" w:hAnsi="Garamond"/>
        </w:rPr>
      </w:pPr>
      <w:r w:rsidRPr="009672FC">
        <w:rPr>
          <w:rFonts w:ascii="Garamond" w:hAnsi="Garamond"/>
        </w:rPr>
        <w:tab/>
      </w:r>
      <w:r w:rsidRPr="009672FC">
        <w:rPr>
          <w:rFonts w:ascii="Garamond" w:hAnsi="Garamond"/>
        </w:rPr>
        <w:tab/>
      </w:r>
    </w:p>
    <w:p w14:paraId="73E57842" w14:textId="77777777" w:rsidR="00744B3E" w:rsidRPr="009672FC" w:rsidRDefault="00744B3E" w:rsidP="00744B3E">
      <w:pPr>
        <w:rPr>
          <w:rFonts w:ascii="Garamond" w:hAnsi="Garamond"/>
        </w:rPr>
      </w:pPr>
    </w:p>
    <w:p w14:paraId="45436B18" w14:textId="77777777" w:rsidR="00744B3E" w:rsidRPr="009672FC" w:rsidRDefault="00744B3E" w:rsidP="00744B3E">
      <w:pPr>
        <w:rPr>
          <w:rFonts w:ascii="Garamond" w:hAnsi="Garamond"/>
        </w:rPr>
      </w:pPr>
      <w:r w:rsidRPr="009672FC">
        <w:rPr>
          <w:rFonts w:ascii="Garamond" w:hAnsi="Garamond"/>
        </w:rPr>
        <w:tab/>
      </w:r>
      <w:r w:rsidRPr="009672FC">
        <w:rPr>
          <w:rFonts w:ascii="Garamond" w:hAnsi="Garamond"/>
        </w:rPr>
        <w:tab/>
      </w:r>
      <w:r w:rsidRPr="009672FC">
        <w:rPr>
          <w:rFonts w:ascii="Garamond" w:hAnsi="Garamond"/>
        </w:rPr>
        <w:tab/>
      </w:r>
      <w:r w:rsidRPr="009672FC">
        <w:rPr>
          <w:rFonts w:ascii="Garamond" w:hAnsi="Garamond"/>
        </w:rPr>
        <w:tab/>
      </w:r>
      <w:r w:rsidRPr="009672FC">
        <w:rPr>
          <w:rFonts w:ascii="Garamond" w:hAnsi="Garamond"/>
        </w:rPr>
        <w:tab/>
      </w:r>
      <w:r w:rsidRPr="009672FC">
        <w:rPr>
          <w:rFonts w:ascii="Garamond" w:hAnsi="Garamond"/>
        </w:rPr>
        <w:tab/>
      </w:r>
    </w:p>
    <w:p w14:paraId="3C74B1E9" w14:textId="77777777" w:rsidR="00F558D6" w:rsidRDefault="00744B3E" w:rsidP="00F558D6">
      <w:pPr>
        <w:jc w:val="center"/>
        <w:rPr>
          <w:rFonts w:ascii="Garamond" w:hAnsi="Garamond"/>
          <w:lang w:val="en-GB"/>
        </w:rPr>
      </w:pPr>
      <w:r w:rsidRPr="009672FC">
        <w:rPr>
          <w:rFonts w:ascii="Garamond" w:hAnsi="Garamond"/>
          <w:lang w:val="en-GB"/>
        </w:rPr>
        <w:t xml:space="preserve">Doctoral Student: </w:t>
      </w:r>
    </w:p>
    <w:p w14:paraId="46705FF2" w14:textId="51C98EB6" w:rsidR="00744B3E" w:rsidRPr="009672FC" w:rsidRDefault="00744B3E" w:rsidP="00F558D6">
      <w:pPr>
        <w:jc w:val="center"/>
        <w:rPr>
          <w:rFonts w:ascii="Garamond" w:hAnsi="Garamond"/>
          <w:lang w:val="en-GB"/>
        </w:rPr>
      </w:pPr>
      <w:proofErr w:type="spellStart"/>
      <w:r w:rsidRPr="009672FC">
        <w:rPr>
          <w:rFonts w:ascii="Garamond" w:hAnsi="Garamond"/>
          <w:lang w:val="en-GB"/>
        </w:rPr>
        <w:t>Dott</w:t>
      </w:r>
      <w:proofErr w:type="spellEnd"/>
      <w:r w:rsidRPr="009672FC">
        <w:rPr>
          <w:rFonts w:ascii="Garamond" w:hAnsi="Garamond"/>
          <w:lang w:val="en-GB"/>
        </w:rPr>
        <w:t>.</w:t>
      </w:r>
      <w:r w:rsidR="00D3508B" w:rsidRPr="009672FC">
        <w:rPr>
          <w:rFonts w:ascii="Garamond" w:hAnsi="Garamond"/>
          <w:lang w:val="en-GB"/>
        </w:rPr>
        <w:t xml:space="preserve"> Lamin B. Ceesay</w:t>
      </w:r>
    </w:p>
    <w:p w14:paraId="601D93CA" w14:textId="77777777" w:rsidR="00744B3E" w:rsidRPr="009672FC" w:rsidRDefault="00744B3E" w:rsidP="00744B3E">
      <w:pPr>
        <w:ind w:left="2832" w:firstLine="708"/>
        <w:rPr>
          <w:rFonts w:ascii="Garamond" w:hAnsi="Garamond"/>
          <w:lang w:val="en-GB"/>
        </w:rPr>
      </w:pPr>
    </w:p>
    <w:p w14:paraId="69BB9428" w14:textId="16F6CD38" w:rsidR="00744B3E" w:rsidRPr="009672FC" w:rsidRDefault="00744B3E" w:rsidP="00744B3E">
      <w:pPr>
        <w:rPr>
          <w:rFonts w:ascii="Garamond" w:hAnsi="Garamond"/>
          <w:lang w:val="en-GB"/>
        </w:rPr>
      </w:pPr>
      <w:r w:rsidRPr="009672FC">
        <w:rPr>
          <w:rFonts w:ascii="Garamond" w:hAnsi="Garamond"/>
          <w:lang w:val="en-GB"/>
        </w:rPr>
        <w:tab/>
      </w:r>
      <w:r w:rsidRPr="009672FC">
        <w:rPr>
          <w:rFonts w:ascii="Garamond" w:hAnsi="Garamond"/>
          <w:lang w:val="en-GB"/>
        </w:rPr>
        <w:tab/>
      </w:r>
      <w:r w:rsidRPr="009672FC">
        <w:rPr>
          <w:rFonts w:ascii="Garamond" w:hAnsi="Garamond"/>
          <w:lang w:val="en-GB"/>
        </w:rPr>
        <w:tab/>
      </w:r>
      <w:r w:rsidRPr="009672FC">
        <w:rPr>
          <w:rFonts w:ascii="Garamond" w:hAnsi="Garamond"/>
          <w:lang w:val="en-GB"/>
        </w:rPr>
        <w:tab/>
      </w:r>
      <w:r w:rsidRPr="009672FC">
        <w:rPr>
          <w:rFonts w:ascii="Garamond" w:hAnsi="Garamond"/>
          <w:lang w:val="en-GB"/>
        </w:rPr>
        <w:tab/>
      </w:r>
    </w:p>
    <w:p w14:paraId="6F2979F3" w14:textId="77777777" w:rsidR="00255AEF" w:rsidRDefault="00255AEF" w:rsidP="00B93B10">
      <w:pPr>
        <w:spacing w:line="360" w:lineRule="auto"/>
        <w:rPr>
          <w:rFonts w:ascii="Garamond" w:hAnsi="Garamond"/>
        </w:rPr>
        <w:sectPr w:rsidR="00255AEF" w:rsidSect="00A23164">
          <w:footerReference w:type="default" r:id="rId8"/>
          <w:pgSz w:w="11906" w:h="16838" w:code="9"/>
          <w:pgMar w:top="1440" w:right="1440" w:bottom="1440" w:left="1440" w:header="0" w:footer="720" w:gutter="0"/>
          <w:pgNumType w:fmt="lowerRoman" w:start="1"/>
          <w:cols w:space="720"/>
          <w:formProt w:val="0"/>
          <w:titlePg/>
          <w:docGrid w:linePitch="326"/>
        </w:sectPr>
      </w:pPr>
    </w:p>
    <w:p w14:paraId="6B78D076" w14:textId="21F2801C" w:rsidR="003D5DE8" w:rsidRPr="009672FC" w:rsidRDefault="003D5DE8" w:rsidP="00B93B10">
      <w:pPr>
        <w:spacing w:line="360" w:lineRule="auto"/>
        <w:rPr>
          <w:rFonts w:ascii="Garamond" w:hAnsi="Garamond"/>
        </w:rPr>
      </w:pPr>
    </w:p>
    <w:p w14:paraId="66B123A1" w14:textId="77777777" w:rsidR="009672FC" w:rsidRDefault="009672FC" w:rsidP="00B93B10">
      <w:pPr>
        <w:spacing w:line="360" w:lineRule="auto"/>
        <w:jc w:val="center"/>
        <w:rPr>
          <w:rFonts w:ascii="Garamond" w:hAnsi="Garamond"/>
        </w:rPr>
      </w:pPr>
    </w:p>
    <w:p w14:paraId="14E21F9A" w14:textId="6B66ED79" w:rsidR="003D5DE8" w:rsidRPr="009672FC" w:rsidRDefault="00B93B10" w:rsidP="00B93B10">
      <w:pPr>
        <w:spacing w:line="360" w:lineRule="auto"/>
        <w:jc w:val="center"/>
        <w:rPr>
          <w:rFonts w:ascii="Garamond" w:hAnsi="Garamond"/>
        </w:rPr>
      </w:pPr>
      <w:r w:rsidRPr="009672FC">
        <w:rPr>
          <w:rFonts w:ascii="Garamond" w:hAnsi="Garamond"/>
        </w:rPr>
        <w:t>University of Verona</w:t>
      </w:r>
    </w:p>
    <w:p w14:paraId="29DB448F" w14:textId="5BE1E47C" w:rsidR="00B93B10" w:rsidRPr="009672FC" w:rsidRDefault="00B93B10" w:rsidP="00B93B10">
      <w:pPr>
        <w:spacing w:line="360" w:lineRule="auto"/>
        <w:jc w:val="center"/>
        <w:rPr>
          <w:rFonts w:ascii="Garamond" w:hAnsi="Garamond"/>
        </w:rPr>
      </w:pPr>
    </w:p>
    <w:p w14:paraId="04074E47" w14:textId="77777777" w:rsidR="00B93B10" w:rsidRPr="009672FC" w:rsidRDefault="00B93B10" w:rsidP="00B93B10">
      <w:pPr>
        <w:spacing w:line="360" w:lineRule="auto"/>
        <w:jc w:val="center"/>
        <w:rPr>
          <w:rFonts w:ascii="Garamond" w:hAnsi="Garamond"/>
        </w:rPr>
      </w:pPr>
    </w:p>
    <w:p w14:paraId="41E31D9A" w14:textId="77777777" w:rsidR="003D5DE8" w:rsidRPr="009672FC" w:rsidRDefault="007549AA">
      <w:pPr>
        <w:spacing w:line="360" w:lineRule="auto"/>
        <w:ind w:left="720"/>
        <w:jc w:val="center"/>
        <w:rPr>
          <w:rFonts w:ascii="Garamond" w:hAnsi="Garamond"/>
        </w:rPr>
      </w:pPr>
      <w:r w:rsidRPr="009672FC">
        <w:rPr>
          <w:rFonts w:ascii="Garamond" w:hAnsi="Garamond"/>
        </w:rPr>
        <w:t>Graduate School of Legal and Economics Sciences</w:t>
      </w:r>
    </w:p>
    <w:p w14:paraId="40F381CD" w14:textId="021662B9" w:rsidR="003D5DE8" w:rsidRPr="009672FC" w:rsidRDefault="007549AA">
      <w:pPr>
        <w:spacing w:line="360" w:lineRule="auto"/>
        <w:ind w:left="720"/>
        <w:jc w:val="center"/>
        <w:rPr>
          <w:rFonts w:ascii="Garamond" w:hAnsi="Garamond"/>
        </w:rPr>
      </w:pPr>
      <w:r w:rsidRPr="009672FC">
        <w:rPr>
          <w:rFonts w:ascii="Garamond" w:hAnsi="Garamond"/>
        </w:rPr>
        <w:t>34</w:t>
      </w:r>
      <w:r w:rsidRPr="009672FC">
        <w:rPr>
          <w:rFonts w:ascii="Garamond" w:hAnsi="Garamond"/>
          <w:vertAlign w:val="superscript"/>
        </w:rPr>
        <w:t>th</w:t>
      </w:r>
      <w:r w:rsidRPr="009672FC">
        <w:rPr>
          <w:rFonts w:ascii="Garamond" w:hAnsi="Garamond"/>
        </w:rPr>
        <w:t xml:space="preserve"> Cycle PhD. Program in Economics and Management</w:t>
      </w:r>
    </w:p>
    <w:p w14:paraId="58C75BAE" w14:textId="77777777" w:rsidR="003D5DE8" w:rsidRPr="009672FC" w:rsidRDefault="003D5DE8">
      <w:pPr>
        <w:spacing w:line="360" w:lineRule="auto"/>
        <w:ind w:left="720"/>
        <w:jc w:val="center"/>
        <w:rPr>
          <w:rFonts w:ascii="Garamond" w:hAnsi="Garamond"/>
        </w:rPr>
      </w:pPr>
    </w:p>
    <w:p w14:paraId="2C15877D" w14:textId="77777777" w:rsidR="00B93B10" w:rsidRPr="009672FC" w:rsidRDefault="00B93B10">
      <w:pPr>
        <w:spacing w:line="360" w:lineRule="auto"/>
        <w:ind w:left="720"/>
        <w:jc w:val="center"/>
        <w:rPr>
          <w:rFonts w:ascii="Garamond" w:hAnsi="Garamond"/>
          <w:color w:val="000000" w:themeColor="text1"/>
        </w:rPr>
      </w:pPr>
    </w:p>
    <w:p w14:paraId="5B8B1F1C" w14:textId="77777777" w:rsidR="00B93B10" w:rsidRPr="009672FC" w:rsidRDefault="00B93B10">
      <w:pPr>
        <w:spacing w:line="360" w:lineRule="auto"/>
        <w:ind w:left="720"/>
        <w:jc w:val="center"/>
        <w:rPr>
          <w:rFonts w:ascii="Garamond" w:hAnsi="Garamond"/>
          <w:color w:val="000000" w:themeColor="text1"/>
        </w:rPr>
      </w:pPr>
    </w:p>
    <w:p w14:paraId="2F2217E4" w14:textId="77777777" w:rsidR="00B93B10" w:rsidRPr="009672FC" w:rsidRDefault="00B93B10">
      <w:pPr>
        <w:spacing w:line="360" w:lineRule="auto"/>
        <w:ind w:left="720"/>
        <w:jc w:val="center"/>
        <w:rPr>
          <w:rFonts w:ascii="Garamond" w:hAnsi="Garamond"/>
          <w:color w:val="000000" w:themeColor="text1"/>
        </w:rPr>
      </w:pPr>
    </w:p>
    <w:p w14:paraId="4C1EE575" w14:textId="77777777" w:rsidR="00B93B10" w:rsidRPr="009672FC" w:rsidRDefault="00B93B10">
      <w:pPr>
        <w:spacing w:line="360" w:lineRule="auto"/>
        <w:ind w:left="720"/>
        <w:jc w:val="center"/>
        <w:rPr>
          <w:rFonts w:ascii="Garamond" w:hAnsi="Garamond"/>
          <w:color w:val="000000" w:themeColor="text1"/>
        </w:rPr>
      </w:pPr>
    </w:p>
    <w:p w14:paraId="7315039D" w14:textId="2EE33AEA" w:rsidR="003D5DE8" w:rsidRPr="009672FC" w:rsidRDefault="00B93B10">
      <w:pPr>
        <w:spacing w:line="360" w:lineRule="auto"/>
        <w:ind w:left="720"/>
        <w:jc w:val="center"/>
        <w:rPr>
          <w:rFonts w:ascii="Garamond" w:hAnsi="Garamond"/>
        </w:rPr>
      </w:pPr>
      <w:r w:rsidRPr="009672FC">
        <w:rPr>
          <w:rFonts w:ascii="Garamond" w:hAnsi="Garamond"/>
          <w:color w:val="000000" w:themeColor="text1"/>
        </w:rPr>
        <w:t>Managing Relational Capabilities of Inter-Organizational Innovation Ecosystems: Empirical Investigations</w:t>
      </w:r>
    </w:p>
    <w:p w14:paraId="0838A356" w14:textId="77777777" w:rsidR="003D5DE8" w:rsidRPr="009672FC" w:rsidRDefault="003D5DE8">
      <w:pPr>
        <w:spacing w:line="360" w:lineRule="auto"/>
        <w:ind w:left="720"/>
        <w:rPr>
          <w:rFonts w:ascii="Garamond" w:hAnsi="Garamond"/>
        </w:rPr>
      </w:pPr>
    </w:p>
    <w:p w14:paraId="12D13580" w14:textId="7EFE2D76" w:rsidR="00B93B10" w:rsidRPr="009672FC" w:rsidRDefault="00B93B10" w:rsidP="002768C0">
      <w:pPr>
        <w:tabs>
          <w:tab w:val="left" w:pos="3103"/>
        </w:tabs>
        <w:spacing w:line="360" w:lineRule="auto"/>
        <w:rPr>
          <w:rFonts w:ascii="Garamond" w:eastAsiaTheme="minorHAnsi" w:hAnsi="Garamond"/>
          <w:lang w:val="en-GB" w:eastAsia="en-US"/>
        </w:rPr>
      </w:pPr>
    </w:p>
    <w:p w14:paraId="78231062" w14:textId="77777777" w:rsidR="00B93B10" w:rsidRPr="009672FC" w:rsidRDefault="00B93B10">
      <w:pPr>
        <w:tabs>
          <w:tab w:val="left" w:pos="3103"/>
        </w:tabs>
        <w:spacing w:line="360" w:lineRule="auto"/>
        <w:jc w:val="center"/>
        <w:rPr>
          <w:rFonts w:ascii="Garamond" w:eastAsiaTheme="minorHAnsi" w:hAnsi="Garamond"/>
          <w:lang w:val="en-GB" w:eastAsia="en-US"/>
        </w:rPr>
      </w:pPr>
    </w:p>
    <w:p w14:paraId="1FFDB731" w14:textId="47DD52EE" w:rsidR="003D5DE8" w:rsidRPr="009672FC" w:rsidRDefault="007549AA">
      <w:pPr>
        <w:spacing w:line="360" w:lineRule="auto"/>
        <w:jc w:val="center"/>
        <w:rPr>
          <w:rFonts w:ascii="Garamond" w:hAnsi="Garamond"/>
        </w:rPr>
      </w:pPr>
      <w:r w:rsidRPr="009672FC">
        <w:rPr>
          <w:rFonts w:ascii="Garamond" w:hAnsi="Garamond"/>
        </w:rPr>
        <w:t xml:space="preserve">A dissertation </w:t>
      </w:r>
      <w:r w:rsidR="00F20DD7">
        <w:rPr>
          <w:rFonts w:ascii="Garamond" w:hAnsi="Garamond"/>
        </w:rPr>
        <w:t xml:space="preserve">was </w:t>
      </w:r>
      <w:r w:rsidRPr="009672FC">
        <w:rPr>
          <w:rFonts w:ascii="Garamond" w:hAnsi="Garamond"/>
        </w:rPr>
        <w:t xml:space="preserve">submitted in </w:t>
      </w:r>
      <w:r w:rsidR="00F20DD7">
        <w:rPr>
          <w:rFonts w:ascii="Garamond" w:hAnsi="Garamond"/>
        </w:rPr>
        <w:t>October</w:t>
      </w:r>
      <w:r w:rsidRPr="009672FC">
        <w:rPr>
          <w:rFonts w:ascii="Garamond" w:hAnsi="Garamond"/>
        </w:rPr>
        <w:t xml:space="preserve"> 2021, to the Graduate School of Economics and Legal </w:t>
      </w:r>
      <w:r w:rsidR="00F20DD7">
        <w:rPr>
          <w:rFonts w:ascii="Garamond" w:hAnsi="Garamond"/>
        </w:rPr>
        <w:t>S</w:t>
      </w:r>
      <w:r w:rsidRPr="009672FC">
        <w:rPr>
          <w:rFonts w:ascii="Garamond" w:hAnsi="Garamond"/>
        </w:rPr>
        <w:t>ciences at the Department of Economics of the University of Verona, in partial fulfilment of the requirement for the degree of Doctor of Philosophy.</w:t>
      </w:r>
    </w:p>
    <w:p w14:paraId="63698D2B" w14:textId="037DE93C" w:rsidR="003D5DE8" w:rsidRDefault="003D5DE8">
      <w:pPr>
        <w:spacing w:line="360" w:lineRule="auto"/>
        <w:jc w:val="both"/>
        <w:rPr>
          <w:rFonts w:ascii="Garamond" w:hAnsi="Garamond"/>
        </w:rPr>
      </w:pPr>
    </w:p>
    <w:p w14:paraId="10694BC9" w14:textId="328D1F35" w:rsidR="002768C0" w:rsidRDefault="002768C0">
      <w:pPr>
        <w:spacing w:line="360" w:lineRule="auto"/>
        <w:jc w:val="both"/>
        <w:rPr>
          <w:rFonts w:ascii="Garamond" w:hAnsi="Garamond"/>
        </w:rPr>
      </w:pPr>
    </w:p>
    <w:p w14:paraId="43D42030" w14:textId="70637C7D" w:rsidR="002768C0" w:rsidRDefault="002768C0">
      <w:pPr>
        <w:spacing w:line="360" w:lineRule="auto"/>
        <w:jc w:val="both"/>
        <w:rPr>
          <w:rFonts w:ascii="Garamond" w:hAnsi="Garamond"/>
        </w:rPr>
      </w:pPr>
    </w:p>
    <w:p w14:paraId="33ABC524" w14:textId="5FB6D383" w:rsidR="00C7008E" w:rsidRDefault="00C7008E">
      <w:pPr>
        <w:spacing w:line="360" w:lineRule="auto"/>
        <w:jc w:val="both"/>
        <w:rPr>
          <w:rFonts w:ascii="Garamond" w:hAnsi="Garamond"/>
        </w:rPr>
      </w:pPr>
    </w:p>
    <w:p w14:paraId="03DD35D7" w14:textId="58672623" w:rsidR="00C7008E" w:rsidRDefault="00C7008E">
      <w:pPr>
        <w:spacing w:line="360" w:lineRule="auto"/>
        <w:jc w:val="both"/>
        <w:rPr>
          <w:rFonts w:ascii="Garamond" w:hAnsi="Garamond"/>
        </w:rPr>
      </w:pPr>
    </w:p>
    <w:p w14:paraId="082EECED" w14:textId="77777777" w:rsidR="00C7008E" w:rsidRPr="009672FC" w:rsidRDefault="00C7008E">
      <w:pPr>
        <w:spacing w:line="360" w:lineRule="auto"/>
        <w:jc w:val="both"/>
        <w:rPr>
          <w:rFonts w:ascii="Garamond" w:hAnsi="Garamond"/>
        </w:rPr>
      </w:pPr>
    </w:p>
    <w:p w14:paraId="78233CBF" w14:textId="31FB567D" w:rsidR="002768C0" w:rsidRPr="00C7008E" w:rsidRDefault="002768C0" w:rsidP="00C7008E">
      <w:pPr>
        <w:pStyle w:val="Standard"/>
        <w:autoSpaceDE w:val="0"/>
        <w:jc w:val="center"/>
        <w:rPr>
          <w:rFonts w:ascii="Garamond" w:hAnsi="Garamond" w:cs="Arial-BoldMT, Arial"/>
          <w:sz w:val="20"/>
          <w:szCs w:val="20"/>
          <w:lang w:val="en-GB"/>
        </w:rPr>
      </w:pPr>
      <w:r w:rsidRPr="00C7008E">
        <w:rPr>
          <w:rFonts w:ascii="Garamond" w:hAnsi="Garamond" w:cs="Arial-BoldMT, Arial"/>
          <w:sz w:val="20"/>
          <w:szCs w:val="20"/>
          <w:lang w:val="en-GB"/>
        </w:rPr>
        <w:t>Creative Commons License to retain the author’s copyright on th</w:t>
      </w:r>
      <w:r w:rsidR="00C7008E">
        <w:rPr>
          <w:rFonts w:ascii="Garamond" w:hAnsi="Garamond" w:cs="Arial-BoldMT, Arial"/>
          <w:sz w:val="20"/>
          <w:szCs w:val="20"/>
          <w:lang w:val="en-GB"/>
        </w:rPr>
        <w:t>is D</w:t>
      </w:r>
      <w:r w:rsidR="00F20DD7">
        <w:rPr>
          <w:rFonts w:ascii="Garamond" w:hAnsi="Garamond" w:cs="Arial-BoldMT, Arial"/>
          <w:sz w:val="20"/>
          <w:szCs w:val="20"/>
          <w:lang w:val="en-GB"/>
        </w:rPr>
        <w:t>i</w:t>
      </w:r>
      <w:r w:rsidR="00C7008E">
        <w:rPr>
          <w:rFonts w:ascii="Garamond" w:hAnsi="Garamond" w:cs="Arial-BoldMT, Arial"/>
          <w:sz w:val="20"/>
          <w:szCs w:val="20"/>
          <w:lang w:val="en-GB"/>
        </w:rPr>
        <w:t>ssertation</w:t>
      </w:r>
      <w:r w:rsidRPr="00C7008E">
        <w:rPr>
          <w:rFonts w:ascii="Garamond" w:hAnsi="Garamond" w:cs="Arial-BoldMT, Arial"/>
          <w:sz w:val="20"/>
          <w:szCs w:val="20"/>
          <w:lang w:val="en-GB"/>
        </w:rPr>
        <w:t xml:space="preserve">. </w:t>
      </w:r>
      <w:r w:rsidRPr="00C7008E">
        <w:rPr>
          <w:rFonts w:ascii="Garamond" w:hAnsi="Garamond"/>
          <w:sz w:val="20"/>
          <w:szCs w:val="20"/>
        </w:rPr>
        <w:t>This work is licensed under a Creative Commons Attribution-NonCommercial-NoDerivs 3.0 Unported License, Italy. To read a copy of the licence, visit the web page:</w:t>
      </w:r>
    </w:p>
    <w:p w14:paraId="7ADE5CD3" w14:textId="77777777" w:rsidR="002768C0" w:rsidRPr="00C7008E" w:rsidRDefault="00432042" w:rsidP="00C7008E">
      <w:pPr>
        <w:pStyle w:val="ListParagraph"/>
        <w:ind w:left="1004"/>
        <w:jc w:val="center"/>
        <w:rPr>
          <w:rFonts w:ascii="Garamond" w:hAnsi="Garamond"/>
          <w:sz w:val="20"/>
          <w:szCs w:val="20"/>
        </w:rPr>
      </w:pPr>
      <w:hyperlink r:id="rId9" w:history="1">
        <w:r w:rsidR="002768C0" w:rsidRPr="00C7008E">
          <w:rPr>
            <w:rStyle w:val="Hyperlink"/>
            <w:rFonts w:ascii="Garamond" w:hAnsi="Garamond"/>
            <w:sz w:val="20"/>
            <w:szCs w:val="20"/>
          </w:rPr>
          <w:t>http://creativecommons.org/lic</w:t>
        </w:r>
        <w:bookmarkStart w:id="0" w:name="_Hlt394476557"/>
        <w:r w:rsidR="002768C0" w:rsidRPr="00C7008E">
          <w:rPr>
            <w:rStyle w:val="Hyperlink"/>
            <w:rFonts w:ascii="Garamond" w:hAnsi="Garamond"/>
            <w:sz w:val="20"/>
            <w:szCs w:val="20"/>
          </w:rPr>
          <w:t>e</w:t>
        </w:r>
        <w:bookmarkEnd w:id="0"/>
        <w:r w:rsidR="002768C0" w:rsidRPr="00C7008E">
          <w:rPr>
            <w:rStyle w:val="Hyperlink"/>
            <w:rFonts w:ascii="Garamond" w:hAnsi="Garamond"/>
            <w:sz w:val="20"/>
            <w:szCs w:val="20"/>
          </w:rPr>
          <w:t>nses</w:t>
        </w:r>
        <w:bookmarkStart w:id="1" w:name="_Hlt394476294"/>
        <w:bookmarkStart w:id="2" w:name="_Hlt394476293"/>
        <w:r w:rsidR="002768C0" w:rsidRPr="00C7008E">
          <w:rPr>
            <w:rStyle w:val="Hyperlink"/>
            <w:rFonts w:ascii="Garamond" w:hAnsi="Garamond"/>
            <w:sz w:val="20"/>
            <w:szCs w:val="20"/>
          </w:rPr>
          <w:t>/</w:t>
        </w:r>
        <w:bookmarkStart w:id="3" w:name="_Hlt394476330"/>
        <w:bookmarkEnd w:id="1"/>
        <w:bookmarkEnd w:id="2"/>
        <w:r w:rsidR="002768C0" w:rsidRPr="00C7008E">
          <w:rPr>
            <w:rStyle w:val="Hyperlink"/>
            <w:rFonts w:ascii="Garamond" w:hAnsi="Garamond"/>
            <w:sz w:val="20"/>
            <w:szCs w:val="20"/>
          </w:rPr>
          <w:t>b</w:t>
        </w:r>
        <w:bookmarkEnd w:id="3"/>
        <w:r w:rsidR="002768C0" w:rsidRPr="00C7008E">
          <w:rPr>
            <w:rStyle w:val="Hyperlink"/>
            <w:rFonts w:ascii="Garamond" w:hAnsi="Garamond"/>
            <w:sz w:val="20"/>
            <w:szCs w:val="20"/>
          </w:rPr>
          <w:t>y-nc-nd/3.0/</w:t>
        </w:r>
      </w:hyperlink>
    </w:p>
    <w:p w14:paraId="6064C4C9" w14:textId="042C207D" w:rsidR="002768C0" w:rsidRPr="00C7008E" w:rsidRDefault="002768C0" w:rsidP="00C7008E">
      <w:pPr>
        <w:pStyle w:val="ListParagraph"/>
        <w:ind w:left="1004"/>
        <w:rPr>
          <w:rFonts w:ascii="Garamond" w:hAnsi="Garamond"/>
          <w:sz w:val="20"/>
          <w:szCs w:val="20"/>
        </w:rPr>
      </w:pPr>
      <w:r w:rsidRPr="00C7008E">
        <w:rPr>
          <w:rFonts w:ascii="Garamond" w:hAnsi="Garamond"/>
          <w:noProof/>
          <w:sz w:val="20"/>
          <w:szCs w:val="20"/>
          <w:lang w:val="it-IT"/>
        </w:rPr>
        <w:drawing>
          <wp:anchor distT="0" distB="0" distL="114300" distR="114300" simplePos="0" relativeHeight="251658240" behindDoc="0" locked="0" layoutInCell="1" allowOverlap="1" wp14:anchorId="4D9FDDD9" wp14:editId="60EA1A5E">
            <wp:simplePos x="0" y="0"/>
            <wp:positionH relativeFrom="column">
              <wp:posOffset>127635</wp:posOffset>
            </wp:positionH>
            <wp:positionV relativeFrom="paragraph">
              <wp:posOffset>9525</wp:posOffset>
            </wp:positionV>
            <wp:extent cx="320675" cy="1114425"/>
            <wp:effectExtent l="0" t="0" r="3175" b="9525"/>
            <wp:wrapThrough wrapText="bothSides">
              <wp:wrapPolygon edited="0">
                <wp:start x="0" y="0"/>
                <wp:lineTo x="0" y="21415"/>
                <wp:lineTo x="20531" y="21415"/>
                <wp:lineTo x="20531" y="0"/>
                <wp:lineTo x="0" y="0"/>
              </wp:wrapPolygon>
            </wp:wrapThrough>
            <wp:docPr id="10" name="Picture 1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675" cy="1114425"/>
                    </a:xfrm>
                    <a:prstGeom prst="rect">
                      <a:avLst/>
                    </a:prstGeom>
                    <a:noFill/>
                  </pic:spPr>
                </pic:pic>
              </a:graphicData>
            </a:graphic>
            <wp14:sizeRelH relativeFrom="page">
              <wp14:pctWidth>0</wp14:pctWidth>
            </wp14:sizeRelH>
            <wp14:sizeRelV relativeFrom="page">
              <wp14:pctHeight>0</wp14:pctHeight>
            </wp14:sizeRelV>
          </wp:anchor>
        </w:drawing>
      </w:r>
      <w:r w:rsidRPr="00C7008E">
        <w:rPr>
          <w:rFonts w:ascii="Garamond" w:hAnsi="Garamond"/>
          <w:b/>
          <w:bCs/>
          <w:sz w:val="20"/>
          <w:szCs w:val="20"/>
        </w:rPr>
        <w:t xml:space="preserve">Attribution </w:t>
      </w:r>
      <w:r w:rsidRPr="00C7008E">
        <w:rPr>
          <w:rFonts w:ascii="Garamond" w:hAnsi="Garamond"/>
          <w:bCs/>
          <w:sz w:val="20"/>
          <w:szCs w:val="20"/>
        </w:rPr>
        <w:t xml:space="preserve">— You must give </w:t>
      </w:r>
      <w:hyperlink r:id="rId11" w:history="1">
        <w:r w:rsidRPr="00C7008E">
          <w:rPr>
            <w:rStyle w:val="Hyperlink"/>
            <w:rFonts w:ascii="Garamond" w:hAnsi="Garamond"/>
            <w:color w:val="auto"/>
            <w:sz w:val="20"/>
            <w:szCs w:val="20"/>
          </w:rPr>
          <w:t>appropriate credit</w:t>
        </w:r>
      </w:hyperlink>
      <w:r w:rsidRPr="00C7008E">
        <w:rPr>
          <w:rFonts w:ascii="Garamond" w:hAnsi="Garamond"/>
          <w:sz w:val="20"/>
          <w:szCs w:val="20"/>
        </w:rPr>
        <w:t xml:space="preserve">, provide a link to the license, and </w:t>
      </w:r>
      <w:hyperlink r:id="rId12" w:history="1">
        <w:r w:rsidRPr="00C7008E">
          <w:rPr>
            <w:rStyle w:val="Hyperlink"/>
            <w:rFonts w:ascii="Garamond" w:hAnsi="Garamond"/>
            <w:color w:val="auto"/>
            <w:sz w:val="20"/>
            <w:szCs w:val="20"/>
          </w:rPr>
          <w:t>indicate if changes were made</w:t>
        </w:r>
      </w:hyperlink>
      <w:r w:rsidRPr="00C7008E">
        <w:rPr>
          <w:rFonts w:ascii="Garamond" w:hAnsi="Garamond"/>
          <w:sz w:val="20"/>
          <w:szCs w:val="20"/>
        </w:rPr>
        <w:t>.  You may do so in any reasonable manner, but not in any way that suggests the licensor endorses you or your use.</w:t>
      </w:r>
    </w:p>
    <w:p w14:paraId="14DE4942" w14:textId="77777777" w:rsidR="002768C0" w:rsidRPr="00C7008E" w:rsidRDefault="002768C0" w:rsidP="00C7008E">
      <w:pPr>
        <w:pStyle w:val="NormalWeb"/>
        <w:ind w:left="1004"/>
        <w:rPr>
          <w:rFonts w:ascii="Garamond" w:hAnsi="Garamond"/>
          <w:sz w:val="20"/>
          <w:szCs w:val="20"/>
          <w:lang w:val="en-GB"/>
        </w:rPr>
      </w:pPr>
      <w:proofErr w:type="spellStart"/>
      <w:r w:rsidRPr="00C7008E">
        <w:rPr>
          <w:rFonts w:ascii="Garamond" w:hAnsi="Garamond"/>
          <w:b/>
          <w:bCs/>
          <w:sz w:val="20"/>
          <w:szCs w:val="20"/>
          <w:lang w:val="en-GB"/>
        </w:rPr>
        <w:t>NonCommercial</w:t>
      </w:r>
      <w:proofErr w:type="spellEnd"/>
      <w:r w:rsidRPr="00C7008E">
        <w:rPr>
          <w:rFonts w:ascii="Garamond" w:hAnsi="Garamond"/>
          <w:bCs/>
          <w:sz w:val="20"/>
          <w:szCs w:val="20"/>
          <w:lang w:val="en-GB"/>
        </w:rPr>
        <w:t xml:space="preserve"> — You may not use the material for </w:t>
      </w:r>
      <w:hyperlink r:id="rId13" w:history="1">
        <w:r w:rsidRPr="00C7008E">
          <w:rPr>
            <w:rStyle w:val="Hyperlink"/>
            <w:rFonts w:ascii="Garamond" w:eastAsiaTheme="majorEastAsia" w:hAnsi="Garamond"/>
            <w:color w:val="auto"/>
            <w:sz w:val="20"/>
            <w:szCs w:val="20"/>
            <w:lang w:val="en-GB"/>
          </w:rPr>
          <w:t>commercial purposes</w:t>
        </w:r>
      </w:hyperlink>
      <w:r w:rsidRPr="00C7008E">
        <w:rPr>
          <w:rFonts w:ascii="Garamond" w:hAnsi="Garamond"/>
          <w:sz w:val="20"/>
          <w:szCs w:val="20"/>
          <w:lang w:val="en-GB"/>
        </w:rPr>
        <w:t>.</w:t>
      </w:r>
    </w:p>
    <w:p w14:paraId="5CDB7A53" w14:textId="1348ECB1" w:rsidR="00B93B10" w:rsidRPr="00C7008E" w:rsidRDefault="002768C0" w:rsidP="00C7008E">
      <w:pPr>
        <w:pStyle w:val="NormalWeb"/>
        <w:ind w:left="1004"/>
        <w:rPr>
          <w:rFonts w:ascii="Garamond" w:hAnsi="Garamond"/>
          <w:sz w:val="20"/>
          <w:szCs w:val="20"/>
          <w:lang w:val="en-GB"/>
        </w:rPr>
      </w:pPr>
      <w:proofErr w:type="spellStart"/>
      <w:r w:rsidRPr="00C7008E">
        <w:rPr>
          <w:rFonts w:ascii="Garamond" w:hAnsi="Garamond"/>
          <w:b/>
          <w:bCs/>
          <w:sz w:val="20"/>
          <w:szCs w:val="20"/>
          <w:lang w:val="en-GB"/>
        </w:rPr>
        <w:t>NoDerivatives</w:t>
      </w:r>
      <w:proofErr w:type="spellEnd"/>
      <w:r w:rsidRPr="00C7008E">
        <w:rPr>
          <w:rFonts w:ascii="Garamond" w:hAnsi="Garamond"/>
          <w:bCs/>
          <w:sz w:val="20"/>
          <w:szCs w:val="20"/>
          <w:lang w:val="en-GB"/>
        </w:rPr>
        <w:t xml:space="preserve"> — If you </w:t>
      </w:r>
      <w:hyperlink r:id="rId14" w:history="1">
        <w:r w:rsidRPr="00C7008E">
          <w:rPr>
            <w:rStyle w:val="Hyperlink"/>
            <w:rFonts w:ascii="Garamond" w:eastAsiaTheme="majorEastAsia" w:hAnsi="Garamond"/>
            <w:color w:val="auto"/>
            <w:sz w:val="20"/>
            <w:szCs w:val="20"/>
            <w:lang w:val="en-GB"/>
          </w:rPr>
          <w:t>remix, transform, or build upon the material</w:t>
        </w:r>
      </w:hyperlink>
      <w:r w:rsidRPr="00C7008E">
        <w:rPr>
          <w:rFonts w:ascii="Garamond" w:hAnsi="Garamond"/>
          <w:sz w:val="20"/>
          <w:szCs w:val="20"/>
          <w:lang w:val="en-GB"/>
        </w:rPr>
        <w:t xml:space="preserve">, you may not distribute the modified material. </w:t>
      </w:r>
      <w:r w:rsidR="00B93B10" w:rsidRPr="00C7008E">
        <w:rPr>
          <w:rFonts w:ascii="Garamond" w:eastAsiaTheme="minorHAnsi" w:hAnsi="Garamond"/>
          <w:sz w:val="20"/>
          <w:szCs w:val="20"/>
          <w:lang w:val="en-GB"/>
        </w:rPr>
        <w:t>@ Lamin B. Ceesay, 2021. All rights reserved.</w:t>
      </w:r>
    </w:p>
    <w:p w14:paraId="2DA86B13" w14:textId="31209258" w:rsidR="000D2D94" w:rsidRPr="009672FC" w:rsidRDefault="000D2D94" w:rsidP="000D2D94">
      <w:pPr>
        <w:spacing w:line="360" w:lineRule="auto"/>
        <w:ind w:left="4860"/>
        <w:rPr>
          <w:rFonts w:ascii="Garamond" w:hAnsi="Garamond"/>
        </w:rPr>
      </w:pPr>
    </w:p>
    <w:p w14:paraId="499AF6A9" w14:textId="58F5902D" w:rsidR="000D2D94" w:rsidRPr="009672FC" w:rsidRDefault="000D2D94" w:rsidP="000D2D94">
      <w:pPr>
        <w:spacing w:line="360" w:lineRule="auto"/>
        <w:ind w:left="4860"/>
        <w:rPr>
          <w:rFonts w:ascii="Garamond" w:hAnsi="Garamond"/>
        </w:rPr>
      </w:pPr>
    </w:p>
    <w:p w14:paraId="5FA905EE" w14:textId="77777777" w:rsidR="000D2D94" w:rsidRPr="009672FC" w:rsidRDefault="000D2D94" w:rsidP="000D2D94">
      <w:pPr>
        <w:spacing w:line="360" w:lineRule="auto"/>
        <w:ind w:left="4860"/>
        <w:rPr>
          <w:rFonts w:ascii="Garamond" w:hAnsi="Garamond"/>
        </w:rPr>
      </w:pPr>
    </w:p>
    <w:p w14:paraId="05C5B47B" w14:textId="77777777" w:rsidR="003D5DE8" w:rsidRPr="009672FC" w:rsidRDefault="003D5DE8">
      <w:pPr>
        <w:tabs>
          <w:tab w:val="left" w:pos="3103"/>
        </w:tabs>
        <w:spacing w:line="360" w:lineRule="auto"/>
        <w:jc w:val="center"/>
        <w:rPr>
          <w:rFonts w:ascii="Garamond" w:eastAsiaTheme="minorHAnsi" w:hAnsi="Garamond"/>
          <w:lang w:val="en-GB" w:eastAsia="en-US"/>
        </w:rPr>
      </w:pPr>
    </w:p>
    <w:p w14:paraId="0CA98916" w14:textId="77777777" w:rsidR="003D5DE8" w:rsidRPr="009672FC" w:rsidRDefault="003D5DE8">
      <w:pPr>
        <w:tabs>
          <w:tab w:val="left" w:pos="3103"/>
        </w:tabs>
        <w:spacing w:line="360" w:lineRule="auto"/>
        <w:jc w:val="center"/>
        <w:rPr>
          <w:rFonts w:ascii="Garamond" w:eastAsiaTheme="minorHAnsi" w:hAnsi="Garamond"/>
          <w:lang w:val="en-GB" w:eastAsia="en-US"/>
        </w:rPr>
      </w:pPr>
    </w:p>
    <w:p w14:paraId="53E08127" w14:textId="77777777" w:rsidR="000D2D94" w:rsidRPr="009672FC" w:rsidRDefault="000D2D94">
      <w:pPr>
        <w:tabs>
          <w:tab w:val="left" w:pos="3103"/>
        </w:tabs>
        <w:spacing w:line="360" w:lineRule="auto"/>
        <w:rPr>
          <w:rFonts w:ascii="Garamond" w:eastAsiaTheme="minorHAnsi" w:hAnsi="Garamond"/>
          <w:lang w:val="en-GB" w:eastAsia="en-US"/>
        </w:rPr>
      </w:pPr>
    </w:p>
    <w:p w14:paraId="44D8B846" w14:textId="260080E6" w:rsidR="003D5DE8" w:rsidRPr="009672FC" w:rsidRDefault="007549AA" w:rsidP="00EB5D6B">
      <w:pPr>
        <w:pStyle w:val="Heading1"/>
        <w:jc w:val="center"/>
        <w:rPr>
          <w:rFonts w:ascii="Garamond" w:hAnsi="Garamond" w:cs="Times New Roman"/>
          <w:b/>
          <w:color w:val="000000" w:themeColor="text1"/>
        </w:rPr>
      </w:pPr>
      <w:bookmarkStart w:id="4" w:name="_Toc85708695"/>
      <w:bookmarkStart w:id="5" w:name="_Toc85709709"/>
      <w:r w:rsidRPr="009672FC">
        <w:rPr>
          <w:rFonts w:ascii="Garamond" w:hAnsi="Garamond" w:cs="Times New Roman"/>
          <w:b/>
          <w:bCs/>
          <w:color w:val="000000" w:themeColor="text1"/>
        </w:rPr>
        <w:t>Acknowledgements</w:t>
      </w:r>
      <w:bookmarkEnd w:id="4"/>
      <w:bookmarkEnd w:id="5"/>
    </w:p>
    <w:p w14:paraId="49222DC5" w14:textId="77777777" w:rsidR="003D5DE8" w:rsidRPr="009672FC" w:rsidRDefault="003D5DE8">
      <w:pPr>
        <w:tabs>
          <w:tab w:val="left" w:pos="3103"/>
        </w:tabs>
        <w:spacing w:line="360" w:lineRule="auto"/>
        <w:jc w:val="both"/>
        <w:rPr>
          <w:rFonts w:ascii="Garamond" w:hAnsi="Garamond"/>
        </w:rPr>
      </w:pPr>
    </w:p>
    <w:p w14:paraId="34652FB2" w14:textId="77777777" w:rsidR="005B045E" w:rsidRPr="009672FC" w:rsidRDefault="007549AA" w:rsidP="009672FC">
      <w:pPr>
        <w:spacing w:line="360" w:lineRule="auto"/>
        <w:ind w:left="720" w:right="720" w:firstLine="720"/>
        <w:jc w:val="both"/>
        <w:rPr>
          <w:rFonts w:ascii="Garamond" w:hAnsi="Garamond"/>
        </w:rPr>
      </w:pPr>
      <w:r w:rsidRPr="009672FC">
        <w:rPr>
          <w:rFonts w:ascii="Garamond" w:hAnsi="Garamond"/>
        </w:rPr>
        <w:t xml:space="preserve">I would like to express my profound gratitude to Professor Cecilia Rossignoli, for her invaluable supervision, and guidance as my PhD advisor. The continued academic support, coupled with expertise, enthusiasm, and encouragement she provided to me during these years has enabled me to overcome the challenges posed by the PhD program in Economics and Management, especially the completion of this dissertation. I am truly grateful for all the advice and guidance towards the preparation of this thesis. I am also truly grateful to Alessandro Zardini for his support and guidance </w:t>
      </w:r>
      <w:proofErr w:type="gramStart"/>
      <w:r w:rsidRPr="009672FC">
        <w:rPr>
          <w:rFonts w:ascii="Garamond" w:hAnsi="Garamond"/>
        </w:rPr>
        <w:t>in the course of</w:t>
      </w:r>
      <w:proofErr w:type="gramEnd"/>
      <w:r w:rsidRPr="009672FC">
        <w:rPr>
          <w:rFonts w:ascii="Garamond" w:hAnsi="Garamond"/>
        </w:rPr>
        <w:t xml:space="preserve"> this doctorate programme. His knowledge and friendship have immensely helped in the preparation of this thesis.</w:t>
      </w:r>
      <w:r w:rsidR="005B045E" w:rsidRPr="009672FC">
        <w:rPr>
          <w:rFonts w:ascii="Garamond" w:hAnsi="Garamond"/>
        </w:rPr>
        <w:t xml:space="preserve"> </w:t>
      </w:r>
    </w:p>
    <w:p w14:paraId="1D44411B" w14:textId="33AADD8C" w:rsidR="005B045E" w:rsidRPr="009672FC" w:rsidRDefault="007549AA" w:rsidP="009672FC">
      <w:pPr>
        <w:spacing w:line="360" w:lineRule="auto"/>
        <w:ind w:left="720" w:right="720" w:firstLine="720"/>
        <w:jc w:val="both"/>
        <w:rPr>
          <w:rFonts w:ascii="Garamond" w:hAnsi="Garamond"/>
        </w:rPr>
      </w:pPr>
      <w:r w:rsidRPr="009672FC">
        <w:rPr>
          <w:rFonts w:ascii="Garamond" w:hAnsi="Garamond"/>
        </w:rPr>
        <w:t xml:space="preserve">During my PhD program, I have had the </w:t>
      </w:r>
      <w:proofErr w:type="spellStart"/>
      <w:r w:rsidRPr="009672FC">
        <w:rPr>
          <w:rFonts w:ascii="Garamond" w:hAnsi="Garamond"/>
        </w:rPr>
        <w:t>honour</w:t>
      </w:r>
      <w:proofErr w:type="spellEnd"/>
      <w:r w:rsidRPr="009672FC">
        <w:rPr>
          <w:rFonts w:ascii="Garamond" w:hAnsi="Garamond"/>
        </w:rPr>
        <w:t xml:space="preserve"> to collaborate and to meet with great scholars who have become sources of inspiration. Francesca Ricciardi whose work on inter-organization relationship literature continued to inspire me and the preparation of this thesis. Professor Raj </w:t>
      </w:r>
      <w:proofErr w:type="spellStart"/>
      <w:r w:rsidRPr="009672FC">
        <w:rPr>
          <w:rFonts w:ascii="Garamond" w:hAnsi="Garamond"/>
        </w:rPr>
        <w:t>Mahto</w:t>
      </w:r>
      <w:proofErr w:type="spellEnd"/>
      <w:r w:rsidRPr="009672FC">
        <w:rPr>
          <w:rFonts w:ascii="Garamond" w:hAnsi="Garamond"/>
        </w:rPr>
        <w:t xml:space="preserve"> took time to provide review and comment on the paper drafts – providing robust guidance on the reparation of chapters for publication in indexed journals.   I am greatly thankful to the Professors and colleagues at the </w:t>
      </w:r>
      <w:proofErr w:type="spellStart"/>
      <w:r w:rsidRPr="009672FC">
        <w:rPr>
          <w:rFonts w:ascii="Garamond" w:hAnsi="Garamond"/>
        </w:rPr>
        <w:t>Associazione</w:t>
      </w:r>
      <w:proofErr w:type="spellEnd"/>
      <w:r w:rsidRPr="009672FC">
        <w:rPr>
          <w:rFonts w:ascii="Garamond" w:hAnsi="Garamond"/>
        </w:rPr>
        <w:t xml:space="preserve"> </w:t>
      </w:r>
      <w:proofErr w:type="spellStart"/>
      <w:r w:rsidRPr="009672FC">
        <w:rPr>
          <w:rFonts w:ascii="Garamond" w:hAnsi="Garamond"/>
        </w:rPr>
        <w:t>Italiana</w:t>
      </w:r>
      <w:proofErr w:type="spellEnd"/>
      <w:r w:rsidRPr="009672FC">
        <w:rPr>
          <w:rFonts w:ascii="Garamond" w:hAnsi="Garamond"/>
        </w:rPr>
        <w:t xml:space="preserve"> Di </w:t>
      </w:r>
      <w:proofErr w:type="spellStart"/>
      <w:r w:rsidR="004567A3" w:rsidRPr="009672FC">
        <w:rPr>
          <w:rFonts w:ascii="Garamond" w:eastAsiaTheme="minorHAnsi" w:hAnsi="Garamond" w:cs="Segoe UI"/>
          <w:color w:val="000000"/>
          <w:lang w:eastAsia="en-US"/>
        </w:rPr>
        <w:t>Organizzazione</w:t>
      </w:r>
      <w:proofErr w:type="spellEnd"/>
      <w:r w:rsidRPr="009672FC">
        <w:rPr>
          <w:rFonts w:ascii="Garamond" w:hAnsi="Garamond"/>
        </w:rPr>
        <w:t xml:space="preserve"> </w:t>
      </w:r>
      <w:proofErr w:type="spellStart"/>
      <w:r w:rsidRPr="009672FC">
        <w:rPr>
          <w:rFonts w:ascii="Garamond" w:hAnsi="Garamond"/>
        </w:rPr>
        <w:t>Aziendale</w:t>
      </w:r>
      <w:proofErr w:type="spellEnd"/>
      <w:r w:rsidRPr="009672FC">
        <w:rPr>
          <w:rFonts w:ascii="Garamond" w:hAnsi="Garamond"/>
        </w:rPr>
        <w:t xml:space="preserve"> (ASSIOA) 2021 WAO conference in </w:t>
      </w:r>
      <w:proofErr w:type="spellStart"/>
      <w:r w:rsidRPr="009672FC">
        <w:rPr>
          <w:rFonts w:ascii="Garamond" w:hAnsi="Garamond"/>
        </w:rPr>
        <w:t>Genoe</w:t>
      </w:r>
      <w:proofErr w:type="spellEnd"/>
      <w:r w:rsidRPr="009672FC">
        <w:rPr>
          <w:rFonts w:ascii="Garamond" w:hAnsi="Garamond"/>
        </w:rPr>
        <w:t xml:space="preserve">. Thank you to Professor Filomena </w:t>
      </w:r>
      <w:proofErr w:type="spellStart"/>
      <w:r w:rsidRPr="009672FC">
        <w:rPr>
          <w:rFonts w:ascii="Garamond" w:hAnsi="Garamond"/>
        </w:rPr>
        <w:t>Buonocore</w:t>
      </w:r>
      <w:proofErr w:type="spellEnd"/>
      <w:r w:rsidRPr="009672FC">
        <w:rPr>
          <w:rFonts w:ascii="Garamond" w:hAnsi="Garamond"/>
        </w:rPr>
        <w:t xml:space="preserve">, Martina </w:t>
      </w:r>
      <w:proofErr w:type="spellStart"/>
      <w:r w:rsidRPr="009672FC">
        <w:rPr>
          <w:rFonts w:ascii="Garamond" w:hAnsi="Garamond"/>
        </w:rPr>
        <w:t>Gianecchin</w:t>
      </w:r>
      <w:r w:rsidR="004567A3" w:rsidRPr="009672FC">
        <w:rPr>
          <w:rFonts w:ascii="Garamond" w:hAnsi="Garamond"/>
        </w:rPr>
        <w:t>i</w:t>
      </w:r>
      <w:proofErr w:type="spellEnd"/>
      <w:r w:rsidRPr="009672FC">
        <w:rPr>
          <w:rFonts w:ascii="Garamond" w:hAnsi="Garamond"/>
        </w:rPr>
        <w:t xml:space="preserve">, and Yasin </w:t>
      </w:r>
      <w:proofErr w:type="spellStart"/>
      <w:r w:rsidRPr="009672FC">
        <w:rPr>
          <w:rFonts w:ascii="Garamond" w:hAnsi="Garamond"/>
        </w:rPr>
        <w:t>Rofcanin</w:t>
      </w:r>
      <w:proofErr w:type="spellEnd"/>
      <w:r w:rsidRPr="009672FC">
        <w:rPr>
          <w:rFonts w:ascii="Garamond" w:hAnsi="Garamond"/>
        </w:rPr>
        <w:t xml:space="preserve"> for providing robust feedbacks, comments, and discussion on the second chapter of this thesis.</w:t>
      </w:r>
    </w:p>
    <w:p w14:paraId="796034E3" w14:textId="1231BD60" w:rsidR="005B045E" w:rsidRPr="009672FC" w:rsidRDefault="005B045E" w:rsidP="009672FC">
      <w:pPr>
        <w:spacing w:line="360" w:lineRule="auto"/>
        <w:ind w:left="720" w:right="720" w:firstLine="720"/>
        <w:jc w:val="both"/>
        <w:rPr>
          <w:rFonts w:ascii="Garamond" w:hAnsi="Garamond"/>
        </w:rPr>
      </w:pPr>
      <w:r w:rsidRPr="009672FC">
        <w:rPr>
          <w:rFonts w:ascii="Garamond" w:hAnsi="Garamond"/>
        </w:rPr>
        <w:t>My sincere appreciation</w:t>
      </w:r>
      <w:r w:rsidR="007549AA" w:rsidRPr="009672FC">
        <w:rPr>
          <w:rFonts w:ascii="Garamond" w:hAnsi="Garamond"/>
        </w:rPr>
        <w:t xml:space="preserve"> is also extended to the Professors and colleagues </w:t>
      </w:r>
      <w:r w:rsidR="008728BD">
        <w:rPr>
          <w:rFonts w:ascii="Garamond" w:hAnsi="Garamond"/>
        </w:rPr>
        <w:t xml:space="preserve">at </w:t>
      </w:r>
      <w:r w:rsidR="00F20DD7">
        <w:rPr>
          <w:rFonts w:ascii="Garamond" w:hAnsi="Garamond"/>
        </w:rPr>
        <w:t xml:space="preserve">the </w:t>
      </w:r>
      <w:r w:rsidR="007549AA" w:rsidRPr="009672FC">
        <w:rPr>
          <w:rFonts w:ascii="Garamond" w:hAnsi="Garamond"/>
        </w:rPr>
        <w:t xml:space="preserve">XVIII Conference of </w:t>
      </w:r>
      <w:proofErr w:type="spellStart"/>
      <w:r w:rsidR="007549AA" w:rsidRPr="009672FC">
        <w:rPr>
          <w:rFonts w:ascii="Garamond" w:hAnsi="Garamond"/>
        </w:rPr>
        <w:t>itAIS</w:t>
      </w:r>
      <w:proofErr w:type="spellEnd"/>
      <w:r w:rsidR="007549AA" w:rsidRPr="009672FC">
        <w:rPr>
          <w:rFonts w:ascii="Garamond" w:hAnsi="Garamond"/>
        </w:rPr>
        <w:t xml:space="preserve"> in Trento. For instance, Professor Francesca Ricciardi, Professor Stefano Za and Professor Roberta </w:t>
      </w:r>
      <w:proofErr w:type="spellStart"/>
      <w:r w:rsidR="007549AA" w:rsidRPr="009672FC">
        <w:rPr>
          <w:rFonts w:ascii="Garamond" w:hAnsi="Garamond"/>
        </w:rPr>
        <w:t>Cuel</w:t>
      </w:r>
      <w:proofErr w:type="spellEnd"/>
      <w:r w:rsidR="007E5293">
        <w:rPr>
          <w:rFonts w:ascii="Garamond" w:hAnsi="Garamond"/>
        </w:rPr>
        <w:t>,</w:t>
      </w:r>
      <w:r w:rsidR="007549AA" w:rsidRPr="009672FC">
        <w:rPr>
          <w:rFonts w:ascii="Garamond" w:hAnsi="Garamond"/>
        </w:rPr>
        <w:t xml:space="preserve"> all took </w:t>
      </w:r>
      <w:r w:rsidR="008728BD">
        <w:rPr>
          <w:rFonts w:ascii="Garamond" w:hAnsi="Garamond"/>
        </w:rPr>
        <w:t>time to</w:t>
      </w:r>
      <w:r w:rsidR="007549AA" w:rsidRPr="009672FC">
        <w:rPr>
          <w:rFonts w:ascii="Garamond" w:hAnsi="Garamond"/>
        </w:rPr>
        <w:t xml:space="preserve"> provide comments that helped in </w:t>
      </w:r>
      <w:r w:rsidR="008728BD">
        <w:rPr>
          <w:rFonts w:ascii="Garamond" w:hAnsi="Garamond"/>
        </w:rPr>
        <w:t>improving the content</w:t>
      </w:r>
      <w:r w:rsidR="007549AA" w:rsidRPr="009672FC">
        <w:rPr>
          <w:rFonts w:ascii="Garamond" w:hAnsi="Garamond"/>
        </w:rPr>
        <w:t xml:space="preserve"> of the third chapter of this thesis.  </w:t>
      </w:r>
    </w:p>
    <w:p w14:paraId="7385DA29" w14:textId="2436122E" w:rsidR="005B045E" w:rsidRPr="009672FC" w:rsidRDefault="007549AA" w:rsidP="009672FC">
      <w:pPr>
        <w:spacing w:line="360" w:lineRule="auto"/>
        <w:ind w:left="720" w:right="720" w:firstLine="720"/>
        <w:jc w:val="both"/>
        <w:rPr>
          <w:rFonts w:ascii="Garamond" w:hAnsi="Garamond"/>
        </w:rPr>
      </w:pPr>
      <w:r w:rsidRPr="009672FC">
        <w:rPr>
          <w:rFonts w:ascii="Garamond" w:hAnsi="Garamond"/>
        </w:rPr>
        <w:lastRenderedPageBreak/>
        <w:t xml:space="preserve">I also extend my appreciation of the personal and professional supports rendered to me during the period of studies and research, Roberto Ricciuti, Claudio Zoli, Barbara </w:t>
      </w:r>
      <w:r w:rsidR="004567A3" w:rsidRPr="009672FC">
        <w:rPr>
          <w:rFonts w:ascii="Garamond" w:hAnsi="Garamond"/>
        </w:rPr>
        <w:t>Gaudenzi</w:t>
      </w:r>
      <w:r w:rsidRPr="009672FC">
        <w:rPr>
          <w:rFonts w:ascii="Garamond" w:hAnsi="Garamond"/>
        </w:rPr>
        <w:t>, Alessandr</w:t>
      </w:r>
      <w:r w:rsidR="004567A3" w:rsidRPr="009672FC">
        <w:rPr>
          <w:rFonts w:ascii="Garamond" w:hAnsi="Garamond"/>
        </w:rPr>
        <w:t>o</w:t>
      </w:r>
      <w:r w:rsidRPr="009672FC">
        <w:rPr>
          <w:rFonts w:ascii="Garamond" w:hAnsi="Garamond"/>
        </w:rPr>
        <w:t xml:space="preserve"> Lai, and others. Sincere appreciation also goes to the University of Verona PhD office, Sara, Barbara, Giovanni, Francesca </w:t>
      </w:r>
      <w:proofErr w:type="spellStart"/>
      <w:r w:rsidRPr="009672FC">
        <w:rPr>
          <w:rFonts w:ascii="Garamond" w:hAnsi="Garamond"/>
        </w:rPr>
        <w:t>Limberto</w:t>
      </w:r>
      <w:proofErr w:type="spellEnd"/>
      <w:r w:rsidRPr="009672FC">
        <w:rPr>
          <w:rFonts w:ascii="Garamond" w:hAnsi="Garamond"/>
        </w:rPr>
        <w:t xml:space="preserve">, for their steadfastness and support during the entire course of my studies. Furthermore, I am also grateful to the staff of the ISU office, especially Andre, Igor, and Nicole, for their ever-willingness to support international students with immigration paperwork. My appreciation is also extended to my colleague PhD students who have made my </w:t>
      </w:r>
      <w:proofErr w:type="spellStart"/>
      <w:r w:rsidRPr="009672FC">
        <w:rPr>
          <w:rFonts w:ascii="Garamond" w:hAnsi="Garamond"/>
        </w:rPr>
        <w:t>UniVr</w:t>
      </w:r>
      <w:proofErr w:type="spellEnd"/>
      <w:r w:rsidRPr="009672FC">
        <w:rPr>
          <w:rFonts w:ascii="Garamond" w:hAnsi="Garamond"/>
        </w:rPr>
        <w:t xml:space="preserve"> journey both interesting, curious, and educative, especially </w:t>
      </w:r>
      <w:proofErr w:type="spellStart"/>
      <w:r w:rsidRPr="009672FC">
        <w:rPr>
          <w:rFonts w:ascii="Garamond" w:hAnsi="Garamond"/>
        </w:rPr>
        <w:t>Guilio</w:t>
      </w:r>
      <w:proofErr w:type="spellEnd"/>
      <w:r w:rsidRPr="009672FC">
        <w:rPr>
          <w:rFonts w:ascii="Garamond" w:hAnsi="Garamond"/>
        </w:rPr>
        <w:t xml:space="preserve">, Johnson, </w:t>
      </w:r>
      <w:proofErr w:type="spellStart"/>
      <w:r w:rsidRPr="009672FC">
        <w:rPr>
          <w:rFonts w:ascii="Garamond" w:hAnsi="Garamond"/>
        </w:rPr>
        <w:t>Charkos</w:t>
      </w:r>
      <w:proofErr w:type="spellEnd"/>
      <w:r w:rsidRPr="009672FC">
        <w:rPr>
          <w:rFonts w:ascii="Garamond" w:hAnsi="Garamond"/>
        </w:rPr>
        <w:t>, Desmond, Rafiq Islam, Darlington, and Earle Du Plooy.</w:t>
      </w:r>
      <w:r w:rsidR="005B045E" w:rsidRPr="009672FC">
        <w:rPr>
          <w:rFonts w:ascii="Garamond" w:hAnsi="Garamond"/>
        </w:rPr>
        <w:t xml:space="preserve"> </w:t>
      </w:r>
    </w:p>
    <w:p w14:paraId="71F529A0" w14:textId="193AB5B0" w:rsidR="005B045E" w:rsidRPr="009672FC" w:rsidRDefault="007549AA" w:rsidP="009672FC">
      <w:pPr>
        <w:spacing w:line="360" w:lineRule="auto"/>
        <w:ind w:left="720" w:right="720" w:firstLine="720"/>
        <w:jc w:val="both"/>
        <w:rPr>
          <w:rFonts w:ascii="Garamond" w:hAnsi="Garamond"/>
        </w:rPr>
      </w:pPr>
      <w:r w:rsidRPr="009672FC">
        <w:rPr>
          <w:rFonts w:ascii="Garamond" w:hAnsi="Garamond"/>
        </w:rPr>
        <w:t xml:space="preserve">I am enormously thankful to my family. Special thank you to Swadou, for her unconditional love, understanding and support shown to me from start to the completion of my </w:t>
      </w:r>
      <w:r w:rsidR="005B045E" w:rsidRPr="009672FC">
        <w:rPr>
          <w:rFonts w:ascii="Garamond" w:hAnsi="Garamond"/>
        </w:rPr>
        <w:t>studies,</w:t>
      </w:r>
      <w:r w:rsidRPr="009672FC">
        <w:rPr>
          <w:rFonts w:ascii="Garamond" w:hAnsi="Garamond"/>
        </w:rPr>
        <w:t xml:space="preserve"> to my mother, late father, and siblings for their inspiration and prayers.</w:t>
      </w:r>
      <w:r w:rsidR="005B045E" w:rsidRPr="009672FC">
        <w:rPr>
          <w:rFonts w:ascii="Garamond" w:hAnsi="Garamond"/>
        </w:rPr>
        <w:t xml:space="preserve"> </w:t>
      </w:r>
    </w:p>
    <w:p w14:paraId="29099890" w14:textId="4B25C02D" w:rsidR="005B045E" w:rsidRPr="009672FC" w:rsidRDefault="005B045E" w:rsidP="009672FC">
      <w:pPr>
        <w:spacing w:line="360" w:lineRule="auto"/>
        <w:ind w:left="720" w:right="720" w:firstLine="720"/>
        <w:jc w:val="both"/>
        <w:rPr>
          <w:rFonts w:ascii="Garamond" w:hAnsi="Garamond"/>
        </w:rPr>
      </w:pPr>
      <w:r w:rsidRPr="009672FC">
        <w:rPr>
          <w:rFonts w:ascii="Garamond" w:hAnsi="Garamond"/>
        </w:rPr>
        <w:t xml:space="preserve">Finally, </w:t>
      </w:r>
      <w:r w:rsidR="007549AA" w:rsidRPr="009672FC">
        <w:rPr>
          <w:rFonts w:ascii="Garamond" w:hAnsi="Garamond"/>
        </w:rPr>
        <w:t xml:space="preserve">I am forever indebted to the University of Verona for the financial support (with a PhD scholarship) accorded to me to pursue this program from start to finish. I am also sincerely appreciative of all the supports </w:t>
      </w:r>
      <w:r w:rsidR="00D00A8C" w:rsidRPr="009672FC">
        <w:rPr>
          <w:rFonts w:ascii="Garamond" w:hAnsi="Garamond"/>
        </w:rPr>
        <w:t>rendered</w:t>
      </w:r>
      <w:r w:rsidR="007549AA" w:rsidRPr="009672FC">
        <w:rPr>
          <w:rFonts w:ascii="Garamond" w:hAnsi="Garamond"/>
        </w:rPr>
        <w:t xml:space="preserve"> to me by the University of The Gambia during this study.</w:t>
      </w:r>
      <w:r w:rsidRPr="009672FC">
        <w:rPr>
          <w:rFonts w:ascii="Garamond" w:hAnsi="Garamond"/>
        </w:rPr>
        <w:t xml:space="preserve"> </w:t>
      </w:r>
    </w:p>
    <w:p w14:paraId="7E8C553C" w14:textId="702E8541" w:rsidR="003D5DE8" w:rsidRPr="009672FC" w:rsidRDefault="007549AA" w:rsidP="009672FC">
      <w:pPr>
        <w:spacing w:line="360" w:lineRule="auto"/>
        <w:ind w:left="720" w:right="720" w:firstLine="720"/>
        <w:rPr>
          <w:rFonts w:ascii="Garamond" w:hAnsi="Garamond"/>
        </w:rPr>
      </w:pPr>
      <w:r w:rsidRPr="009672FC">
        <w:rPr>
          <w:rFonts w:ascii="Garamond" w:hAnsi="Garamond"/>
        </w:rPr>
        <w:t>I dedicate this thesis to my son, Ahmad Jamal Ceesay.</w:t>
      </w:r>
      <w:r w:rsidRPr="009672FC">
        <w:rPr>
          <w:rFonts w:ascii="Garamond" w:hAnsi="Garamond"/>
        </w:rPr>
        <w:br/>
      </w:r>
      <w:r w:rsidRPr="009672FC">
        <w:rPr>
          <w:rFonts w:ascii="Garamond" w:hAnsi="Garamond"/>
        </w:rPr>
        <w:br/>
        <w:t>Verona, October 2021</w:t>
      </w:r>
      <w:r w:rsidRPr="009672FC">
        <w:rPr>
          <w:rFonts w:ascii="Garamond" w:hAnsi="Garamond"/>
        </w:rPr>
        <w:br/>
        <w:t>Lamin B. Ceesay</w:t>
      </w:r>
    </w:p>
    <w:p w14:paraId="68AECBE4" w14:textId="77777777" w:rsidR="003D5DE8" w:rsidRPr="009672FC" w:rsidRDefault="003D5DE8" w:rsidP="000D2D94">
      <w:pPr>
        <w:spacing w:line="360" w:lineRule="auto"/>
        <w:rPr>
          <w:rFonts w:ascii="Garamond" w:hAnsi="Garamond"/>
        </w:rPr>
      </w:pPr>
    </w:p>
    <w:p w14:paraId="14D0D5A7" w14:textId="77777777" w:rsidR="003D5DE8" w:rsidRPr="009672FC" w:rsidRDefault="003D5DE8" w:rsidP="000D2D94">
      <w:pPr>
        <w:spacing w:line="360" w:lineRule="auto"/>
        <w:rPr>
          <w:rFonts w:ascii="Garamond" w:hAnsi="Garamond"/>
        </w:rPr>
      </w:pPr>
    </w:p>
    <w:p w14:paraId="2AA129C2" w14:textId="77777777" w:rsidR="003D5DE8" w:rsidRPr="009672FC" w:rsidRDefault="003D5DE8">
      <w:pPr>
        <w:spacing w:line="360" w:lineRule="auto"/>
        <w:jc w:val="both"/>
        <w:rPr>
          <w:rFonts w:ascii="Garamond" w:hAnsi="Garamond"/>
        </w:rPr>
      </w:pPr>
    </w:p>
    <w:p w14:paraId="03CBB2E6" w14:textId="77777777" w:rsidR="003D5DE8" w:rsidRPr="009672FC" w:rsidRDefault="003D5DE8">
      <w:pPr>
        <w:spacing w:line="360" w:lineRule="auto"/>
        <w:jc w:val="both"/>
        <w:rPr>
          <w:rFonts w:ascii="Garamond" w:hAnsi="Garamond"/>
        </w:rPr>
      </w:pPr>
    </w:p>
    <w:p w14:paraId="389AD69B" w14:textId="77777777" w:rsidR="003D5DE8" w:rsidRPr="009672FC" w:rsidRDefault="003D5DE8">
      <w:pPr>
        <w:spacing w:line="360" w:lineRule="auto"/>
        <w:jc w:val="both"/>
        <w:rPr>
          <w:rFonts w:ascii="Garamond" w:hAnsi="Garamond"/>
        </w:rPr>
      </w:pPr>
    </w:p>
    <w:p w14:paraId="2727C2DD" w14:textId="77777777" w:rsidR="003D5DE8" w:rsidRPr="009672FC" w:rsidRDefault="003D5DE8">
      <w:pPr>
        <w:pStyle w:val="MDPI13authornames"/>
        <w:rPr>
          <w:rFonts w:ascii="Garamond" w:hAnsi="Garamond"/>
          <w:color w:val="auto"/>
          <w:sz w:val="24"/>
          <w:lang w:eastAsia="en-GB" w:bidi="ar-SA"/>
        </w:rPr>
      </w:pPr>
    </w:p>
    <w:p w14:paraId="3B6B67DC" w14:textId="77777777" w:rsidR="003D5DE8" w:rsidRPr="009672FC" w:rsidRDefault="003D5DE8">
      <w:pPr>
        <w:pStyle w:val="MDPI13authornames"/>
        <w:rPr>
          <w:rFonts w:ascii="Garamond" w:hAnsi="Garamond"/>
          <w:color w:val="auto"/>
          <w:sz w:val="24"/>
          <w:lang w:eastAsia="en-GB" w:bidi="ar-SA"/>
        </w:rPr>
      </w:pPr>
    </w:p>
    <w:p w14:paraId="227C3904" w14:textId="66C7A52F" w:rsidR="003D5DE8" w:rsidRPr="009672FC" w:rsidRDefault="003D5DE8">
      <w:pPr>
        <w:pStyle w:val="MDPI13authornames"/>
        <w:rPr>
          <w:rFonts w:ascii="Garamond" w:hAnsi="Garamond"/>
        </w:rPr>
      </w:pPr>
    </w:p>
    <w:p w14:paraId="1418EB1F" w14:textId="1B00BF15" w:rsidR="000D2D94" w:rsidRPr="009672FC" w:rsidRDefault="000D2D94" w:rsidP="000D2D94">
      <w:pPr>
        <w:rPr>
          <w:rFonts w:ascii="Garamond" w:hAnsi="Garamond"/>
          <w:lang w:eastAsia="de-DE" w:bidi="en-US"/>
        </w:rPr>
      </w:pPr>
    </w:p>
    <w:p w14:paraId="756A2BBF" w14:textId="77777777" w:rsidR="005B045E" w:rsidRPr="009672FC" w:rsidRDefault="005B045E" w:rsidP="000D2D94">
      <w:pPr>
        <w:rPr>
          <w:rFonts w:ascii="Garamond" w:hAnsi="Garamond"/>
          <w:lang w:eastAsia="de-DE" w:bidi="en-US"/>
        </w:rPr>
      </w:pPr>
    </w:p>
    <w:sdt>
      <w:sdtPr>
        <w:rPr>
          <w:rFonts w:ascii="Garamond" w:eastAsia="Times New Roman" w:hAnsi="Garamond" w:cs="Times New Roman"/>
          <w:b w:val="0"/>
          <w:bCs w:val="0"/>
          <w:sz w:val="24"/>
          <w:szCs w:val="24"/>
        </w:rPr>
        <w:id w:val="1690485651"/>
        <w:docPartObj>
          <w:docPartGallery w:val="Table of Contents"/>
          <w:docPartUnique/>
        </w:docPartObj>
      </w:sdtPr>
      <w:sdtEndPr>
        <w:rPr>
          <w:noProof/>
        </w:rPr>
      </w:sdtEndPr>
      <w:sdtContent>
        <w:p w14:paraId="5AF655E0" w14:textId="346C90E5" w:rsidR="00EB5D6B" w:rsidRPr="003A5B2F" w:rsidRDefault="00AD390F" w:rsidP="00A23164">
          <w:pPr>
            <w:pStyle w:val="TOCHeading"/>
            <w:jc w:val="center"/>
            <w:rPr>
              <w:rFonts w:ascii="Garamond" w:hAnsi="Garamond" w:cs="Times New Roman"/>
              <w:bCs w:val="0"/>
              <w:sz w:val="24"/>
              <w:szCs w:val="24"/>
            </w:rPr>
          </w:pPr>
          <w:r w:rsidRPr="003A5B2F">
            <w:rPr>
              <w:rFonts w:ascii="Garamond" w:hAnsi="Garamond" w:cs="Times New Roman"/>
              <w:bCs w:val="0"/>
              <w:sz w:val="24"/>
              <w:szCs w:val="24"/>
            </w:rPr>
            <w:t>TABLE OF CONTENTS</w:t>
          </w:r>
        </w:p>
        <w:p w14:paraId="10D41A75" w14:textId="713F63E1" w:rsidR="00EB5D6B" w:rsidRPr="009672FC" w:rsidRDefault="00EB5D6B">
          <w:pPr>
            <w:pStyle w:val="TOC1"/>
            <w:tabs>
              <w:tab w:val="right" w:leader="dot" w:pos="9350"/>
            </w:tabs>
            <w:rPr>
              <w:rFonts w:ascii="Garamond" w:eastAsiaTheme="minorEastAsia" w:hAnsi="Garamond" w:cs="Times New Roman"/>
              <w:b w:val="0"/>
              <w:bCs w:val="0"/>
              <w:caps w:val="0"/>
              <w:noProof/>
              <w:sz w:val="24"/>
              <w:szCs w:val="24"/>
              <w:u w:val="none"/>
              <w:lang w:eastAsia="en-US"/>
            </w:rPr>
          </w:pPr>
          <w:r w:rsidRPr="009672FC">
            <w:rPr>
              <w:rFonts w:ascii="Garamond" w:hAnsi="Garamond" w:cs="Times New Roman"/>
              <w:b w:val="0"/>
              <w:noProof/>
              <w:sz w:val="24"/>
              <w:szCs w:val="24"/>
              <w:u w:val="none"/>
            </w:rPr>
            <w:fldChar w:fldCharType="begin"/>
          </w:r>
          <w:r w:rsidRPr="00255AEF">
            <w:rPr>
              <w:rFonts w:ascii="Garamond" w:hAnsi="Garamond" w:cs="Times New Roman"/>
              <w:b w:val="0"/>
              <w:noProof/>
              <w:sz w:val="24"/>
              <w:szCs w:val="24"/>
              <w:u w:val="none"/>
            </w:rPr>
            <w:instrText xml:space="preserve"> TOC \o "1-3" \h \z \u </w:instrText>
          </w:r>
          <w:r w:rsidRPr="009672FC">
            <w:rPr>
              <w:rFonts w:ascii="Garamond" w:hAnsi="Garamond" w:cs="Times New Roman"/>
              <w:b w:val="0"/>
              <w:noProof/>
              <w:sz w:val="24"/>
              <w:szCs w:val="24"/>
              <w:u w:val="none"/>
            </w:rPr>
            <w:fldChar w:fldCharType="separate"/>
          </w:r>
          <w:hyperlink w:anchor="_Toc85709709" w:history="1">
            <w:r w:rsidRPr="009672FC">
              <w:rPr>
                <w:rStyle w:val="Hyperlink"/>
                <w:rFonts w:ascii="Garamond" w:hAnsi="Garamond" w:cs="Times New Roman"/>
                <w:b w:val="0"/>
                <w:noProof/>
                <w:sz w:val="24"/>
                <w:szCs w:val="24"/>
                <w:u w:val="none"/>
              </w:rPr>
              <w:t>Acknowledgements</w:t>
            </w:r>
            <w:r w:rsidRPr="009672FC">
              <w:rPr>
                <w:rFonts w:ascii="Garamond" w:hAnsi="Garamond" w:cs="Times New Roman"/>
                <w:b w:val="0"/>
                <w:noProof/>
                <w:webHidden/>
                <w:sz w:val="24"/>
                <w:szCs w:val="24"/>
                <w:u w:val="none"/>
              </w:rPr>
              <w:tab/>
            </w:r>
            <w:r w:rsidRPr="009672FC">
              <w:rPr>
                <w:rFonts w:ascii="Garamond" w:hAnsi="Garamond" w:cs="Times New Roman"/>
                <w:b w:val="0"/>
                <w:noProof/>
                <w:webHidden/>
                <w:sz w:val="24"/>
                <w:szCs w:val="24"/>
                <w:u w:val="none"/>
              </w:rPr>
              <w:fldChar w:fldCharType="begin"/>
            </w:r>
            <w:r w:rsidRPr="009672FC">
              <w:rPr>
                <w:rFonts w:ascii="Garamond" w:hAnsi="Garamond" w:cs="Times New Roman"/>
                <w:b w:val="0"/>
                <w:noProof/>
                <w:webHidden/>
                <w:sz w:val="24"/>
                <w:szCs w:val="24"/>
                <w:u w:val="none"/>
              </w:rPr>
              <w:instrText xml:space="preserve"> PAGEREF _Toc85709709 \h </w:instrText>
            </w:r>
            <w:r w:rsidRPr="009672FC">
              <w:rPr>
                <w:rFonts w:ascii="Garamond" w:hAnsi="Garamond" w:cs="Times New Roman"/>
                <w:b w:val="0"/>
                <w:noProof/>
                <w:webHidden/>
                <w:sz w:val="24"/>
                <w:szCs w:val="24"/>
                <w:u w:val="none"/>
              </w:rPr>
            </w:r>
            <w:r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ii</w:t>
            </w:r>
            <w:r w:rsidRPr="009672FC">
              <w:rPr>
                <w:rFonts w:ascii="Garamond" w:hAnsi="Garamond" w:cs="Times New Roman"/>
                <w:b w:val="0"/>
                <w:noProof/>
                <w:webHidden/>
                <w:sz w:val="24"/>
                <w:szCs w:val="24"/>
                <w:u w:val="none"/>
              </w:rPr>
              <w:fldChar w:fldCharType="end"/>
            </w:r>
          </w:hyperlink>
        </w:p>
        <w:p w14:paraId="3407AE35" w14:textId="18E3D50E"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10" w:history="1">
            <w:r w:rsidR="00EB5D6B" w:rsidRPr="009672FC">
              <w:rPr>
                <w:rStyle w:val="Hyperlink"/>
                <w:rFonts w:ascii="Garamond" w:eastAsiaTheme="minorHAnsi" w:hAnsi="Garamond" w:cs="Times New Roman"/>
                <w:b w:val="0"/>
                <w:noProof/>
                <w:sz w:val="24"/>
                <w:szCs w:val="24"/>
                <w:u w:val="none"/>
                <w:lang w:val="en-GB" w:eastAsia="en-US"/>
              </w:rPr>
              <w:t>List of tables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_Toc85709710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viii</w:t>
            </w:r>
            <w:r w:rsidR="00EB5D6B" w:rsidRPr="009672FC">
              <w:rPr>
                <w:rFonts w:ascii="Garamond" w:hAnsi="Garamond" w:cs="Times New Roman"/>
                <w:b w:val="0"/>
                <w:noProof/>
                <w:webHidden/>
                <w:sz w:val="24"/>
                <w:szCs w:val="24"/>
                <w:u w:val="none"/>
              </w:rPr>
              <w:fldChar w:fldCharType="end"/>
            </w:r>
          </w:hyperlink>
        </w:p>
        <w:p w14:paraId="25B2E778" w14:textId="4AE82AC1"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11" w:history="1">
            <w:r w:rsidR="00EB5D6B" w:rsidRPr="009672FC">
              <w:rPr>
                <w:rStyle w:val="Hyperlink"/>
                <w:rFonts w:ascii="Garamond" w:hAnsi="Garamond" w:cs="Times New Roman"/>
                <w:b w:val="0"/>
                <w:noProof/>
                <w:sz w:val="24"/>
                <w:szCs w:val="24"/>
                <w:u w:val="none"/>
              </w:rPr>
              <w:t>List of figures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_Toc85709711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viii</w:t>
            </w:r>
            <w:r w:rsidR="00EB5D6B" w:rsidRPr="009672FC">
              <w:rPr>
                <w:rFonts w:ascii="Garamond" w:hAnsi="Garamond" w:cs="Times New Roman"/>
                <w:b w:val="0"/>
                <w:noProof/>
                <w:webHidden/>
                <w:sz w:val="24"/>
                <w:szCs w:val="24"/>
                <w:u w:val="none"/>
              </w:rPr>
              <w:fldChar w:fldCharType="end"/>
            </w:r>
          </w:hyperlink>
        </w:p>
        <w:p w14:paraId="5B66B39E" w14:textId="388DFCD5"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12" w:history="1">
            <w:r w:rsidR="00EB5D6B" w:rsidRPr="009672FC">
              <w:rPr>
                <w:rStyle w:val="Hyperlink"/>
                <w:rFonts w:ascii="Garamond" w:hAnsi="Garamond" w:cs="Times New Roman"/>
                <w:b w:val="0"/>
                <w:noProof/>
                <w:sz w:val="24"/>
                <w:szCs w:val="24"/>
                <w:u w:val="none"/>
                <w:lang w:bidi="en-US"/>
              </w:rPr>
              <w:t>Summary</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_Toc85709712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ix</w:t>
            </w:r>
            <w:r w:rsidR="00EB5D6B" w:rsidRPr="009672FC">
              <w:rPr>
                <w:rFonts w:ascii="Garamond" w:hAnsi="Garamond" w:cs="Times New Roman"/>
                <w:b w:val="0"/>
                <w:noProof/>
                <w:webHidden/>
                <w:sz w:val="24"/>
                <w:szCs w:val="24"/>
                <w:u w:val="none"/>
              </w:rPr>
              <w:fldChar w:fldCharType="end"/>
            </w:r>
          </w:hyperlink>
        </w:p>
        <w:p w14:paraId="0E05AA1D" w14:textId="5D6B6B08" w:rsidR="00EB5D6B" w:rsidRPr="009672FC" w:rsidRDefault="00432042">
          <w:pPr>
            <w:pStyle w:val="TOC2"/>
            <w:tabs>
              <w:tab w:val="right" w:leader="dot" w:pos="9350"/>
            </w:tabs>
            <w:rPr>
              <w:rFonts w:ascii="Garamond" w:eastAsiaTheme="minorEastAsia" w:hAnsi="Garamond" w:cs="Times New Roman"/>
              <w:b w:val="0"/>
              <w:bCs w:val="0"/>
              <w:smallCaps w:val="0"/>
              <w:noProof/>
              <w:sz w:val="24"/>
              <w:szCs w:val="24"/>
              <w:lang w:eastAsia="en-US"/>
            </w:rPr>
          </w:pPr>
          <w:hyperlink w:anchor="_Toc85709713" w:history="1">
            <w:r w:rsidR="00EB5D6B" w:rsidRPr="009672FC">
              <w:rPr>
                <w:rStyle w:val="Hyperlink"/>
                <w:rFonts w:ascii="Garamond" w:eastAsiaTheme="minorHAnsi" w:hAnsi="Garamond" w:cs="Times New Roman"/>
                <w:b w:val="0"/>
                <w:noProof/>
                <w:sz w:val="24"/>
                <w:szCs w:val="24"/>
                <w:u w:val="none"/>
                <w:lang w:val="en-GB"/>
              </w:rPr>
              <w:t>Chapter 1</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_Toc85709713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w:t>
            </w:r>
            <w:r w:rsidR="00EB5D6B" w:rsidRPr="009672FC">
              <w:rPr>
                <w:rFonts w:ascii="Garamond" w:hAnsi="Garamond" w:cs="Times New Roman"/>
                <w:b w:val="0"/>
                <w:noProof/>
                <w:webHidden/>
                <w:sz w:val="24"/>
                <w:szCs w:val="24"/>
              </w:rPr>
              <w:fldChar w:fldCharType="end"/>
            </w:r>
          </w:hyperlink>
        </w:p>
        <w:p w14:paraId="0A5BDBBA" w14:textId="051C2520"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14" w:history="1">
            <w:r w:rsidR="00EB5D6B" w:rsidRPr="009672FC">
              <w:rPr>
                <w:rStyle w:val="Hyperlink"/>
                <w:rFonts w:ascii="Garamond" w:hAnsi="Garamond" w:cs="Times New Roman"/>
                <w:b w:val="0"/>
                <w:iCs/>
                <w:noProof/>
                <w:sz w:val="24"/>
                <w:szCs w:val="24"/>
                <w:u w:val="none"/>
                <w:lang w:bidi="en-US"/>
              </w:rPr>
              <w:t>Abstract</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_Toc85709714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w:t>
            </w:r>
            <w:r w:rsidR="00EB5D6B" w:rsidRPr="009672FC">
              <w:rPr>
                <w:rFonts w:ascii="Garamond" w:hAnsi="Garamond" w:cs="Times New Roman"/>
                <w:b w:val="0"/>
                <w:noProof/>
                <w:webHidden/>
                <w:sz w:val="24"/>
                <w:szCs w:val="24"/>
                <w:u w:val="none"/>
              </w:rPr>
              <w:fldChar w:fldCharType="end"/>
            </w:r>
          </w:hyperlink>
        </w:p>
        <w:p w14:paraId="01092319" w14:textId="7092D163"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15" w:history="1">
            <w:r w:rsidR="00EB5D6B" w:rsidRPr="009672FC">
              <w:rPr>
                <w:rStyle w:val="Hyperlink"/>
                <w:rFonts w:ascii="Garamond" w:hAnsi="Garamond" w:cs="Times New Roman"/>
                <w:b w:val="0"/>
                <w:iCs/>
                <w:noProof/>
                <w:sz w:val="24"/>
                <w:szCs w:val="24"/>
                <w:u w:val="none"/>
                <w:lang w:eastAsia="zh-CN" w:bidi="en-US"/>
              </w:rPr>
              <w:t>1.1.</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eastAsia="zh-CN" w:bidi="en-US"/>
              </w:rPr>
              <w:t>Introduction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_Toc85709715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w:t>
            </w:r>
            <w:r w:rsidR="00EB5D6B" w:rsidRPr="009672FC">
              <w:rPr>
                <w:rFonts w:ascii="Garamond" w:hAnsi="Garamond" w:cs="Times New Roman"/>
                <w:b w:val="0"/>
                <w:noProof/>
                <w:webHidden/>
                <w:sz w:val="24"/>
                <w:szCs w:val="24"/>
              </w:rPr>
              <w:fldChar w:fldCharType="end"/>
            </w:r>
          </w:hyperlink>
        </w:p>
        <w:p w14:paraId="56943638" w14:textId="4C30DE3F"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16" w:history="1">
            <w:r w:rsidR="00EB5D6B" w:rsidRPr="009672FC">
              <w:rPr>
                <w:rStyle w:val="Hyperlink"/>
                <w:rFonts w:ascii="Garamond" w:hAnsi="Garamond" w:cs="Times New Roman"/>
                <w:b w:val="0"/>
                <w:iCs/>
                <w:noProof/>
                <w:sz w:val="24"/>
                <w:szCs w:val="24"/>
                <w:u w:val="none"/>
                <w:lang w:bidi="en-US"/>
              </w:rPr>
              <w:t>1.2.</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Materials and Methods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_Toc85709716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3</w:t>
            </w:r>
            <w:r w:rsidR="00EB5D6B" w:rsidRPr="009672FC">
              <w:rPr>
                <w:rFonts w:ascii="Garamond" w:hAnsi="Garamond" w:cs="Times New Roman"/>
                <w:b w:val="0"/>
                <w:noProof/>
                <w:webHidden/>
                <w:sz w:val="24"/>
                <w:szCs w:val="24"/>
              </w:rPr>
              <w:fldChar w:fldCharType="end"/>
            </w:r>
          </w:hyperlink>
        </w:p>
        <w:p w14:paraId="0EF0EEC5" w14:textId="4BC3A73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17" w:history="1">
            <w:r w:rsidR="00EB5D6B" w:rsidRPr="009672FC">
              <w:rPr>
                <w:rStyle w:val="Hyperlink"/>
                <w:rFonts w:ascii="Garamond" w:hAnsi="Garamond" w:cs="Times New Roman"/>
                <w:bCs/>
                <w:i/>
                <w:iCs/>
                <w:noProof/>
                <w:sz w:val="24"/>
                <w:szCs w:val="24"/>
                <w:u w:val="none"/>
                <w:lang w:bidi="en-US"/>
              </w:rPr>
              <w:t>1.2.1.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noProof/>
                <w:sz w:val="24"/>
                <w:szCs w:val="24"/>
                <w:u w:val="none"/>
                <w:lang w:val="en-GB" w:bidi="en-US"/>
              </w:rPr>
              <w:t>Systematic Review Methodology</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_Toc85709717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3</w:t>
            </w:r>
            <w:r w:rsidR="00EB5D6B" w:rsidRPr="009672FC">
              <w:rPr>
                <w:rFonts w:ascii="Garamond" w:hAnsi="Garamond" w:cs="Times New Roman"/>
                <w:noProof/>
                <w:webHidden/>
                <w:sz w:val="24"/>
                <w:szCs w:val="24"/>
              </w:rPr>
              <w:fldChar w:fldCharType="end"/>
            </w:r>
          </w:hyperlink>
        </w:p>
        <w:p w14:paraId="4C04B423" w14:textId="4B6E37FD"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18" w:history="1">
            <w:r w:rsidR="00EB5D6B" w:rsidRPr="009672FC">
              <w:rPr>
                <w:rStyle w:val="Hyperlink"/>
                <w:rFonts w:ascii="Garamond" w:hAnsi="Garamond" w:cs="Times New Roman"/>
                <w:bCs/>
                <w:i/>
                <w:iCs/>
                <w:noProof/>
                <w:sz w:val="24"/>
                <w:szCs w:val="24"/>
                <w:u w:val="none"/>
                <w:lang w:bidi="en-US"/>
              </w:rPr>
              <w:t>1.2.2.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Planning the Review</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_Toc85709718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w:t>
            </w:r>
            <w:r w:rsidR="00EB5D6B" w:rsidRPr="009672FC">
              <w:rPr>
                <w:rFonts w:ascii="Garamond" w:hAnsi="Garamond" w:cs="Times New Roman"/>
                <w:noProof/>
                <w:webHidden/>
                <w:sz w:val="24"/>
                <w:szCs w:val="24"/>
              </w:rPr>
              <w:fldChar w:fldCharType="end"/>
            </w:r>
          </w:hyperlink>
        </w:p>
        <w:p w14:paraId="6B7F81DF" w14:textId="27BBF16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19" w:history="1">
            <w:r w:rsidR="00EB5D6B" w:rsidRPr="009672FC">
              <w:rPr>
                <w:rStyle w:val="Hyperlink"/>
                <w:rFonts w:ascii="Garamond" w:hAnsi="Garamond" w:cs="Times New Roman"/>
                <w:bCs/>
                <w:i/>
                <w:iCs/>
                <w:noProof/>
                <w:sz w:val="24"/>
                <w:szCs w:val="24"/>
                <w:u w:val="none"/>
                <w:lang w:bidi="en-US"/>
              </w:rPr>
              <w:t>1.2.3.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Conducting the Review</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_Toc85709719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w:t>
            </w:r>
            <w:r w:rsidR="00EB5D6B" w:rsidRPr="009672FC">
              <w:rPr>
                <w:rFonts w:ascii="Garamond" w:hAnsi="Garamond" w:cs="Times New Roman"/>
                <w:noProof/>
                <w:webHidden/>
                <w:sz w:val="24"/>
                <w:szCs w:val="24"/>
              </w:rPr>
              <w:fldChar w:fldCharType="end"/>
            </w:r>
          </w:hyperlink>
        </w:p>
        <w:p w14:paraId="15A63C14" w14:textId="5E2E183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0" w:history="1">
            <w:r w:rsidR="00EB5D6B" w:rsidRPr="009672FC">
              <w:rPr>
                <w:rStyle w:val="Hyperlink"/>
                <w:rFonts w:ascii="Garamond" w:hAnsi="Garamond" w:cs="Times New Roman"/>
                <w:bCs/>
                <w:i/>
                <w:iCs/>
                <w:noProof/>
                <w:sz w:val="24"/>
                <w:szCs w:val="24"/>
                <w:u w:val="none"/>
                <w:lang w:val="en-GB" w:bidi="en-US"/>
              </w:rPr>
              <w:t>1.2.4.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Reporting the Findings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5</w:t>
            </w:r>
            <w:r w:rsidR="00EB5D6B" w:rsidRPr="009672FC">
              <w:rPr>
                <w:rFonts w:ascii="Garamond" w:hAnsi="Garamond" w:cs="Times New Roman"/>
                <w:noProof/>
                <w:webHidden/>
                <w:sz w:val="24"/>
                <w:szCs w:val="24"/>
              </w:rPr>
              <w:fldChar w:fldCharType="end"/>
            </w:r>
          </w:hyperlink>
        </w:p>
        <w:p w14:paraId="255B8CAE" w14:textId="6A38BAEC"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21" w:history="1">
            <w:r w:rsidR="00EB5D6B" w:rsidRPr="009672FC">
              <w:rPr>
                <w:rStyle w:val="Hyperlink"/>
                <w:rFonts w:ascii="Garamond" w:hAnsi="Garamond" w:cs="Times New Roman"/>
                <w:b w:val="0"/>
                <w:iCs/>
                <w:noProof/>
                <w:sz w:val="24"/>
                <w:szCs w:val="24"/>
                <w:u w:val="none"/>
                <w:lang w:bidi="en-US"/>
              </w:rPr>
              <w:t>1.3.</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Results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_Toc85709721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6</w:t>
            </w:r>
            <w:r w:rsidR="00EB5D6B" w:rsidRPr="009672FC">
              <w:rPr>
                <w:rFonts w:ascii="Garamond" w:hAnsi="Garamond" w:cs="Times New Roman"/>
                <w:b w:val="0"/>
                <w:noProof/>
                <w:webHidden/>
                <w:sz w:val="24"/>
                <w:szCs w:val="24"/>
              </w:rPr>
              <w:fldChar w:fldCharType="end"/>
            </w:r>
          </w:hyperlink>
        </w:p>
        <w:p w14:paraId="4430B8A4" w14:textId="3539353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2" w:history="1">
            <w:r w:rsidR="00EB5D6B" w:rsidRPr="009672FC">
              <w:rPr>
                <w:rStyle w:val="Hyperlink"/>
                <w:rFonts w:ascii="Garamond" w:hAnsi="Garamond" w:cs="Times New Roman"/>
                <w:bCs/>
                <w:i/>
                <w:iCs/>
                <w:noProof/>
                <w:sz w:val="24"/>
                <w:szCs w:val="24"/>
                <w:u w:val="none"/>
                <w:lang w:bidi="en-US"/>
              </w:rPr>
              <w:t>1.3.1.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i/>
                <w:noProof/>
                <w:sz w:val="24"/>
                <w:szCs w:val="24"/>
                <w:u w:val="none"/>
                <w:lang w:val="en-GB" w:bidi="en-US"/>
              </w:rPr>
              <w:t>The Number of Publications over time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w:t>
            </w:r>
            <w:r w:rsidR="00EB5D6B" w:rsidRPr="009672FC">
              <w:rPr>
                <w:rFonts w:ascii="Garamond" w:hAnsi="Garamond" w:cs="Times New Roman"/>
                <w:noProof/>
                <w:webHidden/>
                <w:sz w:val="24"/>
                <w:szCs w:val="24"/>
              </w:rPr>
              <w:fldChar w:fldCharType="end"/>
            </w:r>
          </w:hyperlink>
        </w:p>
        <w:p w14:paraId="1C2845B8" w14:textId="190B038C"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3" w:history="1">
            <w:r w:rsidR="00EB5D6B" w:rsidRPr="009672FC">
              <w:rPr>
                <w:rStyle w:val="Hyperlink"/>
                <w:rFonts w:ascii="Garamond" w:hAnsi="Garamond" w:cs="Times New Roman"/>
                <w:bCs/>
                <w:i/>
                <w:iCs/>
                <w:noProof/>
                <w:sz w:val="24"/>
                <w:szCs w:val="24"/>
                <w:u w:val="none"/>
                <w:lang w:val="en-GB" w:bidi="en-US"/>
              </w:rPr>
              <w:t>1.3.2.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i/>
                <w:noProof/>
                <w:sz w:val="24"/>
                <w:szCs w:val="24"/>
                <w:u w:val="none"/>
                <w:lang w:bidi="en-US"/>
              </w:rPr>
              <w:t>Papers by Methodology</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_Toc85709723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7</w:t>
            </w:r>
            <w:r w:rsidR="00EB5D6B" w:rsidRPr="009672FC">
              <w:rPr>
                <w:rFonts w:ascii="Garamond" w:hAnsi="Garamond" w:cs="Times New Roman"/>
                <w:noProof/>
                <w:webHidden/>
                <w:sz w:val="24"/>
                <w:szCs w:val="24"/>
              </w:rPr>
              <w:fldChar w:fldCharType="end"/>
            </w:r>
          </w:hyperlink>
        </w:p>
        <w:p w14:paraId="50076B06" w14:textId="019E1C89"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4" w:history="1">
            <w:r w:rsidR="00EB5D6B" w:rsidRPr="009672FC">
              <w:rPr>
                <w:rStyle w:val="Hyperlink"/>
                <w:rFonts w:ascii="Garamond" w:hAnsi="Garamond" w:cs="Times New Roman"/>
                <w:bCs/>
                <w:i/>
                <w:iCs/>
                <w:noProof/>
                <w:sz w:val="24"/>
                <w:szCs w:val="24"/>
                <w:u w:val="none"/>
                <w:lang w:val="en-GB" w:bidi="en-US"/>
              </w:rPr>
              <w:t>1.3.3.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The Most Influential Journals in Inter-organizational business network research</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_Toc85709724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8</w:t>
            </w:r>
            <w:r w:rsidR="00EB5D6B" w:rsidRPr="009672FC">
              <w:rPr>
                <w:rFonts w:ascii="Garamond" w:hAnsi="Garamond" w:cs="Times New Roman"/>
                <w:noProof/>
                <w:webHidden/>
                <w:sz w:val="24"/>
                <w:szCs w:val="24"/>
              </w:rPr>
              <w:fldChar w:fldCharType="end"/>
            </w:r>
          </w:hyperlink>
        </w:p>
        <w:p w14:paraId="47A1B473" w14:textId="4681872B"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5" w:history="1">
            <w:r w:rsidR="00EB5D6B" w:rsidRPr="009672FC">
              <w:rPr>
                <w:rStyle w:val="Hyperlink"/>
                <w:rFonts w:ascii="Garamond" w:hAnsi="Garamond" w:cs="Times New Roman"/>
                <w:bCs/>
                <w:i/>
                <w:iCs/>
                <w:noProof/>
                <w:sz w:val="24"/>
                <w:szCs w:val="24"/>
                <w:u w:val="none"/>
                <w:lang w:val="en-GB" w:bidi="en-US"/>
              </w:rPr>
              <w:t>1.3.4.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The Bibliographic Coupling According to Country</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w:t>
            </w:r>
            <w:r w:rsidR="00EB5D6B" w:rsidRPr="009672FC">
              <w:rPr>
                <w:rFonts w:ascii="Garamond" w:hAnsi="Garamond" w:cs="Times New Roman"/>
                <w:noProof/>
                <w:webHidden/>
                <w:sz w:val="24"/>
                <w:szCs w:val="24"/>
              </w:rPr>
              <w:fldChar w:fldCharType="end"/>
            </w:r>
          </w:hyperlink>
        </w:p>
        <w:p w14:paraId="21946F81" w14:textId="0115ABD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6" w:history="1">
            <w:r w:rsidR="00EB5D6B" w:rsidRPr="009672FC">
              <w:rPr>
                <w:rStyle w:val="Hyperlink"/>
                <w:rFonts w:ascii="Garamond" w:hAnsi="Garamond" w:cs="Times New Roman"/>
                <w:bCs/>
                <w:i/>
                <w:iCs/>
                <w:noProof/>
                <w:sz w:val="24"/>
                <w:szCs w:val="24"/>
                <w:u w:val="none"/>
                <w:lang w:bidi="en-US"/>
              </w:rPr>
              <w:t>1.3.5.</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Co-Citation of Authors in Inter-Organizational Business Network Research</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11</w:t>
            </w:r>
            <w:r w:rsidR="00EB5D6B" w:rsidRPr="009672FC">
              <w:rPr>
                <w:rFonts w:ascii="Garamond" w:hAnsi="Garamond" w:cs="Times New Roman"/>
                <w:noProof/>
                <w:webHidden/>
                <w:sz w:val="24"/>
                <w:szCs w:val="24"/>
              </w:rPr>
              <w:fldChar w:fldCharType="end"/>
            </w:r>
          </w:hyperlink>
        </w:p>
        <w:p w14:paraId="56866587" w14:textId="43F81AAB"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27" w:history="1">
            <w:r w:rsidR="00EB5D6B" w:rsidRPr="009672FC">
              <w:rPr>
                <w:rStyle w:val="Hyperlink"/>
                <w:rFonts w:ascii="Garamond" w:hAnsi="Garamond" w:cs="Times New Roman"/>
                <w:b w:val="0"/>
                <w:iCs/>
                <w:noProof/>
                <w:sz w:val="24"/>
                <w:szCs w:val="24"/>
                <w:u w:val="none"/>
                <w:lang w:bidi="en-US"/>
              </w:rPr>
              <w:t>1.4.</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Discussion of Paper Contents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_Toc85709727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12</w:t>
            </w:r>
            <w:r w:rsidR="00EB5D6B" w:rsidRPr="009672FC">
              <w:rPr>
                <w:rFonts w:ascii="Garamond" w:hAnsi="Garamond" w:cs="Times New Roman"/>
                <w:b w:val="0"/>
                <w:noProof/>
                <w:webHidden/>
                <w:sz w:val="24"/>
                <w:szCs w:val="24"/>
              </w:rPr>
              <w:fldChar w:fldCharType="end"/>
            </w:r>
          </w:hyperlink>
        </w:p>
        <w:p w14:paraId="7CF1D8B0" w14:textId="1A544E3E"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8" w:history="1">
            <w:r w:rsidR="00EB5D6B" w:rsidRPr="009672FC">
              <w:rPr>
                <w:rStyle w:val="Hyperlink"/>
                <w:rFonts w:ascii="Garamond" w:hAnsi="Garamond" w:cs="Times New Roman"/>
                <w:bCs/>
                <w:i/>
                <w:iCs/>
                <w:noProof/>
                <w:sz w:val="24"/>
                <w:szCs w:val="24"/>
                <w:u w:val="none"/>
                <w:lang w:bidi="en-US"/>
              </w:rPr>
              <w:t>1.4.1.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i/>
                <w:iCs/>
                <w:noProof/>
                <w:sz w:val="24"/>
                <w:szCs w:val="24"/>
                <w:u w:val="none"/>
                <w:lang w:val="en-GB" w:bidi="en-US"/>
              </w:rPr>
              <w:t>Network Antecedents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_Toc85709728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13</w:t>
            </w:r>
            <w:r w:rsidR="00EB5D6B" w:rsidRPr="009672FC">
              <w:rPr>
                <w:rFonts w:ascii="Garamond" w:hAnsi="Garamond" w:cs="Times New Roman"/>
                <w:noProof/>
                <w:webHidden/>
                <w:sz w:val="24"/>
                <w:szCs w:val="24"/>
              </w:rPr>
              <w:fldChar w:fldCharType="end"/>
            </w:r>
          </w:hyperlink>
        </w:p>
        <w:p w14:paraId="6512C050" w14:textId="55C104EA"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29" w:history="1">
            <w:r w:rsidR="00EB5D6B" w:rsidRPr="009672FC">
              <w:rPr>
                <w:rStyle w:val="Hyperlink"/>
                <w:rFonts w:ascii="Garamond" w:hAnsi="Garamond" w:cs="Times New Roman"/>
                <w:bCs/>
                <w:i/>
                <w:iCs/>
                <w:noProof/>
                <w:sz w:val="24"/>
                <w:szCs w:val="24"/>
                <w:u w:val="none"/>
                <w:lang w:val="en-GB" w:bidi="en-US"/>
              </w:rPr>
              <w:t>1.4.2.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Network Management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_Toc85709729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15</w:t>
            </w:r>
            <w:r w:rsidR="00EB5D6B" w:rsidRPr="009672FC">
              <w:rPr>
                <w:rFonts w:ascii="Garamond" w:hAnsi="Garamond" w:cs="Times New Roman"/>
                <w:noProof/>
                <w:webHidden/>
                <w:sz w:val="24"/>
                <w:szCs w:val="24"/>
              </w:rPr>
              <w:fldChar w:fldCharType="end"/>
            </w:r>
          </w:hyperlink>
        </w:p>
        <w:p w14:paraId="1B6897F4" w14:textId="6BA2FC0A"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30" w:history="1">
            <w:r w:rsidR="00EB5D6B" w:rsidRPr="009672FC">
              <w:rPr>
                <w:rStyle w:val="Hyperlink"/>
                <w:rFonts w:ascii="Garamond" w:hAnsi="Garamond" w:cs="Times New Roman"/>
                <w:bCs/>
                <w:i/>
                <w:iCs/>
                <w:noProof/>
                <w:sz w:val="24"/>
                <w:szCs w:val="24"/>
                <w:u w:val="none"/>
                <w:lang w:bidi="en-US"/>
              </w:rPr>
              <w:t>1.4.3.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Network Performance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_Toc85709730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20</w:t>
            </w:r>
            <w:r w:rsidR="00EB5D6B" w:rsidRPr="009672FC">
              <w:rPr>
                <w:rFonts w:ascii="Garamond" w:hAnsi="Garamond" w:cs="Times New Roman"/>
                <w:noProof/>
                <w:webHidden/>
                <w:sz w:val="24"/>
                <w:szCs w:val="24"/>
              </w:rPr>
              <w:fldChar w:fldCharType="end"/>
            </w:r>
          </w:hyperlink>
        </w:p>
        <w:p w14:paraId="169A2BC8" w14:textId="717440BB"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31" w:history="1">
            <w:r w:rsidR="00EB5D6B" w:rsidRPr="009672FC">
              <w:rPr>
                <w:rStyle w:val="Hyperlink"/>
                <w:rFonts w:ascii="Garamond" w:hAnsi="Garamond" w:cs="Times New Roman"/>
                <w:b w:val="0"/>
                <w:iCs/>
                <w:noProof/>
                <w:sz w:val="24"/>
                <w:szCs w:val="24"/>
                <w:u w:val="none"/>
                <w:lang w:bidi="en-US"/>
              </w:rPr>
              <w:t>1.5.</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Conclusions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_Toc85709731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21</w:t>
            </w:r>
            <w:r w:rsidR="00EB5D6B" w:rsidRPr="009672FC">
              <w:rPr>
                <w:rFonts w:ascii="Garamond" w:hAnsi="Garamond" w:cs="Times New Roman"/>
                <w:b w:val="0"/>
                <w:noProof/>
                <w:webHidden/>
                <w:sz w:val="24"/>
                <w:szCs w:val="24"/>
              </w:rPr>
              <w:fldChar w:fldCharType="end"/>
            </w:r>
          </w:hyperlink>
        </w:p>
        <w:p w14:paraId="338E5DB7" w14:textId="350AB991"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32" w:history="1">
            <w:r w:rsidR="00EB5D6B" w:rsidRPr="009672FC">
              <w:rPr>
                <w:rStyle w:val="Hyperlink"/>
                <w:rFonts w:ascii="Garamond" w:hAnsi="Garamond" w:cs="Times New Roman"/>
                <w:b w:val="0"/>
                <w:noProof/>
                <w:sz w:val="24"/>
                <w:szCs w:val="24"/>
                <w:u w:val="none"/>
              </w:rPr>
              <w:t>Chapter 2</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_Toc85709732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24</w:t>
            </w:r>
            <w:r w:rsidR="00EB5D6B" w:rsidRPr="009672FC">
              <w:rPr>
                <w:rFonts w:ascii="Garamond" w:hAnsi="Garamond" w:cs="Times New Roman"/>
                <w:b w:val="0"/>
                <w:noProof/>
                <w:webHidden/>
                <w:sz w:val="24"/>
                <w:szCs w:val="24"/>
                <w:u w:val="none"/>
              </w:rPr>
              <w:fldChar w:fldCharType="end"/>
            </w:r>
          </w:hyperlink>
        </w:p>
        <w:p w14:paraId="77AE08F3" w14:textId="2E864BB0"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33" w:history="1">
            <w:r w:rsidR="00EB5D6B" w:rsidRPr="009672FC">
              <w:rPr>
                <w:rStyle w:val="Hyperlink"/>
                <w:rFonts w:ascii="Garamond" w:hAnsi="Garamond" w:cs="Times New Roman"/>
                <w:b w:val="0"/>
                <w:noProof/>
                <w:sz w:val="24"/>
                <w:szCs w:val="24"/>
                <w:u w:val="none"/>
              </w:rPr>
              <w:t>Abstract:</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_Toc85709733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24</w:t>
            </w:r>
            <w:r w:rsidR="00EB5D6B" w:rsidRPr="009672FC">
              <w:rPr>
                <w:rFonts w:ascii="Garamond" w:hAnsi="Garamond" w:cs="Times New Roman"/>
                <w:b w:val="0"/>
                <w:noProof/>
                <w:webHidden/>
                <w:sz w:val="24"/>
                <w:szCs w:val="24"/>
                <w:u w:val="none"/>
              </w:rPr>
              <w:fldChar w:fldCharType="end"/>
            </w:r>
          </w:hyperlink>
        </w:p>
        <w:p w14:paraId="6A9A3974" w14:textId="6BC48691"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34" w:history="1">
            <w:r w:rsidR="00EB5D6B" w:rsidRPr="009672FC">
              <w:rPr>
                <w:rStyle w:val="Hyperlink"/>
                <w:rFonts w:ascii="Garamond" w:hAnsi="Garamond" w:cs="Times New Roman"/>
                <w:b w:val="0"/>
                <w:noProof/>
                <w:sz w:val="24"/>
                <w:szCs w:val="24"/>
                <w:u w:val="none"/>
                <w:lang w:eastAsia="zh-CN" w:bidi="en-US"/>
              </w:rPr>
              <w:t>2.1.</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eastAsia="zh-CN" w:bidi="en-US"/>
              </w:rPr>
              <w:t>Introduction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_Toc85709734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25</w:t>
            </w:r>
            <w:r w:rsidR="00EB5D6B" w:rsidRPr="009672FC">
              <w:rPr>
                <w:rFonts w:ascii="Garamond" w:hAnsi="Garamond" w:cs="Times New Roman"/>
                <w:b w:val="0"/>
                <w:noProof/>
                <w:webHidden/>
                <w:sz w:val="24"/>
                <w:szCs w:val="24"/>
              </w:rPr>
              <w:fldChar w:fldCharType="end"/>
            </w:r>
          </w:hyperlink>
        </w:p>
        <w:p w14:paraId="5BB7B62B" w14:textId="4B785EEF"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37" w:history="1">
            <w:r w:rsidR="00EB5D6B" w:rsidRPr="009672FC">
              <w:rPr>
                <w:rStyle w:val="Hyperlink"/>
                <w:rFonts w:ascii="Garamond" w:hAnsi="Garamond" w:cs="Times New Roman"/>
                <w:b w:val="0"/>
                <w:noProof/>
                <w:sz w:val="24"/>
                <w:szCs w:val="24"/>
                <w:u w:val="none"/>
                <w:lang w:bidi="en-US"/>
              </w:rPr>
              <w:t>2.2.</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Conceptual Background</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_Toc85709737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27</w:t>
            </w:r>
            <w:r w:rsidR="00EB5D6B" w:rsidRPr="009672FC">
              <w:rPr>
                <w:rFonts w:ascii="Garamond" w:hAnsi="Garamond" w:cs="Times New Roman"/>
                <w:b w:val="0"/>
                <w:noProof/>
                <w:webHidden/>
                <w:sz w:val="24"/>
                <w:szCs w:val="24"/>
              </w:rPr>
              <w:fldChar w:fldCharType="end"/>
            </w:r>
          </w:hyperlink>
        </w:p>
        <w:p w14:paraId="31D47513" w14:textId="77F1C4AA"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38" w:history="1">
            <w:r w:rsidR="00EB5D6B" w:rsidRPr="009672FC">
              <w:rPr>
                <w:rStyle w:val="Hyperlink"/>
                <w:rFonts w:ascii="Garamond" w:hAnsi="Garamond" w:cs="Times New Roman"/>
                <w:bCs/>
                <w:i/>
                <w:iCs/>
                <w:noProof/>
                <w:sz w:val="24"/>
                <w:szCs w:val="24"/>
                <w:u w:val="none"/>
                <w:lang w:bidi="en-US"/>
              </w:rPr>
              <w:t>2.2.1.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Inter-Firm Engagement, Collaborative Practices, and Business Network Performance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_Toc85709738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27</w:t>
            </w:r>
            <w:r w:rsidR="00EB5D6B" w:rsidRPr="009672FC">
              <w:rPr>
                <w:rFonts w:ascii="Garamond" w:hAnsi="Garamond" w:cs="Times New Roman"/>
                <w:noProof/>
                <w:webHidden/>
                <w:sz w:val="24"/>
                <w:szCs w:val="24"/>
              </w:rPr>
              <w:fldChar w:fldCharType="end"/>
            </w:r>
          </w:hyperlink>
        </w:p>
        <w:p w14:paraId="3E9C317E" w14:textId="152142A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39" w:history="1">
            <w:r w:rsidR="00EB5D6B" w:rsidRPr="009672FC">
              <w:rPr>
                <w:rStyle w:val="Hyperlink"/>
                <w:rFonts w:ascii="Garamond" w:hAnsi="Garamond" w:cs="Times New Roman"/>
                <w:bCs/>
                <w:i/>
                <w:iCs/>
                <w:noProof/>
                <w:sz w:val="24"/>
                <w:szCs w:val="24"/>
                <w:u w:val="none"/>
                <w:lang w:bidi="en-US"/>
              </w:rPr>
              <w:t>2.2.2.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Antecedents Enabling Inter-Firm Engagement in Business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_Toc85709739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29</w:t>
            </w:r>
            <w:r w:rsidR="00EB5D6B" w:rsidRPr="009672FC">
              <w:rPr>
                <w:rFonts w:ascii="Garamond" w:hAnsi="Garamond" w:cs="Times New Roman"/>
                <w:noProof/>
                <w:webHidden/>
                <w:sz w:val="24"/>
                <w:szCs w:val="24"/>
              </w:rPr>
              <w:fldChar w:fldCharType="end"/>
            </w:r>
          </w:hyperlink>
        </w:p>
        <w:p w14:paraId="09239594" w14:textId="260063D0"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40" w:history="1">
            <w:r w:rsidR="00EB5D6B" w:rsidRPr="009672FC">
              <w:rPr>
                <w:rStyle w:val="Hyperlink"/>
                <w:rFonts w:ascii="Garamond" w:hAnsi="Garamond" w:cs="Times New Roman"/>
                <w:b w:val="0"/>
                <w:noProof/>
                <w:sz w:val="24"/>
                <w:szCs w:val="24"/>
                <w:u w:val="none"/>
                <w:lang w:bidi="en-US"/>
              </w:rPr>
              <w:t>2.3.</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Materials and Methods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_Toc85709740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31</w:t>
            </w:r>
            <w:r w:rsidR="00EB5D6B" w:rsidRPr="009672FC">
              <w:rPr>
                <w:rFonts w:ascii="Garamond" w:hAnsi="Garamond" w:cs="Times New Roman"/>
                <w:b w:val="0"/>
                <w:noProof/>
                <w:webHidden/>
                <w:sz w:val="24"/>
                <w:szCs w:val="24"/>
              </w:rPr>
              <w:fldChar w:fldCharType="end"/>
            </w:r>
          </w:hyperlink>
        </w:p>
        <w:p w14:paraId="352E0A56" w14:textId="7E037B2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1" w:history="1">
            <w:r w:rsidR="00EB5D6B" w:rsidRPr="009672FC">
              <w:rPr>
                <w:rStyle w:val="Hyperlink"/>
                <w:rFonts w:ascii="Garamond" w:hAnsi="Garamond" w:cs="Times New Roman"/>
                <w:bCs/>
                <w:i/>
                <w:iCs/>
                <w:noProof/>
                <w:sz w:val="24"/>
                <w:szCs w:val="24"/>
                <w:u w:val="none"/>
                <w:lang w:bidi="en-US"/>
              </w:rPr>
              <w:t>2.3.1.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A Single Case Study Approach</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_Toc85709741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31</w:t>
            </w:r>
            <w:r w:rsidR="00EB5D6B" w:rsidRPr="009672FC">
              <w:rPr>
                <w:rFonts w:ascii="Garamond" w:hAnsi="Garamond" w:cs="Times New Roman"/>
                <w:noProof/>
                <w:webHidden/>
                <w:sz w:val="24"/>
                <w:szCs w:val="24"/>
              </w:rPr>
              <w:fldChar w:fldCharType="end"/>
            </w:r>
          </w:hyperlink>
        </w:p>
        <w:p w14:paraId="424F483A" w14:textId="30D15B7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2" w:history="1">
            <w:r w:rsidR="00EB5D6B" w:rsidRPr="009672FC">
              <w:rPr>
                <w:rStyle w:val="Hyperlink"/>
                <w:rFonts w:ascii="Garamond" w:hAnsi="Garamond" w:cs="Times New Roman"/>
                <w:bCs/>
                <w:i/>
                <w:iCs/>
                <w:noProof/>
                <w:sz w:val="24"/>
                <w:szCs w:val="24"/>
                <w:u w:val="none"/>
                <w:lang w:bidi="en-US"/>
              </w:rPr>
              <w:t>2.3.2.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lang w:bidi="en-US"/>
              </w:rPr>
              <w:t>Case Presentation and Context.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32</w:t>
            </w:r>
            <w:r w:rsidR="00EB5D6B" w:rsidRPr="009672FC">
              <w:rPr>
                <w:rFonts w:ascii="Garamond" w:hAnsi="Garamond" w:cs="Times New Roman"/>
                <w:noProof/>
                <w:webHidden/>
                <w:sz w:val="24"/>
                <w:szCs w:val="24"/>
              </w:rPr>
              <w:fldChar w:fldCharType="end"/>
            </w:r>
          </w:hyperlink>
        </w:p>
        <w:p w14:paraId="7692C1BE" w14:textId="3F9881A7"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3" w:history="1">
            <w:r w:rsidR="00EB5D6B" w:rsidRPr="009672FC">
              <w:rPr>
                <w:rStyle w:val="Hyperlink"/>
                <w:rFonts w:ascii="Garamond" w:hAnsi="Garamond" w:cs="Times New Roman"/>
                <w:bCs/>
                <w:i/>
                <w:iCs/>
                <w:noProof/>
                <w:sz w:val="24"/>
                <w:szCs w:val="24"/>
                <w:u w:val="none"/>
              </w:rPr>
              <w:t>2.3.3.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Data Structure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_Toc85709743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34</w:t>
            </w:r>
            <w:r w:rsidR="00EB5D6B" w:rsidRPr="009672FC">
              <w:rPr>
                <w:rFonts w:ascii="Garamond" w:hAnsi="Garamond" w:cs="Times New Roman"/>
                <w:noProof/>
                <w:webHidden/>
                <w:sz w:val="24"/>
                <w:szCs w:val="24"/>
              </w:rPr>
              <w:fldChar w:fldCharType="end"/>
            </w:r>
          </w:hyperlink>
        </w:p>
        <w:p w14:paraId="771F8CB5" w14:textId="5AD82483"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44" w:history="1">
            <w:r w:rsidR="00EB5D6B" w:rsidRPr="009672FC">
              <w:rPr>
                <w:rStyle w:val="Hyperlink"/>
                <w:rFonts w:ascii="Garamond" w:hAnsi="Garamond" w:cs="Times New Roman"/>
                <w:b w:val="0"/>
                <w:noProof/>
                <w:sz w:val="24"/>
                <w:szCs w:val="24"/>
                <w:u w:val="none"/>
                <w:lang w:bidi="en-US"/>
              </w:rPr>
              <w:t>2.4.</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Data Analysis and Results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_Toc85709744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37</w:t>
            </w:r>
            <w:r w:rsidR="00EB5D6B" w:rsidRPr="009672FC">
              <w:rPr>
                <w:rFonts w:ascii="Garamond" w:hAnsi="Garamond" w:cs="Times New Roman"/>
                <w:b w:val="0"/>
                <w:noProof/>
                <w:webHidden/>
                <w:sz w:val="24"/>
                <w:szCs w:val="24"/>
              </w:rPr>
              <w:fldChar w:fldCharType="end"/>
            </w:r>
          </w:hyperlink>
        </w:p>
        <w:p w14:paraId="1065F12B" w14:textId="0B2F183B"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5" w:history="1">
            <w:r w:rsidR="00EB5D6B" w:rsidRPr="009672FC">
              <w:rPr>
                <w:rStyle w:val="Hyperlink"/>
                <w:rFonts w:ascii="Garamond" w:hAnsi="Garamond" w:cs="Times New Roman"/>
                <w:bCs/>
                <w:i/>
                <w:iCs/>
                <w:noProof/>
                <w:sz w:val="24"/>
                <w:szCs w:val="24"/>
                <w:u w:val="none"/>
              </w:rPr>
              <w:t>2.4.1.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Value-Based Solutions in Organizing Inter-Firm Engagement</w:t>
            </w:r>
            <w:r w:rsidR="00EB5D6B" w:rsidRPr="009672FC">
              <w:rPr>
                <w:rStyle w:val="Hyperlink"/>
                <w:rFonts w:ascii="Garamond" w:hAnsi="Garamond" w:cs="Times New Roman"/>
                <w:noProof/>
                <w:sz w:val="24"/>
                <w:szCs w:val="24"/>
                <w:u w:val="none"/>
              </w:rPr>
              <w: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37</w:t>
            </w:r>
            <w:r w:rsidR="00EB5D6B" w:rsidRPr="009672FC">
              <w:rPr>
                <w:rFonts w:ascii="Garamond" w:hAnsi="Garamond" w:cs="Times New Roman"/>
                <w:noProof/>
                <w:webHidden/>
                <w:sz w:val="24"/>
                <w:szCs w:val="24"/>
              </w:rPr>
              <w:fldChar w:fldCharType="end"/>
            </w:r>
          </w:hyperlink>
        </w:p>
        <w:p w14:paraId="31E1CA60" w14:textId="193955EE"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6" w:history="1">
            <w:r w:rsidR="00EB5D6B" w:rsidRPr="009672FC">
              <w:rPr>
                <w:rStyle w:val="Hyperlink"/>
                <w:rFonts w:ascii="Garamond" w:hAnsi="Garamond" w:cs="Times New Roman"/>
                <w:bCs/>
                <w:i/>
                <w:iCs/>
                <w:noProof/>
                <w:sz w:val="24"/>
                <w:szCs w:val="24"/>
                <w:u w:val="none"/>
              </w:rPr>
              <w:t>2.4.2.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Governance-based Solutions in Organizing Inter-firm Engagement.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40</w:t>
            </w:r>
            <w:r w:rsidR="00EB5D6B" w:rsidRPr="009672FC">
              <w:rPr>
                <w:rFonts w:ascii="Garamond" w:hAnsi="Garamond" w:cs="Times New Roman"/>
                <w:noProof/>
                <w:webHidden/>
                <w:sz w:val="24"/>
                <w:szCs w:val="24"/>
              </w:rPr>
              <w:fldChar w:fldCharType="end"/>
            </w:r>
          </w:hyperlink>
        </w:p>
        <w:p w14:paraId="3E1D90DA" w14:textId="3A2982C3"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7" w:history="1">
            <w:r w:rsidR="00EB5D6B" w:rsidRPr="009672FC">
              <w:rPr>
                <w:rStyle w:val="Hyperlink"/>
                <w:rFonts w:ascii="Garamond" w:hAnsi="Garamond" w:cs="Times New Roman"/>
                <w:bCs/>
                <w:i/>
                <w:iCs/>
                <w:noProof/>
                <w:sz w:val="24"/>
                <w:szCs w:val="24"/>
                <w:u w:val="none"/>
              </w:rPr>
              <w:t>2.4.3.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Dynamism-based solutions in Organizing Inter-firm Engagement.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_Toc85709747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42</w:t>
            </w:r>
            <w:r w:rsidR="00EB5D6B" w:rsidRPr="009672FC">
              <w:rPr>
                <w:rFonts w:ascii="Garamond" w:hAnsi="Garamond" w:cs="Times New Roman"/>
                <w:noProof/>
                <w:webHidden/>
                <w:sz w:val="24"/>
                <w:szCs w:val="24"/>
              </w:rPr>
              <w:fldChar w:fldCharType="end"/>
            </w:r>
          </w:hyperlink>
        </w:p>
        <w:p w14:paraId="0F4ADC15" w14:textId="01FACB6F"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48" w:history="1">
            <w:r w:rsidR="00EB5D6B" w:rsidRPr="009672FC">
              <w:rPr>
                <w:rStyle w:val="Hyperlink"/>
                <w:rFonts w:ascii="Garamond" w:hAnsi="Garamond" w:cs="Times New Roman"/>
                <w:b w:val="0"/>
                <w:noProof/>
                <w:sz w:val="24"/>
                <w:szCs w:val="24"/>
                <w:u w:val="none"/>
                <w:lang w:bidi="en-US"/>
              </w:rPr>
              <w:t>2.5.</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Discussions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_Toc85709748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45</w:t>
            </w:r>
            <w:r w:rsidR="00EB5D6B" w:rsidRPr="009672FC">
              <w:rPr>
                <w:rFonts w:ascii="Garamond" w:hAnsi="Garamond" w:cs="Times New Roman"/>
                <w:b w:val="0"/>
                <w:noProof/>
                <w:webHidden/>
                <w:sz w:val="24"/>
                <w:szCs w:val="24"/>
              </w:rPr>
              <w:fldChar w:fldCharType="end"/>
            </w:r>
          </w:hyperlink>
        </w:p>
        <w:p w14:paraId="45E9BFC9" w14:textId="7C1F984A"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49" w:history="1">
            <w:r w:rsidR="00EB5D6B" w:rsidRPr="009672FC">
              <w:rPr>
                <w:rStyle w:val="Hyperlink"/>
                <w:rFonts w:ascii="Garamond" w:hAnsi="Garamond" w:cs="Times New Roman"/>
                <w:bCs/>
                <w:i/>
                <w:iCs/>
                <w:noProof/>
                <w:sz w:val="24"/>
                <w:szCs w:val="24"/>
                <w:u w:val="none"/>
              </w:rPr>
              <w:t>2.5.1.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Organizing Solutions for Inter-firm Engagement: The Sparrow Network Case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_Toc85709749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45</w:t>
            </w:r>
            <w:r w:rsidR="00EB5D6B" w:rsidRPr="009672FC">
              <w:rPr>
                <w:rFonts w:ascii="Garamond" w:hAnsi="Garamond" w:cs="Times New Roman"/>
                <w:noProof/>
                <w:webHidden/>
                <w:sz w:val="24"/>
                <w:szCs w:val="24"/>
              </w:rPr>
              <w:fldChar w:fldCharType="end"/>
            </w:r>
          </w:hyperlink>
        </w:p>
        <w:p w14:paraId="336F57AA" w14:textId="32FF363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50" w:history="1">
            <w:r w:rsidR="00EB5D6B" w:rsidRPr="009672FC">
              <w:rPr>
                <w:rStyle w:val="Hyperlink"/>
                <w:rFonts w:ascii="Garamond" w:hAnsi="Garamond" w:cs="Times New Roman"/>
                <w:bCs/>
                <w:i/>
                <w:iCs/>
                <w:noProof/>
                <w:sz w:val="24"/>
                <w:szCs w:val="24"/>
                <w:u w:val="none"/>
              </w:rPr>
              <w:t>2.5.2.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relationship between organizing solutions and the development of network relational dynamic capabilities.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_Toc85709750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47</w:t>
            </w:r>
            <w:r w:rsidR="00EB5D6B" w:rsidRPr="009672FC">
              <w:rPr>
                <w:rFonts w:ascii="Garamond" w:hAnsi="Garamond" w:cs="Times New Roman"/>
                <w:noProof/>
                <w:webHidden/>
                <w:sz w:val="24"/>
                <w:szCs w:val="24"/>
              </w:rPr>
              <w:fldChar w:fldCharType="end"/>
            </w:r>
          </w:hyperlink>
        </w:p>
        <w:p w14:paraId="5182DFD6" w14:textId="7C97861D"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51" w:history="1">
            <w:r w:rsidR="00EB5D6B" w:rsidRPr="009672FC">
              <w:rPr>
                <w:rStyle w:val="Hyperlink"/>
                <w:rFonts w:ascii="Garamond" w:hAnsi="Garamond" w:cs="Times New Roman"/>
                <w:b w:val="0"/>
                <w:noProof/>
                <w:sz w:val="24"/>
                <w:szCs w:val="24"/>
                <w:u w:val="none"/>
                <w:lang w:bidi="en-US"/>
              </w:rPr>
              <w:t>2.6.</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lang w:bidi="en-US"/>
              </w:rPr>
              <w:t>Conclusion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_Toc85709751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49</w:t>
            </w:r>
            <w:r w:rsidR="00EB5D6B" w:rsidRPr="009672FC">
              <w:rPr>
                <w:rFonts w:ascii="Garamond" w:hAnsi="Garamond" w:cs="Times New Roman"/>
                <w:b w:val="0"/>
                <w:noProof/>
                <w:webHidden/>
                <w:sz w:val="24"/>
                <w:szCs w:val="24"/>
              </w:rPr>
              <w:fldChar w:fldCharType="end"/>
            </w:r>
          </w:hyperlink>
        </w:p>
        <w:p w14:paraId="24D1EEBC" w14:textId="2FF06106"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52" w:history="1">
            <w:r w:rsidR="00EB5D6B" w:rsidRPr="009672FC">
              <w:rPr>
                <w:rStyle w:val="Hyperlink"/>
                <w:rFonts w:ascii="Garamond" w:hAnsi="Garamond" w:cs="Times New Roman"/>
                <w:b w:val="0"/>
                <w:noProof/>
                <w:sz w:val="24"/>
                <w:szCs w:val="24"/>
                <w:u w:val="none"/>
              </w:rPr>
              <w:t>Chapter 3</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_Toc85709752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53</w:t>
            </w:r>
            <w:r w:rsidR="00EB5D6B" w:rsidRPr="009672FC">
              <w:rPr>
                <w:rFonts w:ascii="Garamond" w:hAnsi="Garamond" w:cs="Times New Roman"/>
                <w:b w:val="0"/>
                <w:noProof/>
                <w:webHidden/>
                <w:sz w:val="24"/>
                <w:szCs w:val="24"/>
                <w:u w:val="none"/>
              </w:rPr>
              <w:fldChar w:fldCharType="end"/>
            </w:r>
          </w:hyperlink>
        </w:p>
        <w:p w14:paraId="24C05B8B" w14:textId="73082472"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53" w:history="1">
            <w:r w:rsidR="00EB5D6B" w:rsidRPr="009672FC">
              <w:rPr>
                <w:rStyle w:val="Hyperlink"/>
                <w:rFonts w:ascii="Garamond" w:hAnsi="Garamond" w:cs="Times New Roman"/>
                <w:b w:val="0"/>
                <w:noProof/>
                <w:sz w:val="24"/>
                <w:szCs w:val="24"/>
                <w:u w:val="none"/>
              </w:rPr>
              <w:t>Abstract</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_Toc85709753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53</w:t>
            </w:r>
            <w:r w:rsidR="00EB5D6B" w:rsidRPr="009672FC">
              <w:rPr>
                <w:rFonts w:ascii="Garamond" w:hAnsi="Garamond" w:cs="Times New Roman"/>
                <w:b w:val="0"/>
                <w:noProof/>
                <w:webHidden/>
                <w:sz w:val="24"/>
                <w:szCs w:val="24"/>
                <w:u w:val="none"/>
              </w:rPr>
              <w:fldChar w:fldCharType="end"/>
            </w:r>
          </w:hyperlink>
        </w:p>
        <w:p w14:paraId="0284B4A6" w14:textId="17E6F516"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54" w:history="1">
            <w:r w:rsidR="00EB5D6B" w:rsidRPr="009672FC">
              <w:rPr>
                <w:rStyle w:val="Hyperlink"/>
                <w:rFonts w:ascii="Garamond" w:hAnsi="Garamond" w:cs="Times New Roman"/>
                <w:b w:val="0"/>
                <w:noProof/>
                <w:sz w:val="24"/>
                <w:szCs w:val="24"/>
                <w:u w:val="none"/>
              </w:rPr>
              <w:t>3.1.</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Introduction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_Toc85709754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54</w:t>
            </w:r>
            <w:r w:rsidR="00EB5D6B" w:rsidRPr="009672FC">
              <w:rPr>
                <w:rFonts w:ascii="Garamond" w:hAnsi="Garamond" w:cs="Times New Roman"/>
                <w:b w:val="0"/>
                <w:noProof/>
                <w:webHidden/>
                <w:sz w:val="24"/>
                <w:szCs w:val="24"/>
              </w:rPr>
              <w:fldChar w:fldCharType="end"/>
            </w:r>
          </w:hyperlink>
        </w:p>
        <w:p w14:paraId="3812ECEB" w14:textId="6607BED6"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55" w:history="1">
            <w:r w:rsidR="00EB5D6B" w:rsidRPr="009672FC">
              <w:rPr>
                <w:rStyle w:val="Hyperlink"/>
                <w:rFonts w:ascii="Garamond" w:hAnsi="Garamond" w:cs="Times New Roman"/>
                <w:b w:val="0"/>
                <w:noProof/>
                <w:sz w:val="24"/>
                <w:szCs w:val="24"/>
                <w:u w:val="none"/>
              </w:rPr>
              <w:t>3.2.</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Theoretical Background</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_Toc85709755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56</w:t>
            </w:r>
            <w:r w:rsidR="00EB5D6B" w:rsidRPr="009672FC">
              <w:rPr>
                <w:rFonts w:ascii="Garamond" w:hAnsi="Garamond" w:cs="Times New Roman"/>
                <w:b w:val="0"/>
                <w:noProof/>
                <w:webHidden/>
                <w:sz w:val="24"/>
                <w:szCs w:val="24"/>
              </w:rPr>
              <w:fldChar w:fldCharType="end"/>
            </w:r>
          </w:hyperlink>
        </w:p>
        <w:p w14:paraId="4917B815" w14:textId="3D2076BD"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56" w:history="1">
            <w:r w:rsidR="00EB5D6B" w:rsidRPr="009672FC">
              <w:rPr>
                <w:rStyle w:val="Hyperlink"/>
                <w:rFonts w:ascii="Garamond" w:hAnsi="Garamond" w:cs="Times New Roman"/>
                <w:bCs/>
                <w:i/>
                <w:iCs/>
                <w:noProof/>
                <w:sz w:val="24"/>
                <w:szCs w:val="24"/>
                <w:u w:val="none"/>
              </w:rPr>
              <w:t>3.2.1.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Trust and Trust-Building</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_Toc85709756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56</w:t>
            </w:r>
            <w:r w:rsidR="00EB5D6B" w:rsidRPr="009672FC">
              <w:rPr>
                <w:rFonts w:ascii="Garamond" w:hAnsi="Garamond" w:cs="Times New Roman"/>
                <w:noProof/>
                <w:webHidden/>
                <w:sz w:val="24"/>
                <w:szCs w:val="24"/>
              </w:rPr>
              <w:fldChar w:fldCharType="end"/>
            </w:r>
          </w:hyperlink>
        </w:p>
        <w:p w14:paraId="2DFDDDC3" w14:textId="135D5783"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57" w:history="1">
            <w:r w:rsidR="00EB5D6B" w:rsidRPr="009672FC">
              <w:rPr>
                <w:rStyle w:val="Hyperlink"/>
                <w:rFonts w:ascii="Garamond" w:hAnsi="Garamond" w:cs="Times New Roman"/>
                <w:bCs/>
                <w:i/>
                <w:iCs/>
                <w:noProof/>
                <w:sz w:val="24"/>
                <w:szCs w:val="24"/>
                <w:u w:val="none"/>
              </w:rPr>
              <w:t>3.2.2.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Interplay Between Institution-Based Trust-Building and Organizational Performance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_Toc85709757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57</w:t>
            </w:r>
            <w:r w:rsidR="00EB5D6B" w:rsidRPr="009672FC">
              <w:rPr>
                <w:rFonts w:ascii="Garamond" w:hAnsi="Garamond" w:cs="Times New Roman"/>
                <w:noProof/>
                <w:webHidden/>
                <w:sz w:val="24"/>
                <w:szCs w:val="24"/>
              </w:rPr>
              <w:fldChar w:fldCharType="end"/>
            </w:r>
          </w:hyperlink>
        </w:p>
        <w:p w14:paraId="7F315D66" w14:textId="4D09BEA5"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58" w:history="1">
            <w:r w:rsidR="00EB5D6B" w:rsidRPr="009672FC">
              <w:rPr>
                <w:rStyle w:val="Hyperlink"/>
                <w:rFonts w:ascii="Garamond" w:hAnsi="Garamond" w:cs="Times New Roman"/>
                <w:b w:val="0"/>
                <w:noProof/>
                <w:sz w:val="24"/>
                <w:szCs w:val="24"/>
                <w:u w:val="none"/>
              </w:rPr>
              <w:t>3.3.</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Hypothesis Development</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_Toc85709758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60</w:t>
            </w:r>
            <w:r w:rsidR="00EB5D6B" w:rsidRPr="009672FC">
              <w:rPr>
                <w:rFonts w:ascii="Garamond" w:hAnsi="Garamond" w:cs="Times New Roman"/>
                <w:b w:val="0"/>
                <w:noProof/>
                <w:webHidden/>
                <w:sz w:val="24"/>
                <w:szCs w:val="24"/>
              </w:rPr>
              <w:fldChar w:fldCharType="end"/>
            </w:r>
          </w:hyperlink>
        </w:p>
        <w:p w14:paraId="23D910E9" w14:textId="7A4D6DC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59" w:history="1">
            <w:r w:rsidR="00EB5D6B" w:rsidRPr="009672FC">
              <w:rPr>
                <w:rStyle w:val="Hyperlink"/>
                <w:rFonts w:ascii="Garamond" w:hAnsi="Garamond" w:cs="Times New Roman"/>
                <w:bCs/>
                <w:i/>
                <w:iCs/>
                <w:noProof/>
                <w:sz w:val="24"/>
                <w:szCs w:val="24"/>
                <w:u w:val="none"/>
              </w:rPr>
              <w:t>3.3.1.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Partner Competence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_Toc85709759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60</w:t>
            </w:r>
            <w:r w:rsidR="00EB5D6B" w:rsidRPr="009672FC">
              <w:rPr>
                <w:rFonts w:ascii="Garamond" w:hAnsi="Garamond" w:cs="Times New Roman"/>
                <w:noProof/>
                <w:webHidden/>
                <w:sz w:val="24"/>
                <w:szCs w:val="24"/>
              </w:rPr>
              <w:fldChar w:fldCharType="end"/>
            </w:r>
          </w:hyperlink>
        </w:p>
        <w:p w14:paraId="596A820D" w14:textId="063865E0"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0" w:history="1">
            <w:r w:rsidR="00EB5D6B" w:rsidRPr="009672FC">
              <w:rPr>
                <w:rStyle w:val="Hyperlink"/>
                <w:rFonts w:ascii="Garamond" w:hAnsi="Garamond" w:cs="Times New Roman"/>
                <w:bCs/>
                <w:i/>
                <w:iCs/>
                <w:noProof/>
                <w:sz w:val="24"/>
                <w:szCs w:val="24"/>
                <w:u w:val="none"/>
              </w:rPr>
              <w:t>3.3.2.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Partner Openness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61</w:t>
            </w:r>
            <w:r w:rsidR="00EB5D6B" w:rsidRPr="009672FC">
              <w:rPr>
                <w:rFonts w:ascii="Garamond" w:hAnsi="Garamond" w:cs="Times New Roman"/>
                <w:noProof/>
                <w:webHidden/>
                <w:sz w:val="24"/>
                <w:szCs w:val="24"/>
              </w:rPr>
              <w:fldChar w:fldCharType="end"/>
            </w:r>
          </w:hyperlink>
        </w:p>
        <w:p w14:paraId="660C0A88" w14:textId="39795788"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1" w:history="1">
            <w:r w:rsidR="00EB5D6B" w:rsidRPr="009672FC">
              <w:rPr>
                <w:rStyle w:val="Hyperlink"/>
                <w:rFonts w:ascii="Garamond" w:hAnsi="Garamond" w:cs="Times New Roman"/>
                <w:bCs/>
                <w:i/>
                <w:iCs/>
                <w:noProof/>
                <w:sz w:val="24"/>
                <w:szCs w:val="24"/>
                <w:u w:val="none"/>
              </w:rPr>
              <w:t>3.3.3.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Partner Reliability</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_Toc85709761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62</w:t>
            </w:r>
            <w:r w:rsidR="00EB5D6B" w:rsidRPr="009672FC">
              <w:rPr>
                <w:rFonts w:ascii="Garamond" w:hAnsi="Garamond" w:cs="Times New Roman"/>
                <w:noProof/>
                <w:webHidden/>
                <w:sz w:val="24"/>
                <w:szCs w:val="24"/>
              </w:rPr>
              <w:fldChar w:fldCharType="end"/>
            </w:r>
          </w:hyperlink>
        </w:p>
        <w:p w14:paraId="76FCED21" w14:textId="01D5B2CC"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2" w:history="1">
            <w:r w:rsidR="00EB5D6B" w:rsidRPr="009672FC">
              <w:rPr>
                <w:rStyle w:val="Hyperlink"/>
                <w:rFonts w:ascii="Garamond" w:hAnsi="Garamond" w:cs="Times New Roman"/>
                <w:bCs/>
                <w:i/>
                <w:iCs/>
                <w:noProof/>
                <w:sz w:val="24"/>
                <w:szCs w:val="24"/>
                <w:u w:val="none"/>
              </w:rPr>
              <w:t>3.3.4.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Partner Similarity/Identification</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63</w:t>
            </w:r>
            <w:r w:rsidR="00EB5D6B" w:rsidRPr="009672FC">
              <w:rPr>
                <w:rFonts w:ascii="Garamond" w:hAnsi="Garamond" w:cs="Times New Roman"/>
                <w:noProof/>
                <w:webHidden/>
                <w:sz w:val="24"/>
                <w:szCs w:val="24"/>
              </w:rPr>
              <w:fldChar w:fldCharType="end"/>
            </w:r>
          </w:hyperlink>
        </w:p>
        <w:p w14:paraId="6021F024" w14:textId="6A15561C"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3" w:history="1">
            <w:r w:rsidR="00EB5D6B" w:rsidRPr="009672FC">
              <w:rPr>
                <w:rStyle w:val="Hyperlink"/>
                <w:rFonts w:ascii="Garamond" w:hAnsi="Garamond" w:cs="Times New Roman"/>
                <w:bCs/>
                <w:i/>
                <w:iCs/>
                <w:noProof/>
                <w:sz w:val="24"/>
                <w:szCs w:val="24"/>
                <w:u w:val="none"/>
              </w:rPr>
              <w:t>3.3.5.</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Mediating Role of Relational Risk on Actors’ Innovation Performance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_Toc85709763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65</w:t>
            </w:r>
            <w:r w:rsidR="00EB5D6B" w:rsidRPr="009672FC">
              <w:rPr>
                <w:rFonts w:ascii="Garamond" w:hAnsi="Garamond" w:cs="Times New Roman"/>
                <w:noProof/>
                <w:webHidden/>
                <w:sz w:val="24"/>
                <w:szCs w:val="24"/>
              </w:rPr>
              <w:fldChar w:fldCharType="end"/>
            </w:r>
          </w:hyperlink>
        </w:p>
        <w:p w14:paraId="11067750" w14:textId="336C5FE4"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64" w:history="1">
            <w:r w:rsidR="00EB5D6B" w:rsidRPr="009672FC">
              <w:rPr>
                <w:rStyle w:val="Hyperlink"/>
                <w:rFonts w:ascii="Garamond" w:hAnsi="Garamond" w:cs="Times New Roman"/>
                <w:b w:val="0"/>
                <w:noProof/>
                <w:sz w:val="24"/>
                <w:szCs w:val="24"/>
                <w:u w:val="none"/>
              </w:rPr>
              <w:t>3.4.</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Methodology</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_Toc85709764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66</w:t>
            </w:r>
            <w:r w:rsidR="00EB5D6B" w:rsidRPr="009672FC">
              <w:rPr>
                <w:rFonts w:ascii="Garamond" w:hAnsi="Garamond" w:cs="Times New Roman"/>
                <w:b w:val="0"/>
                <w:noProof/>
                <w:webHidden/>
                <w:sz w:val="24"/>
                <w:szCs w:val="24"/>
              </w:rPr>
              <w:fldChar w:fldCharType="end"/>
            </w:r>
          </w:hyperlink>
        </w:p>
        <w:p w14:paraId="401BF08F" w14:textId="39BEB4C7"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5" w:history="1">
            <w:r w:rsidR="00EB5D6B" w:rsidRPr="009672FC">
              <w:rPr>
                <w:rStyle w:val="Hyperlink"/>
                <w:rFonts w:ascii="Garamond" w:hAnsi="Garamond" w:cs="Times New Roman"/>
                <w:bCs/>
                <w:i/>
                <w:iCs/>
                <w:noProof/>
                <w:sz w:val="24"/>
                <w:szCs w:val="24"/>
                <w:u w:val="none"/>
              </w:rPr>
              <w:t>3.4.1.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Constructs, Items, and Scales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67</w:t>
            </w:r>
            <w:r w:rsidR="00EB5D6B" w:rsidRPr="009672FC">
              <w:rPr>
                <w:rFonts w:ascii="Garamond" w:hAnsi="Garamond" w:cs="Times New Roman"/>
                <w:noProof/>
                <w:webHidden/>
                <w:sz w:val="24"/>
                <w:szCs w:val="24"/>
              </w:rPr>
              <w:fldChar w:fldCharType="end"/>
            </w:r>
          </w:hyperlink>
        </w:p>
        <w:p w14:paraId="0AE87625" w14:textId="38DCE683"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6" w:history="1">
            <w:r w:rsidR="00EB5D6B" w:rsidRPr="009672FC">
              <w:rPr>
                <w:rStyle w:val="Hyperlink"/>
                <w:rFonts w:ascii="Garamond" w:hAnsi="Garamond" w:cs="Times New Roman"/>
                <w:bCs/>
                <w:i/>
                <w:iCs/>
                <w:noProof/>
                <w:sz w:val="24"/>
                <w:szCs w:val="24"/>
                <w:u w:val="none"/>
              </w:rPr>
              <w:t>3.4.2.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Controls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68</w:t>
            </w:r>
            <w:r w:rsidR="00EB5D6B" w:rsidRPr="009672FC">
              <w:rPr>
                <w:rFonts w:ascii="Garamond" w:hAnsi="Garamond" w:cs="Times New Roman"/>
                <w:noProof/>
                <w:webHidden/>
                <w:sz w:val="24"/>
                <w:szCs w:val="24"/>
              </w:rPr>
              <w:fldChar w:fldCharType="end"/>
            </w:r>
          </w:hyperlink>
        </w:p>
        <w:p w14:paraId="130914E7" w14:textId="1D145684"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7" w:history="1">
            <w:r w:rsidR="00EB5D6B" w:rsidRPr="009672FC">
              <w:rPr>
                <w:rStyle w:val="Hyperlink"/>
                <w:rFonts w:ascii="Garamond" w:hAnsi="Garamond" w:cs="Times New Roman"/>
                <w:bCs/>
                <w:i/>
                <w:iCs/>
                <w:noProof/>
                <w:sz w:val="24"/>
                <w:szCs w:val="24"/>
                <w:u w:val="none"/>
              </w:rPr>
              <w:t>3.4.3.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Sampling Setting.</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_Toc85709767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69</w:t>
            </w:r>
            <w:r w:rsidR="00EB5D6B" w:rsidRPr="009672FC">
              <w:rPr>
                <w:rFonts w:ascii="Garamond" w:hAnsi="Garamond" w:cs="Times New Roman"/>
                <w:noProof/>
                <w:webHidden/>
                <w:sz w:val="24"/>
                <w:szCs w:val="24"/>
              </w:rPr>
              <w:fldChar w:fldCharType="end"/>
            </w:r>
          </w:hyperlink>
        </w:p>
        <w:p w14:paraId="5E73A2E1" w14:textId="4BD7F4AA"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68" w:history="1">
            <w:r w:rsidR="00EB5D6B" w:rsidRPr="009672FC">
              <w:rPr>
                <w:rStyle w:val="Hyperlink"/>
                <w:rFonts w:ascii="Garamond" w:hAnsi="Garamond" w:cs="Times New Roman"/>
                <w:b w:val="0"/>
                <w:noProof/>
                <w:sz w:val="24"/>
                <w:szCs w:val="24"/>
                <w:u w:val="none"/>
              </w:rPr>
              <w:t>3.5.</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Data Analysis and Results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_Toc85709768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69</w:t>
            </w:r>
            <w:r w:rsidR="00EB5D6B" w:rsidRPr="009672FC">
              <w:rPr>
                <w:rFonts w:ascii="Garamond" w:hAnsi="Garamond" w:cs="Times New Roman"/>
                <w:b w:val="0"/>
                <w:noProof/>
                <w:webHidden/>
                <w:sz w:val="24"/>
                <w:szCs w:val="24"/>
              </w:rPr>
              <w:fldChar w:fldCharType="end"/>
            </w:r>
          </w:hyperlink>
        </w:p>
        <w:p w14:paraId="153C7E16" w14:textId="324DA0A6"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69" w:history="1">
            <w:r w:rsidR="00EB5D6B" w:rsidRPr="009672FC">
              <w:rPr>
                <w:rStyle w:val="Hyperlink"/>
                <w:rFonts w:ascii="Garamond" w:hAnsi="Garamond" w:cs="Times New Roman"/>
                <w:bCs/>
                <w:i/>
                <w:iCs/>
                <w:noProof/>
                <w:sz w:val="24"/>
                <w:szCs w:val="24"/>
                <w:u w:val="none"/>
              </w:rPr>
              <w:t>3.5.1.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Descriptive statistics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_Toc85709769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69</w:t>
            </w:r>
            <w:r w:rsidR="00EB5D6B" w:rsidRPr="009672FC">
              <w:rPr>
                <w:rFonts w:ascii="Garamond" w:hAnsi="Garamond" w:cs="Times New Roman"/>
                <w:noProof/>
                <w:webHidden/>
                <w:sz w:val="24"/>
                <w:szCs w:val="24"/>
              </w:rPr>
              <w:fldChar w:fldCharType="end"/>
            </w:r>
          </w:hyperlink>
        </w:p>
        <w:p w14:paraId="4CBDDE7E" w14:textId="3DD7A1BD"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0" w:history="1">
            <w:r w:rsidR="00EB5D6B" w:rsidRPr="009672FC">
              <w:rPr>
                <w:rStyle w:val="Hyperlink"/>
                <w:rFonts w:ascii="Garamond" w:hAnsi="Garamond" w:cs="Times New Roman"/>
                <w:bCs/>
                <w:i/>
                <w:iCs/>
                <w:noProof/>
                <w:sz w:val="24"/>
                <w:szCs w:val="24"/>
                <w:u w:val="none"/>
              </w:rPr>
              <w:t>3.5.2.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Procedure and Evaluation of Measurement Model</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70</w:t>
            </w:r>
            <w:r w:rsidR="00EB5D6B" w:rsidRPr="009672FC">
              <w:rPr>
                <w:rFonts w:ascii="Garamond" w:hAnsi="Garamond" w:cs="Times New Roman"/>
                <w:noProof/>
                <w:webHidden/>
                <w:sz w:val="24"/>
                <w:szCs w:val="24"/>
              </w:rPr>
              <w:fldChar w:fldCharType="end"/>
            </w:r>
          </w:hyperlink>
        </w:p>
        <w:p w14:paraId="2B0D7313" w14:textId="71A8491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1" w:history="1">
            <w:r w:rsidR="00EB5D6B" w:rsidRPr="009672FC">
              <w:rPr>
                <w:rStyle w:val="Hyperlink"/>
                <w:rFonts w:ascii="Garamond" w:hAnsi="Garamond" w:cs="Times New Roman"/>
                <w:bCs/>
                <w:i/>
                <w:iCs/>
                <w:noProof/>
                <w:sz w:val="24"/>
                <w:szCs w:val="24"/>
                <w:u w:val="none"/>
              </w:rPr>
              <w:t>3.5.3.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Evaluation of The Overall Structured Model Fit</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_Toc85709771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74</w:t>
            </w:r>
            <w:r w:rsidR="00EB5D6B" w:rsidRPr="009672FC">
              <w:rPr>
                <w:rFonts w:ascii="Garamond" w:hAnsi="Garamond" w:cs="Times New Roman"/>
                <w:noProof/>
                <w:webHidden/>
                <w:sz w:val="24"/>
                <w:szCs w:val="24"/>
              </w:rPr>
              <w:fldChar w:fldCharType="end"/>
            </w:r>
          </w:hyperlink>
        </w:p>
        <w:p w14:paraId="3E045793" w14:textId="003172C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2" w:history="1">
            <w:r w:rsidR="00EB5D6B" w:rsidRPr="009672FC">
              <w:rPr>
                <w:rStyle w:val="Hyperlink"/>
                <w:rFonts w:ascii="Garamond" w:hAnsi="Garamond" w:cs="Times New Roman"/>
                <w:bCs/>
                <w:i/>
                <w:iCs/>
                <w:noProof/>
                <w:sz w:val="24"/>
                <w:szCs w:val="24"/>
                <w:u w:val="none"/>
              </w:rPr>
              <w:t>3.5.4.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Hypotheses Testing of the Structural Model.</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75</w:t>
            </w:r>
            <w:r w:rsidR="00EB5D6B" w:rsidRPr="009672FC">
              <w:rPr>
                <w:rFonts w:ascii="Garamond" w:hAnsi="Garamond" w:cs="Times New Roman"/>
                <w:noProof/>
                <w:webHidden/>
                <w:sz w:val="24"/>
                <w:szCs w:val="24"/>
              </w:rPr>
              <w:fldChar w:fldCharType="end"/>
            </w:r>
          </w:hyperlink>
        </w:p>
        <w:p w14:paraId="47A07AAB" w14:textId="2F40A268"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3" w:history="1">
            <w:r w:rsidR="00EB5D6B" w:rsidRPr="009672FC">
              <w:rPr>
                <w:rStyle w:val="Hyperlink"/>
                <w:rFonts w:ascii="Garamond" w:hAnsi="Garamond" w:cs="Times New Roman"/>
                <w:bCs/>
                <w:i/>
                <w:iCs/>
                <w:noProof/>
                <w:sz w:val="24"/>
                <w:szCs w:val="24"/>
                <w:u w:val="none"/>
              </w:rPr>
              <w:t>3.5.6.</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Multi-Group Analysis (Small vs Medium-sized Enterprises)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_Toc85709773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78</w:t>
            </w:r>
            <w:r w:rsidR="00EB5D6B" w:rsidRPr="009672FC">
              <w:rPr>
                <w:rFonts w:ascii="Garamond" w:hAnsi="Garamond" w:cs="Times New Roman"/>
                <w:noProof/>
                <w:webHidden/>
                <w:sz w:val="24"/>
                <w:szCs w:val="24"/>
              </w:rPr>
              <w:fldChar w:fldCharType="end"/>
            </w:r>
          </w:hyperlink>
        </w:p>
        <w:p w14:paraId="728ECAE9" w14:textId="5C4300D7"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74" w:history="1">
            <w:r w:rsidR="00EB5D6B" w:rsidRPr="009672FC">
              <w:rPr>
                <w:rStyle w:val="Hyperlink"/>
                <w:rFonts w:ascii="Garamond" w:hAnsi="Garamond" w:cs="Times New Roman"/>
                <w:b w:val="0"/>
                <w:noProof/>
                <w:sz w:val="24"/>
                <w:szCs w:val="24"/>
                <w:u w:val="none"/>
              </w:rPr>
              <w:t>3.6.</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Discussions and Conclusions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_Toc85709774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80</w:t>
            </w:r>
            <w:r w:rsidR="00EB5D6B" w:rsidRPr="009672FC">
              <w:rPr>
                <w:rFonts w:ascii="Garamond" w:hAnsi="Garamond" w:cs="Times New Roman"/>
                <w:b w:val="0"/>
                <w:noProof/>
                <w:webHidden/>
                <w:sz w:val="24"/>
                <w:szCs w:val="24"/>
              </w:rPr>
              <w:fldChar w:fldCharType="end"/>
            </w:r>
          </w:hyperlink>
        </w:p>
        <w:p w14:paraId="6B0B2FD9" w14:textId="1485CD82"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5" w:history="1">
            <w:r w:rsidR="00EB5D6B" w:rsidRPr="009672FC">
              <w:rPr>
                <w:rStyle w:val="Hyperlink"/>
                <w:rFonts w:ascii="Garamond" w:hAnsi="Garamond" w:cs="Times New Roman"/>
                <w:bCs/>
                <w:i/>
                <w:iCs/>
                <w:noProof/>
                <w:sz w:val="24"/>
                <w:szCs w:val="24"/>
                <w:u w:val="none"/>
              </w:rPr>
              <w:t>3.6.1.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Managerial and Theoretical Implications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82</w:t>
            </w:r>
            <w:r w:rsidR="00EB5D6B" w:rsidRPr="009672FC">
              <w:rPr>
                <w:rFonts w:ascii="Garamond" w:hAnsi="Garamond" w:cs="Times New Roman"/>
                <w:noProof/>
                <w:webHidden/>
                <w:sz w:val="24"/>
                <w:szCs w:val="24"/>
              </w:rPr>
              <w:fldChar w:fldCharType="end"/>
            </w:r>
          </w:hyperlink>
        </w:p>
        <w:p w14:paraId="2737848E" w14:textId="17D3B661"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76" w:history="1">
            <w:r w:rsidR="00EB5D6B" w:rsidRPr="009672FC">
              <w:rPr>
                <w:rStyle w:val="Hyperlink"/>
                <w:rFonts w:ascii="Garamond" w:hAnsi="Garamond" w:cs="Times New Roman"/>
                <w:bCs/>
                <w:i/>
                <w:iCs/>
                <w:noProof/>
                <w:sz w:val="24"/>
                <w:szCs w:val="24"/>
                <w:u w:val="none"/>
              </w:rPr>
              <w:t>3.6.2.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Limitations and Future Research</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_Toc85709776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84</w:t>
            </w:r>
            <w:r w:rsidR="00EB5D6B" w:rsidRPr="009672FC">
              <w:rPr>
                <w:rFonts w:ascii="Garamond" w:hAnsi="Garamond" w:cs="Times New Roman"/>
                <w:noProof/>
                <w:webHidden/>
                <w:sz w:val="24"/>
                <w:szCs w:val="24"/>
              </w:rPr>
              <w:fldChar w:fldCharType="end"/>
            </w:r>
          </w:hyperlink>
        </w:p>
        <w:p w14:paraId="17E504A5" w14:textId="4F69C3AA"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77" w:history="1">
            <w:r w:rsidR="00EB5D6B" w:rsidRPr="009672FC">
              <w:rPr>
                <w:rStyle w:val="Hyperlink"/>
                <w:rFonts w:ascii="Garamond" w:hAnsi="Garamond" w:cs="Times New Roman"/>
                <w:b w:val="0"/>
                <w:noProof/>
                <w:sz w:val="24"/>
                <w:szCs w:val="24"/>
                <w:u w:val="none"/>
              </w:rPr>
              <w:t>Chapter 4</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_Toc85709777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85</w:t>
            </w:r>
            <w:r w:rsidR="00EB5D6B" w:rsidRPr="009672FC">
              <w:rPr>
                <w:rFonts w:ascii="Garamond" w:hAnsi="Garamond" w:cs="Times New Roman"/>
                <w:b w:val="0"/>
                <w:noProof/>
                <w:webHidden/>
                <w:sz w:val="24"/>
                <w:szCs w:val="24"/>
                <w:u w:val="none"/>
              </w:rPr>
              <w:fldChar w:fldCharType="end"/>
            </w:r>
          </w:hyperlink>
        </w:p>
        <w:p w14:paraId="47EFE53D" w14:textId="1496BEEE"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778" w:history="1">
            <w:r w:rsidR="00EB5D6B" w:rsidRPr="009672FC">
              <w:rPr>
                <w:rStyle w:val="Hyperlink"/>
                <w:rFonts w:ascii="Garamond" w:hAnsi="Garamond" w:cs="Times New Roman"/>
                <w:b w:val="0"/>
                <w:noProof/>
                <w:sz w:val="24"/>
                <w:szCs w:val="24"/>
                <w:u w:val="none"/>
              </w:rPr>
              <w:t>Abstract</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_Toc85709778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85</w:t>
            </w:r>
            <w:r w:rsidR="00EB5D6B" w:rsidRPr="009672FC">
              <w:rPr>
                <w:rFonts w:ascii="Garamond" w:hAnsi="Garamond" w:cs="Times New Roman"/>
                <w:b w:val="0"/>
                <w:noProof/>
                <w:webHidden/>
                <w:sz w:val="24"/>
                <w:szCs w:val="24"/>
                <w:u w:val="none"/>
              </w:rPr>
              <w:fldChar w:fldCharType="end"/>
            </w:r>
          </w:hyperlink>
        </w:p>
        <w:p w14:paraId="593A30F2" w14:textId="60823C3D"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79" w:history="1">
            <w:r w:rsidR="00EB5D6B" w:rsidRPr="009672FC">
              <w:rPr>
                <w:rStyle w:val="Hyperlink"/>
                <w:rFonts w:ascii="Garamond" w:hAnsi="Garamond" w:cs="Times New Roman"/>
                <w:b w:val="0"/>
                <w:noProof/>
                <w:sz w:val="24"/>
                <w:szCs w:val="24"/>
                <w:u w:val="none"/>
              </w:rPr>
              <w:t>4.1.</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Introduction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_Toc85709779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86</w:t>
            </w:r>
            <w:r w:rsidR="00EB5D6B" w:rsidRPr="009672FC">
              <w:rPr>
                <w:rFonts w:ascii="Garamond" w:hAnsi="Garamond" w:cs="Times New Roman"/>
                <w:b w:val="0"/>
                <w:noProof/>
                <w:webHidden/>
                <w:sz w:val="24"/>
                <w:szCs w:val="24"/>
              </w:rPr>
              <w:fldChar w:fldCharType="end"/>
            </w:r>
          </w:hyperlink>
        </w:p>
        <w:p w14:paraId="2874A150" w14:textId="663434B4"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80" w:history="1">
            <w:r w:rsidR="00EB5D6B" w:rsidRPr="009672FC">
              <w:rPr>
                <w:rStyle w:val="Hyperlink"/>
                <w:rFonts w:ascii="Garamond" w:hAnsi="Garamond" w:cs="Times New Roman"/>
                <w:b w:val="0"/>
                <w:i/>
                <w:iCs/>
                <w:noProof/>
                <w:sz w:val="24"/>
                <w:szCs w:val="24"/>
                <w:u w:val="none"/>
              </w:rPr>
              <w:t>4.2.</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i/>
                <w:iCs/>
                <w:noProof/>
                <w:sz w:val="24"/>
                <w:szCs w:val="24"/>
                <w:u w:val="none"/>
              </w:rPr>
              <w:t>COVID-19 Crisis Overview</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_Toc85709780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89</w:t>
            </w:r>
            <w:r w:rsidR="00EB5D6B" w:rsidRPr="009672FC">
              <w:rPr>
                <w:rFonts w:ascii="Garamond" w:hAnsi="Garamond" w:cs="Times New Roman"/>
                <w:b w:val="0"/>
                <w:noProof/>
                <w:webHidden/>
                <w:sz w:val="24"/>
                <w:szCs w:val="24"/>
              </w:rPr>
              <w:fldChar w:fldCharType="end"/>
            </w:r>
          </w:hyperlink>
        </w:p>
        <w:p w14:paraId="1D5D3509" w14:textId="7C256BB7"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81" w:history="1">
            <w:r w:rsidR="00EB5D6B" w:rsidRPr="009672FC">
              <w:rPr>
                <w:rStyle w:val="Hyperlink"/>
                <w:rFonts w:ascii="Garamond" w:hAnsi="Garamond" w:cs="Times New Roman"/>
                <w:b w:val="0"/>
                <w:noProof/>
                <w:sz w:val="24"/>
                <w:szCs w:val="24"/>
                <w:u w:val="none"/>
              </w:rPr>
              <w:t>4.3.</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Literature Review</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_Toc85709781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90</w:t>
            </w:r>
            <w:r w:rsidR="00EB5D6B" w:rsidRPr="009672FC">
              <w:rPr>
                <w:rFonts w:ascii="Garamond" w:hAnsi="Garamond" w:cs="Times New Roman"/>
                <w:b w:val="0"/>
                <w:noProof/>
                <w:webHidden/>
                <w:sz w:val="24"/>
                <w:szCs w:val="24"/>
              </w:rPr>
              <w:fldChar w:fldCharType="end"/>
            </w:r>
          </w:hyperlink>
        </w:p>
        <w:p w14:paraId="1BC84BE0" w14:textId="68243FF9"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2" w:history="1">
            <w:r w:rsidR="00EB5D6B" w:rsidRPr="009672FC">
              <w:rPr>
                <w:rStyle w:val="Hyperlink"/>
                <w:rFonts w:ascii="Garamond" w:hAnsi="Garamond" w:cs="Times New Roman"/>
                <w:bCs/>
                <w:i/>
                <w:iCs/>
                <w:noProof/>
                <w:sz w:val="24"/>
                <w:szCs w:val="24"/>
                <w:u w:val="none"/>
              </w:rPr>
              <w:t>4.3.1.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Theories Explaining Inter-Organizational Relationships</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90</w:t>
            </w:r>
            <w:r w:rsidR="00EB5D6B" w:rsidRPr="009672FC">
              <w:rPr>
                <w:rFonts w:ascii="Garamond" w:hAnsi="Garamond" w:cs="Times New Roman"/>
                <w:noProof/>
                <w:webHidden/>
                <w:sz w:val="24"/>
                <w:szCs w:val="24"/>
              </w:rPr>
              <w:fldChar w:fldCharType="end"/>
            </w:r>
          </w:hyperlink>
        </w:p>
        <w:p w14:paraId="6E138D4A" w14:textId="79D5E820"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3" w:history="1">
            <w:r w:rsidR="00EB5D6B" w:rsidRPr="009672FC">
              <w:rPr>
                <w:rStyle w:val="Hyperlink"/>
                <w:rFonts w:ascii="Garamond" w:hAnsi="Garamond" w:cs="Times New Roman"/>
                <w:bCs/>
                <w:i/>
                <w:iCs/>
                <w:noProof/>
                <w:sz w:val="24"/>
                <w:szCs w:val="24"/>
                <w:u w:val="none"/>
              </w:rPr>
              <w:t>4.3.2.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Concept of Cause-Based Venture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_Toc85709783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93</w:t>
            </w:r>
            <w:r w:rsidR="00EB5D6B" w:rsidRPr="009672FC">
              <w:rPr>
                <w:rFonts w:ascii="Garamond" w:hAnsi="Garamond" w:cs="Times New Roman"/>
                <w:noProof/>
                <w:webHidden/>
                <w:sz w:val="24"/>
                <w:szCs w:val="24"/>
              </w:rPr>
              <w:fldChar w:fldCharType="end"/>
            </w:r>
          </w:hyperlink>
        </w:p>
        <w:p w14:paraId="7F204392" w14:textId="43B849E7"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4" w:history="1">
            <w:r w:rsidR="00EB5D6B" w:rsidRPr="009672FC">
              <w:rPr>
                <w:rStyle w:val="Hyperlink"/>
                <w:rFonts w:ascii="Garamond" w:hAnsi="Garamond" w:cs="Times New Roman"/>
                <w:bCs/>
                <w:i/>
                <w:iCs/>
                <w:noProof/>
                <w:sz w:val="24"/>
                <w:szCs w:val="24"/>
                <w:u w:val="none"/>
              </w:rPr>
              <w:t>4.3.3.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Conceptualizing of Cause-Based Social Entrepreneurship (SE) Alliance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_Toc85709784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94</w:t>
            </w:r>
            <w:r w:rsidR="00EB5D6B" w:rsidRPr="009672FC">
              <w:rPr>
                <w:rFonts w:ascii="Garamond" w:hAnsi="Garamond" w:cs="Times New Roman"/>
                <w:noProof/>
                <w:webHidden/>
                <w:sz w:val="24"/>
                <w:szCs w:val="24"/>
              </w:rPr>
              <w:fldChar w:fldCharType="end"/>
            </w:r>
          </w:hyperlink>
        </w:p>
        <w:p w14:paraId="13CD2344" w14:textId="35162DC4"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5" w:history="1">
            <w:r w:rsidR="00EB5D6B" w:rsidRPr="009672FC">
              <w:rPr>
                <w:rStyle w:val="Hyperlink"/>
                <w:rFonts w:ascii="Garamond" w:hAnsi="Garamond" w:cs="Times New Roman"/>
                <w:bCs/>
                <w:i/>
                <w:iCs/>
                <w:noProof/>
                <w:sz w:val="24"/>
                <w:szCs w:val="24"/>
                <w:u w:val="none"/>
              </w:rPr>
              <w:t>4.3.4.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Nature of Collaborative Value Creation in an Inter-firm Alliance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96</w:t>
            </w:r>
            <w:r w:rsidR="00EB5D6B" w:rsidRPr="009672FC">
              <w:rPr>
                <w:rFonts w:ascii="Garamond" w:hAnsi="Garamond" w:cs="Times New Roman"/>
                <w:noProof/>
                <w:webHidden/>
                <w:sz w:val="24"/>
                <w:szCs w:val="24"/>
              </w:rPr>
              <w:fldChar w:fldCharType="end"/>
            </w:r>
          </w:hyperlink>
        </w:p>
        <w:p w14:paraId="3FCE987B" w14:textId="5C1EFCF4"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86" w:history="1">
            <w:r w:rsidR="00EB5D6B" w:rsidRPr="009672FC">
              <w:rPr>
                <w:rStyle w:val="Hyperlink"/>
                <w:rFonts w:ascii="Garamond" w:hAnsi="Garamond" w:cs="Times New Roman"/>
                <w:b w:val="0"/>
                <w:noProof/>
                <w:sz w:val="24"/>
                <w:szCs w:val="24"/>
                <w:u w:val="none"/>
              </w:rPr>
              <w:t>4.4.</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Research Focus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_Toc85709786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97</w:t>
            </w:r>
            <w:r w:rsidR="00EB5D6B" w:rsidRPr="009672FC">
              <w:rPr>
                <w:rFonts w:ascii="Garamond" w:hAnsi="Garamond" w:cs="Times New Roman"/>
                <w:b w:val="0"/>
                <w:noProof/>
                <w:webHidden/>
                <w:sz w:val="24"/>
                <w:szCs w:val="24"/>
              </w:rPr>
              <w:fldChar w:fldCharType="end"/>
            </w:r>
          </w:hyperlink>
        </w:p>
        <w:p w14:paraId="73BC8A09" w14:textId="0DF19309"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87" w:history="1">
            <w:r w:rsidR="00EB5D6B" w:rsidRPr="009672FC">
              <w:rPr>
                <w:rStyle w:val="Hyperlink"/>
                <w:rFonts w:ascii="Garamond" w:hAnsi="Garamond" w:cs="Times New Roman"/>
                <w:b w:val="0"/>
                <w:noProof/>
                <w:sz w:val="24"/>
                <w:szCs w:val="24"/>
                <w:u w:val="none"/>
              </w:rPr>
              <w:t>4.5.</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Methodology</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_Toc85709787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97</w:t>
            </w:r>
            <w:r w:rsidR="00EB5D6B" w:rsidRPr="009672FC">
              <w:rPr>
                <w:rFonts w:ascii="Garamond" w:hAnsi="Garamond" w:cs="Times New Roman"/>
                <w:b w:val="0"/>
                <w:noProof/>
                <w:webHidden/>
                <w:sz w:val="24"/>
                <w:szCs w:val="24"/>
              </w:rPr>
              <w:fldChar w:fldCharType="end"/>
            </w:r>
          </w:hyperlink>
        </w:p>
        <w:p w14:paraId="230875EE" w14:textId="7E4217ED"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8" w:history="1">
            <w:r w:rsidR="00EB5D6B" w:rsidRPr="009672FC">
              <w:rPr>
                <w:rStyle w:val="Hyperlink"/>
                <w:rFonts w:ascii="Garamond" w:hAnsi="Garamond" w:cs="Times New Roman"/>
                <w:bCs/>
                <w:i/>
                <w:iCs/>
                <w:noProof/>
                <w:sz w:val="24"/>
                <w:szCs w:val="24"/>
                <w:u w:val="none"/>
              </w:rPr>
              <w:t>4.5.1.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Research Approach</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_Toc85709788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97</w:t>
            </w:r>
            <w:r w:rsidR="00EB5D6B" w:rsidRPr="009672FC">
              <w:rPr>
                <w:rFonts w:ascii="Garamond" w:hAnsi="Garamond" w:cs="Times New Roman"/>
                <w:noProof/>
                <w:webHidden/>
                <w:sz w:val="24"/>
                <w:szCs w:val="24"/>
              </w:rPr>
              <w:fldChar w:fldCharType="end"/>
            </w:r>
          </w:hyperlink>
        </w:p>
        <w:p w14:paraId="16A0EC47" w14:textId="448006AF"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89" w:history="1">
            <w:r w:rsidR="00EB5D6B" w:rsidRPr="009672FC">
              <w:rPr>
                <w:rStyle w:val="Hyperlink"/>
                <w:rFonts w:ascii="Garamond" w:hAnsi="Garamond" w:cs="Times New Roman"/>
                <w:bCs/>
                <w:i/>
                <w:iCs/>
                <w:noProof/>
                <w:sz w:val="24"/>
                <w:szCs w:val="24"/>
                <w:u w:val="none"/>
              </w:rPr>
              <w:t>4.5.2.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Research Sample and Setting</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_Toc85709789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98</w:t>
            </w:r>
            <w:r w:rsidR="00EB5D6B" w:rsidRPr="009672FC">
              <w:rPr>
                <w:rFonts w:ascii="Garamond" w:hAnsi="Garamond" w:cs="Times New Roman"/>
                <w:noProof/>
                <w:webHidden/>
                <w:sz w:val="24"/>
                <w:szCs w:val="24"/>
              </w:rPr>
              <w:fldChar w:fldCharType="end"/>
            </w:r>
          </w:hyperlink>
        </w:p>
        <w:p w14:paraId="369517D7" w14:textId="0B86778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0" w:history="1">
            <w:r w:rsidR="00EB5D6B" w:rsidRPr="009672FC">
              <w:rPr>
                <w:rStyle w:val="Hyperlink"/>
                <w:rFonts w:ascii="Garamond" w:hAnsi="Garamond" w:cs="Times New Roman"/>
                <w:bCs/>
                <w:i/>
                <w:iCs/>
                <w:noProof/>
                <w:sz w:val="24"/>
                <w:szCs w:val="24"/>
                <w:u w:val="none"/>
              </w:rPr>
              <w:t>4.5.3.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Data Collection</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_Toc85709790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101</w:t>
            </w:r>
            <w:r w:rsidR="00EB5D6B" w:rsidRPr="009672FC">
              <w:rPr>
                <w:rFonts w:ascii="Garamond" w:hAnsi="Garamond" w:cs="Times New Roman"/>
                <w:noProof/>
                <w:webHidden/>
                <w:sz w:val="24"/>
                <w:szCs w:val="24"/>
              </w:rPr>
              <w:fldChar w:fldCharType="end"/>
            </w:r>
          </w:hyperlink>
        </w:p>
        <w:p w14:paraId="10C067DA" w14:textId="6ACFD89A"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91" w:history="1">
            <w:r w:rsidR="00EB5D6B" w:rsidRPr="009672FC">
              <w:rPr>
                <w:rStyle w:val="Hyperlink"/>
                <w:rFonts w:ascii="Garamond" w:hAnsi="Garamond" w:cs="Times New Roman"/>
                <w:b w:val="0"/>
                <w:noProof/>
                <w:sz w:val="24"/>
                <w:szCs w:val="24"/>
                <w:u w:val="none"/>
              </w:rPr>
              <w:t>4.6.</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Data Analysis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_Toc85709791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103</w:t>
            </w:r>
            <w:r w:rsidR="00EB5D6B" w:rsidRPr="009672FC">
              <w:rPr>
                <w:rFonts w:ascii="Garamond" w:hAnsi="Garamond" w:cs="Times New Roman"/>
                <w:b w:val="0"/>
                <w:noProof/>
                <w:webHidden/>
                <w:sz w:val="24"/>
                <w:szCs w:val="24"/>
              </w:rPr>
              <w:fldChar w:fldCharType="end"/>
            </w:r>
          </w:hyperlink>
        </w:p>
        <w:p w14:paraId="405CDA61" w14:textId="49F0DE00"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2" w:history="1">
            <w:r w:rsidR="00EB5D6B" w:rsidRPr="009672FC">
              <w:rPr>
                <w:rStyle w:val="Hyperlink"/>
                <w:rFonts w:ascii="Garamond" w:hAnsi="Garamond" w:cs="Times New Roman"/>
                <w:bCs/>
                <w:i/>
                <w:iCs/>
                <w:noProof/>
                <w:sz w:val="24"/>
                <w:szCs w:val="24"/>
                <w:u w:val="none"/>
              </w:rPr>
              <w:t>4.6.1.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Analysis and Procedure</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_Toc85709792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103</w:t>
            </w:r>
            <w:r w:rsidR="00EB5D6B" w:rsidRPr="009672FC">
              <w:rPr>
                <w:rFonts w:ascii="Garamond" w:hAnsi="Garamond" w:cs="Times New Roman"/>
                <w:noProof/>
                <w:webHidden/>
                <w:sz w:val="24"/>
                <w:szCs w:val="24"/>
              </w:rPr>
              <w:fldChar w:fldCharType="end"/>
            </w:r>
          </w:hyperlink>
        </w:p>
        <w:p w14:paraId="4532A051" w14:textId="5A62D4AA"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93" w:history="1">
            <w:r w:rsidR="00EB5D6B" w:rsidRPr="009672FC">
              <w:rPr>
                <w:rStyle w:val="Hyperlink"/>
                <w:rFonts w:ascii="Garamond" w:hAnsi="Garamond" w:cs="Times New Roman"/>
                <w:b w:val="0"/>
                <w:noProof/>
                <w:sz w:val="24"/>
                <w:szCs w:val="24"/>
                <w:u w:val="none"/>
              </w:rPr>
              <w:t>4.5.</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Discussion</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_Toc85709793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105</w:t>
            </w:r>
            <w:r w:rsidR="00EB5D6B" w:rsidRPr="009672FC">
              <w:rPr>
                <w:rFonts w:ascii="Garamond" w:hAnsi="Garamond" w:cs="Times New Roman"/>
                <w:b w:val="0"/>
                <w:noProof/>
                <w:webHidden/>
                <w:sz w:val="24"/>
                <w:szCs w:val="24"/>
              </w:rPr>
              <w:fldChar w:fldCharType="end"/>
            </w:r>
          </w:hyperlink>
        </w:p>
        <w:p w14:paraId="423D1E8A" w14:textId="459A966E"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4" w:history="1">
            <w:r w:rsidR="00EB5D6B" w:rsidRPr="009672FC">
              <w:rPr>
                <w:rStyle w:val="Hyperlink"/>
                <w:rFonts w:ascii="Garamond" w:hAnsi="Garamond" w:cs="Times New Roman"/>
                <w:bCs/>
                <w:i/>
                <w:iCs/>
                <w:noProof/>
                <w:sz w:val="24"/>
                <w:szCs w:val="24"/>
                <w:u w:val="none"/>
              </w:rPr>
              <w:t>4.5.1.</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Value Definition in Cause-Based SE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_Toc85709794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105</w:t>
            </w:r>
            <w:r w:rsidR="00EB5D6B" w:rsidRPr="009672FC">
              <w:rPr>
                <w:rFonts w:ascii="Garamond" w:hAnsi="Garamond" w:cs="Times New Roman"/>
                <w:noProof/>
                <w:webHidden/>
                <w:sz w:val="24"/>
                <w:szCs w:val="24"/>
              </w:rPr>
              <w:fldChar w:fldCharType="end"/>
            </w:r>
          </w:hyperlink>
        </w:p>
        <w:p w14:paraId="3DC9692D" w14:textId="01E541C2"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5" w:history="1">
            <w:r w:rsidR="00EB5D6B" w:rsidRPr="009672FC">
              <w:rPr>
                <w:rStyle w:val="Hyperlink"/>
                <w:rFonts w:ascii="Garamond" w:hAnsi="Garamond" w:cs="Times New Roman"/>
                <w:bCs/>
                <w:i/>
                <w:iCs/>
                <w:noProof/>
                <w:sz w:val="24"/>
                <w:szCs w:val="24"/>
                <w:u w:val="none"/>
              </w:rPr>
              <w:t>4.5.2.</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Value Creation Process in Cause-Based SE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_Toc85709795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106</w:t>
            </w:r>
            <w:r w:rsidR="00EB5D6B" w:rsidRPr="009672FC">
              <w:rPr>
                <w:rFonts w:ascii="Garamond" w:hAnsi="Garamond" w:cs="Times New Roman"/>
                <w:noProof/>
                <w:webHidden/>
                <w:sz w:val="24"/>
                <w:szCs w:val="24"/>
              </w:rPr>
              <w:fldChar w:fldCharType="end"/>
            </w:r>
          </w:hyperlink>
        </w:p>
        <w:p w14:paraId="72D4C367" w14:textId="6AC6CEBC"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6" w:history="1">
            <w:r w:rsidR="00EB5D6B" w:rsidRPr="009672FC">
              <w:rPr>
                <w:rStyle w:val="Hyperlink"/>
                <w:rFonts w:ascii="Garamond" w:hAnsi="Garamond" w:cs="Times New Roman"/>
                <w:bCs/>
                <w:i/>
                <w:iCs/>
                <w:noProof/>
                <w:sz w:val="24"/>
                <w:szCs w:val="24"/>
                <w:u w:val="none"/>
              </w:rPr>
              <w:t>4.5.3.</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Process of Value Balance in Cause-Based SE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_Toc85709796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108</w:t>
            </w:r>
            <w:r w:rsidR="00EB5D6B" w:rsidRPr="009672FC">
              <w:rPr>
                <w:rFonts w:ascii="Garamond" w:hAnsi="Garamond" w:cs="Times New Roman"/>
                <w:noProof/>
                <w:webHidden/>
                <w:sz w:val="24"/>
                <w:szCs w:val="24"/>
              </w:rPr>
              <w:fldChar w:fldCharType="end"/>
            </w:r>
          </w:hyperlink>
        </w:p>
        <w:p w14:paraId="67594160" w14:textId="5FD12807"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7" w:history="1">
            <w:r w:rsidR="00EB5D6B" w:rsidRPr="009672FC">
              <w:rPr>
                <w:rStyle w:val="Hyperlink"/>
                <w:rFonts w:ascii="Garamond" w:hAnsi="Garamond" w:cs="Times New Roman"/>
                <w:bCs/>
                <w:i/>
                <w:iCs/>
                <w:noProof/>
                <w:sz w:val="24"/>
                <w:szCs w:val="24"/>
                <w:u w:val="none"/>
              </w:rPr>
              <w:t>4.5.4.</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Process of Value Renewal in Cause-Based SE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_Toc85709797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109</w:t>
            </w:r>
            <w:r w:rsidR="00EB5D6B" w:rsidRPr="009672FC">
              <w:rPr>
                <w:rFonts w:ascii="Garamond" w:hAnsi="Garamond" w:cs="Times New Roman"/>
                <w:noProof/>
                <w:webHidden/>
                <w:sz w:val="24"/>
                <w:szCs w:val="24"/>
              </w:rPr>
              <w:fldChar w:fldCharType="end"/>
            </w:r>
          </w:hyperlink>
        </w:p>
        <w:p w14:paraId="662DDC8F" w14:textId="7E2ECA35" w:rsidR="00EB5D6B" w:rsidRPr="009672FC" w:rsidRDefault="00432042" w:rsidP="00D67398">
          <w:pPr>
            <w:pStyle w:val="TOC3"/>
            <w:tabs>
              <w:tab w:val="left" w:pos="715"/>
              <w:tab w:val="right" w:leader="dot" w:pos="9350"/>
            </w:tabs>
            <w:spacing w:line="360" w:lineRule="auto"/>
            <w:rPr>
              <w:rFonts w:ascii="Garamond" w:eastAsiaTheme="minorEastAsia" w:hAnsi="Garamond" w:cs="Times New Roman"/>
              <w:smallCaps w:val="0"/>
              <w:noProof/>
              <w:sz w:val="24"/>
              <w:szCs w:val="24"/>
              <w:lang w:eastAsia="en-US"/>
            </w:rPr>
          </w:pPr>
          <w:hyperlink w:anchor="_Toc85709798" w:history="1">
            <w:r w:rsidR="00EB5D6B" w:rsidRPr="009672FC">
              <w:rPr>
                <w:rStyle w:val="Hyperlink"/>
                <w:rFonts w:ascii="Garamond" w:hAnsi="Garamond" w:cs="Times New Roman"/>
                <w:bCs/>
                <w:i/>
                <w:iCs/>
                <w:noProof/>
                <w:sz w:val="24"/>
                <w:szCs w:val="24"/>
                <w:u w:val="none"/>
              </w:rPr>
              <w:t>4.5.5.</w:t>
            </w:r>
            <w:r w:rsidR="00EB5D6B" w:rsidRPr="009672FC">
              <w:rPr>
                <w:rFonts w:ascii="Garamond" w:eastAsiaTheme="minorEastAsia" w:hAnsi="Garamond" w:cs="Times New Roman"/>
                <w:smallCaps w:val="0"/>
                <w:noProof/>
                <w:sz w:val="24"/>
                <w:szCs w:val="24"/>
                <w:lang w:eastAsia="en-US"/>
              </w:rPr>
              <w:tab/>
            </w:r>
            <w:r w:rsidR="00EB5D6B" w:rsidRPr="009672FC">
              <w:rPr>
                <w:rStyle w:val="Hyperlink"/>
                <w:rFonts w:ascii="Garamond" w:hAnsi="Garamond" w:cs="Times New Roman"/>
                <w:bCs/>
                <w:i/>
                <w:iCs/>
                <w:noProof/>
                <w:sz w:val="24"/>
                <w:szCs w:val="24"/>
                <w:u w:val="none"/>
              </w:rPr>
              <w:t>The Challenges Confronting Cause-Based SE Network</w:t>
            </w:r>
            <w:r w:rsidR="00EB5D6B" w:rsidRPr="009672FC">
              <w:rPr>
                <w:rFonts w:ascii="Garamond" w:hAnsi="Garamond" w:cs="Times New Roman"/>
                <w:noProof/>
                <w:webHidden/>
                <w:sz w:val="24"/>
                <w:szCs w:val="24"/>
              </w:rPr>
              <w:tab/>
            </w:r>
            <w:r w:rsidR="00EB5D6B" w:rsidRPr="009672FC">
              <w:rPr>
                <w:rFonts w:ascii="Garamond" w:hAnsi="Garamond" w:cs="Times New Roman"/>
                <w:noProof/>
                <w:webHidden/>
                <w:sz w:val="24"/>
                <w:szCs w:val="24"/>
              </w:rPr>
              <w:fldChar w:fldCharType="begin"/>
            </w:r>
            <w:r w:rsidR="00EB5D6B" w:rsidRPr="009672FC">
              <w:rPr>
                <w:rFonts w:ascii="Garamond" w:hAnsi="Garamond" w:cs="Times New Roman"/>
                <w:noProof/>
                <w:webHidden/>
                <w:sz w:val="24"/>
                <w:szCs w:val="24"/>
              </w:rPr>
              <w:instrText xml:space="preserve"> PAGEREF _Toc85709798 \h </w:instrText>
            </w:r>
            <w:r w:rsidR="00EB5D6B" w:rsidRPr="009672FC">
              <w:rPr>
                <w:rFonts w:ascii="Garamond" w:hAnsi="Garamond" w:cs="Times New Roman"/>
                <w:noProof/>
                <w:webHidden/>
                <w:sz w:val="24"/>
                <w:szCs w:val="24"/>
              </w:rPr>
            </w:r>
            <w:r w:rsidR="00EB5D6B" w:rsidRPr="009672FC">
              <w:rPr>
                <w:rFonts w:ascii="Garamond" w:hAnsi="Garamond" w:cs="Times New Roman"/>
                <w:noProof/>
                <w:webHidden/>
                <w:sz w:val="24"/>
                <w:szCs w:val="24"/>
              </w:rPr>
              <w:fldChar w:fldCharType="separate"/>
            </w:r>
            <w:r w:rsidR="001C1648">
              <w:rPr>
                <w:rFonts w:ascii="Garamond" w:hAnsi="Garamond" w:cs="Times New Roman"/>
                <w:noProof/>
                <w:webHidden/>
                <w:sz w:val="24"/>
                <w:szCs w:val="24"/>
              </w:rPr>
              <w:t>110</w:t>
            </w:r>
            <w:r w:rsidR="00EB5D6B" w:rsidRPr="009672FC">
              <w:rPr>
                <w:rFonts w:ascii="Garamond" w:hAnsi="Garamond" w:cs="Times New Roman"/>
                <w:noProof/>
                <w:webHidden/>
                <w:sz w:val="24"/>
                <w:szCs w:val="24"/>
              </w:rPr>
              <w:fldChar w:fldCharType="end"/>
            </w:r>
          </w:hyperlink>
        </w:p>
        <w:p w14:paraId="08734E3E" w14:textId="622D77F0" w:rsidR="00EB5D6B" w:rsidRPr="009672FC" w:rsidRDefault="00432042" w:rsidP="00D67398">
          <w:pPr>
            <w:pStyle w:val="TOC2"/>
            <w:tabs>
              <w:tab w:val="left" w:pos="550"/>
              <w:tab w:val="right" w:leader="dot" w:pos="9350"/>
            </w:tabs>
            <w:spacing w:line="360" w:lineRule="auto"/>
            <w:rPr>
              <w:rFonts w:ascii="Garamond" w:eastAsiaTheme="minorEastAsia" w:hAnsi="Garamond" w:cs="Times New Roman"/>
              <w:b w:val="0"/>
              <w:bCs w:val="0"/>
              <w:smallCaps w:val="0"/>
              <w:noProof/>
              <w:sz w:val="24"/>
              <w:szCs w:val="24"/>
              <w:lang w:eastAsia="en-US"/>
            </w:rPr>
          </w:pPr>
          <w:hyperlink w:anchor="_Toc85709799" w:history="1">
            <w:r w:rsidR="00EB5D6B" w:rsidRPr="009672FC">
              <w:rPr>
                <w:rStyle w:val="Hyperlink"/>
                <w:rFonts w:ascii="Garamond" w:hAnsi="Garamond" w:cs="Times New Roman"/>
                <w:b w:val="0"/>
                <w:noProof/>
                <w:sz w:val="24"/>
                <w:szCs w:val="24"/>
                <w:u w:val="none"/>
              </w:rPr>
              <w:t>4.6.</w:t>
            </w:r>
            <w:r w:rsidR="00EB5D6B" w:rsidRPr="009672FC">
              <w:rPr>
                <w:rFonts w:ascii="Garamond" w:eastAsiaTheme="minorEastAsia" w:hAnsi="Garamond" w:cs="Times New Roman"/>
                <w:b w:val="0"/>
                <w:bCs w:val="0"/>
                <w:smallCaps w:val="0"/>
                <w:noProof/>
                <w:sz w:val="24"/>
                <w:szCs w:val="24"/>
                <w:lang w:eastAsia="en-US"/>
              </w:rPr>
              <w:tab/>
            </w:r>
            <w:r w:rsidR="00EB5D6B" w:rsidRPr="009672FC">
              <w:rPr>
                <w:rStyle w:val="Hyperlink"/>
                <w:rFonts w:ascii="Garamond" w:hAnsi="Garamond" w:cs="Times New Roman"/>
                <w:b w:val="0"/>
                <w:noProof/>
                <w:sz w:val="24"/>
                <w:szCs w:val="24"/>
                <w:u w:val="none"/>
              </w:rPr>
              <w:t>Conclusions</w:t>
            </w:r>
            <w:r w:rsidR="00EB5D6B" w:rsidRPr="009672FC">
              <w:rPr>
                <w:rFonts w:ascii="Garamond" w:hAnsi="Garamond" w:cs="Times New Roman"/>
                <w:b w:val="0"/>
                <w:noProof/>
                <w:webHidden/>
                <w:sz w:val="24"/>
                <w:szCs w:val="24"/>
              </w:rPr>
              <w:tab/>
            </w:r>
            <w:r w:rsidR="00EB5D6B" w:rsidRPr="009672FC">
              <w:rPr>
                <w:rFonts w:ascii="Garamond" w:hAnsi="Garamond" w:cs="Times New Roman"/>
                <w:b w:val="0"/>
                <w:noProof/>
                <w:webHidden/>
                <w:sz w:val="24"/>
                <w:szCs w:val="24"/>
              </w:rPr>
              <w:fldChar w:fldCharType="begin"/>
            </w:r>
            <w:r w:rsidR="00EB5D6B" w:rsidRPr="009672FC">
              <w:rPr>
                <w:rFonts w:ascii="Garamond" w:hAnsi="Garamond" w:cs="Times New Roman"/>
                <w:b w:val="0"/>
                <w:noProof/>
                <w:webHidden/>
                <w:sz w:val="24"/>
                <w:szCs w:val="24"/>
              </w:rPr>
              <w:instrText xml:space="preserve"> PAGEREF _Toc85709799 \h </w:instrText>
            </w:r>
            <w:r w:rsidR="00EB5D6B" w:rsidRPr="009672FC">
              <w:rPr>
                <w:rFonts w:ascii="Garamond" w:hAnsi="Garamond" w:cs="Times New Roman"/>
                <w:b w:val="0"/>
                <w:noProof/>
                <w:webHidden/>
                <w:sz w:val="24"/>
                <w:szCs w:val="24"/>
              </w:rPr>
            </w:r>
            <w:r w:rsidR="00EB5D6B" w:rsidRPr="009672FC">
              <w:rPr>
                <w:rFonts w:ascii="Garamond" w:hAnsi="Garamond" w:cs="Times New Roman"/>
                <w:b w:val="0"/>
                <w:noProof/>
                <w:webHidden/>
                <w:sz w:val="24"/>
                <w:szCs w:val="24"/>
              </w:rPr>
              <w:fldChar w:fldCharType="separate"/>
            </w:r>
            <w:r w:rsidR="001C1648">
              <w:rPr>
                <w:rFonts w:ascii="Garamond" w:hAnsi="Garamond" w:cs="Times New Roman"/>
                <w:b w:val="0"/>
                <w:noProof/>
                <w:webHidden/>
                <w:sz w:val="24"/>
                <w:szCs w:val="24"/>
              </w:rPr>
              <w:t>111</w:t>
            </w:r>
            <w:r w:rsidR="00EB5D6B" w:rsidRPr="009672FC">
              <w:rPr>
                <w:rFonts w:ascii="Garamond" w:hAnsi="Garamond" w:cs="Times New Roman"/>
                <w:b w:val="0"/>
                <w:noProof/>
                <w:webHidden/>
                <w:sz w:val="24"/>
                <w:szCs w:val="24"/>
              </w:rPr>
              <w:fldChar w:fldCharType="end"/>
            </w:r>
          </w:hyperlink>
        </w:p>
        <w:p w14:paraId="4A8D5067" w14:textId="2CDE3D60"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0" w:history="1">
            <w:r w:rsidR="00EB5D6B" w:rsidRPr="009672FC">
              <w:rPr>
                <w:rStyle w:val="Hyperlink"/>
                <w:rFonts w:ascii="Garamond" w:hAnsi="Garamond" w:cs="Times New Roman"/>
                <w:b w:val="0"/>
                <w:noProof/>
                <w:sz w:val="24"/>
                <w:szCs w:val="24"/>
                <w:u w:val="none"/>
              </w:rPr>
              <w:t>Appendix</w:t>
            </w:r>
            <w:r w:rsidR="00623425" w:rsidRPr="009672FC">
              <w:rPr>
                <w:rStyle w:val="Hyperlink"/>
                <w:rFonts w:ascii="Garamond" w:hAnsi="Garamond" w:cs="Times New Roman"/>
                <w:b w:val="0"/>
                <w:noProof/>
                <w:sz w:val="24"/>
                <w:szCs w:val="24"/>
                <w:u w:val="none"/>
              </w:rPr>
              <w:t xml:space="preserve"> 1</w:t>
            </w:r>
            <w:r w:rsidR="00EB5D6B" w:rsidRPr="009672FC">
              <w:rPr>
                <w:rStyle w:val="Hyperlink"/>
                <w:rFonts w:ascii="Garamond" w:hAnsi="Garamond" w:cs="Times New Roman"/>
                <w:b w:val="0"/>
                <w:noProof/>
                <w:sz w:val="24"/>
                <w:szCs w:val="24"/>
                <w:u w:val="none"/>
              </w:rPr>
              <w:t>.</w:t>
            </w:r>
            <w:r w:rsidR="00623425" w:rsidRPr="009672FC">
              <w:rPr>
                <w:rStyle w:val="Hyperlink"/>
                <w:rFonts w:ascii="Garamond" w:hAnsi="Garamond" w:cs="Times New Roman"/>
                <w:b w:val="0"/>
                <w:noProof/>
                <w:sz w:val="24"/>
                <w:szCs w:val="24"/>
                <w:u w:val="none"/>
              </w:rPr>
              <w:t xml:space="preserve"> NETWORK ANTECEDENTS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_Toc85709800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114</w:t>
            </w:r>
            <w:r w:rsidR="00EB5D6B" w:rsidRPr="009672FC">
              <w:rPr>
                <w:rFonts w:ascii="Garamond" w:hAnsi="Garamond" w:cs="Times New Roman"/>
                <w:b w:val="0"/>
                <w:noProof/>
                <w:webHidden/>
                <w:sz w:val="24"/>
                <w:szCs w:val="24"/>
                <w:u w:val="none"/>
              </w:rPr>
              <w:fldChar w:fldCharType="end"/>
            </w:r>
          </w:hyperlink>
        </w:p>
        <w:p w14:paraId="2A525BE2" w14:textId="4FACCCF4"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1" w:history="1">
            <w:r w:rsidR="00EB5D6B" w:rsidRPr="009672FC">
              <w:rPr>
                <w:rStyle w:val="Hyperlink"/>
                <w:rFonts w:ascii="Garamond" w:hAnsi="Garamond" w:cs="Times New Roman"/>
                <w:b w:val="0"/>
                <w:noProof/>
                <w:sz w:val="24"/>
                <w:szCs w:val="24"/>
                <w:u w:val="none"/>
              </w:rPr>
              <w:t>Appendix 2. Network management issues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_Toc85709801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116</w:t>
            </w:r>
            <w:r w:rsidR="00EB5D6B" w:rsidRPr="009672FC">
              <w:rPr>
                <w:rFonts w:ascii="Garamond" w:hAnsi="Garamond" w:cs="Times New Roman"/>
                <w:b w:val="0"/>
                <w:noProof/>
                <w:webHidden/>
                <w:sz w:val="24"/>
                <w:szCs w:val="24"/>
                <w:u w:val="none"/>
              </w:rPr>
              <w:fldChar w:fldCharType="end"/>
            </w:r>
          </w:hyperlink>
        </w:p>
        <w:p w14:paraId="349BA61F" w14:textId="280583A0"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2" w:history="1">
            <w:r w:rsidR="00EB5D6B" w:rsidRPr="009672FC">
              <w:rPr>
                <w:rStyle w:val="Hyperlink"/>
                <w:rFonts w:ascii="Garamond" w:hAnsi="Garamond" w:cs="Times New Roman"/>
                <w:b w:val="0"/>
                <w:noProof/>
                <w:sz w:val="24"/>
                <w:szCs w:val="24"/>
                <w:u w:val="none"/>
              </w:rPr>
              <w:t>Appendix 3. Network performance issues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_Toc85709802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118</w:t>
            </w:r>
            <w:r w:rsidR="00EB5D6B" w:rsidRPr="009672FC">
              <w:rPr>
                <w:rFonts w:ascii="Garamond" w:hAnsi="Garamond" w:cs="Times New Roman"/>
                <w:b w:val="0"/>
                <w:noProof/>
                <w:webHidden/>
                <w:sz w:val="24"/>
                <w:szCs w:val="24"/>
                <w:u w:val="none"/>
              </w:rPr>
              <w:fldChar w:fldCharType="end"/>
            </w:r>
          </w:hyperlink>
        </w:p>
        <w:p w14:paraId="5240D5DE" w14:textId="2499F4D6"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3" w:history="1">
            <w:r w:rsidR="00EB5D6B" w:rsidRPr="009672FC">
              <w:rPr>
                <w:rStyle w:val="Hyperlink"/>
                <w:rFonts w:ascii="Garamond" w:hAnsi="Garamond" w:cs="Times New Roman"/>
                <w:b w:val="0"/>
                <w:noProof/>
                <w:sz w:val="24"/>
                <w:szCs w:val="24"/>
                <w:u w:val="none"/>
              </w:rPr>
              <w:t>Appendix 4. Agenda for Future Research</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_Toc85709803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119</w:t>
            </w:r>
            <w:r w:rsidR="00EB5D6B" w:rsidRPr="009672FC">
              <w:rPr>
                <w:rFonts w:ascii="Garamond" w:hAnsi="Garamond" w:cs="Times New Roman"/>
                <w:b w:val="0"/>
                <w:noProof/>
                <w:webHidden/>
                <w:sz w:val="24"/>
                <w:szCs w:val="24"/>
                <w:u w:val="none"/>
              </w:rPr>
              <w:fldChar w:fldCharType="end"/>
            </w:r>
          </w:hyperlink>
        </w:p>
        <w:p w14:paraId="1C5980FD" w14:textId="11B259FC"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4" w:history="1">
            <w:r w:rsidR="00EB5D6B" w:rsidRPr="009672FC">
              <w:rPr>
                <w:rStyle w:val="Hyperlink"/>
                <w:rFonts w:ascii="Garamond" w:hAnsi="Garamond" w:cs="Times New Roman"/>
                <w:b w:val="0"/>
                <w:noProof/>
                <w:sz w:val="24"/>
                <w:szCs w:val="24"/>
                <w:u w:val="none"/>
              </w:rPr>
              <w:t>Appendix 5. Construct, Items, and Scales</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_Toc85709804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122</w:t>
            </w:r>
            <w:r w:rsidR="00EB5D6B" w:rsidRPr="009672FC">
              <w:rPr>
                <w:rFonts w:ascii="Garamond" w:hAnsi="Garamond" w:cs="Times New Roman"/>
                <w:b w:val="0"/>
                <w:noProof/>
                <w:webHidden/>
                <w:sz w:val="24"/>
                <w:szCs w:val="24"/>
                <w:u w:val="none"/>
              </w:rPr>
              <w:fldChar w:fldCharType="end"/>
            </w:r>
          </w:hyperlink>
        </w:p>
        <w:p w14:paraId="30B62D7F" w14:textId="72878B50" w:rsidR="00EB5D6B" w:rsidRPr="009672FC" w:rsidRDefault="00432042">
          <w:pPr>
            <w:pStyle w:val="TOC1"/>
            <w:tabs>
              <w:tab w:val="right" w:leader="dot" w:pos="9350"/>
            </w:tabs>
            <w:rPr>
              <w:rFonts w:ascii="Garamond" w:eastAsiaTheme="minorEastAsia" w:hAnsi="Garamond" w:cs="Times New Roman"/>
              <w:b w:val="0"/>
              <w:bCs w:val="0"/>
              <w:caps w:val="0"/>
              <w:noProof/>
              <w:sz w:val="24"/>
              <w:szCs w:val="24"/>
              <w:u w:val="none"/>
              <w:lang w:eastAsia="en-US"/>
            </w:rPr>
          </w:pPr>
          <w:hyperlink w:anchor="_Toc85709805" w:history="1">
            <w:r w:rsidR="00EB5D6B" w:rsidRPr="009672FC">
              <w:rPr>
                <w:rStyle w:val="Hyperlink"/>
                <w:rFonts w:ascii="Garamond" w:hAnsi="Garamond" w:cs="Times New Roman"/>
                <w:b w:val="0"/>
                <w:noProof/>
                <w:sz w:val="24"/>
                <w:szCs w:val="24"/>
                <w:u w:val="none"/>
              </w:rPr>
              <w:t>Bibliography</w:t>
            </w:r>
            <w:r w:rsidR="00EB5D6B" w:rsidRPr="009672FC">
              <w:rPr>
                <w:rFonts w:ascii="Garamond" w:hAnsi="Garamond" w:cs="Times New Roman"/>
                <w:b w:val="0"/>
                <w:noProof/>
                <w:webHidden/>
                <w:sz w:val="24"/>
                <w:szCs w:val="24"/>
                <w:u w:val="none"/>
              </w:rPr>
              <w:tab/>
            </w:r>
            <w:r w:rsidR="00EB5D6B" w:rsidRPr="009672FC">
              <w:rPr>
                <w:rFonts w:ascii="Garamond" w:hAnsi="Garamond" w:cs="Times New Roman"/>
                <w:b w:val="0"/>
                <w:noProof/>
                <w:webHidden/>
                <w:sz w:val="24"/>
                <w:szCs w:val="24"/>
                <w:u w:val="none"/>
              </w:rPr>
              <w:fldChar w:fldCharType="begin"/>
            </w:r>
            <w:r w:rsidR="00EB5D6B" w:rsidRPr="009672FC">
              <w:rPr>
                <w:rFonts w:ascii="Garamond" w:hAnsi="Garamond" w:cs="Times New Roman"/>
                <w:b w:val="0"/>
                <w:noProof/>
                <w:webHidden/>
                <w:sz w:val="24"/>
                <w:szCs w:val="24"/>
                <w:u w:val="none"/>
              </w:rPr>
              <w:instrText xml:space="preserve"> PAGEREF _Toc85709805 \h </w:instrText>
            </w:r>
            <w:r w:rsidR="00EB5D6B" w:rsidRPr="009672FC">
              <w:rPr>
                <w:rFonts w:ascii="Garamond" w:hAnsi="Garamond" w:cs="Times New Roman"/>
                <w:b w:val="0"/>
                <w:noProof/>
                <w:webHidden/>
                <w:sz w:val="24"/>
                <w:szCs w:val="24"/>
                <w:u w:val="none"/>
              </w:rPr>
            </w:r>
            <w:r w:rsidR="00EB5D6B" w:rsidRPr="009672FC">
              <w:rPr>
                <w:rFonts w:ascii="Garamond" w:hAnsi="Garamond" w:cs="Times New Roman"/>
                <w:b w:val="0"/>
                <w:noProof/>
                <w:webHidden/>
                <w:sz w:val="24"/>
                <w:szCs w:val="24"/>
                <w:u w:val="none"/>
              </w:rPr>
              <w:fldChar w:fldCharType="separate"/>
            </w:r>
            <w:r w:rsidR="001C1648">
              <w:rPr>
                <w:rFonts w:ascii="Garamond" w:hAnsi="Garamond" w:cs="Times New Roman"/>
                <w:b w:val="0"/>
                <w:noProof/>
                <w:webHidden/>
                <w:sz w:val="24"/>
                <w:szCs w:val="24"/>
                <w:u w:val="none"/>
              </w:rPr>
              <w:t>124</w:t>
            </w:r>
            <w:r w:rsidR="00EB5D6B" w:rsidRPr="009672FC">
              <w:rPr>
                <w:rFonts w:ascii="Garamond" w:hAnsi="Garamond" w:cs="Times New Roman"/>
                <w:b w:val="0"/>
                <w:noProof/>
                <w:webHidden/>
                <w:sz w:val="24"/>
                <w:szCs w:val="24"/>
                <w:u w:val="none"/>
              </w:rPr>
              <w:fldChar w:fldCharType="end"/>
            </w:r>
          </w:hyperlink>
        </w:p>
        <w:p w14:paraId="374947DE" w14:textId="57FC34D5" w:rsidR="00EB5D6B" w:rsidRPr="009672FC" w:rsidRDefault="00EB5D6B">
          <w:pPr>
            <w:rPr>
              <w:rFonts w:ascii="Garamond" w:hAnsi="Garamond"/>
            </w:rPr>
          </w:pPr>
          <w:r w:rsidRPr="009672FC">
            <w:rPr>
              <w:rFonts w:ascii="Garamond" w:hAnsi="Garamond"/>
              <w:bCs/>
              <w:noProof/>
            </w:rPr>
            <w:fldChar w:fldCharType="end"/>
          </w:r>
        </w:p>
      </w:sdtContent>
    </w:sdt>
    <w:p w14:paraId="627DBBE5" w14:textId="48ECD4BE" w:rsidR="00EB5D6B" w:rsidRPr="009672FC" w:rsidRDefault="00EB5D6B" w:rsidP="00EB5D6B">
      <w:pPr>
        <w:pStyle w:val="TOCHeading"/>
        <w:rPr>
          <w:rFonts w:ascii="Garamond" w:hAnsi="Garamond"/>
        </w:rPr>
      </w:pPr>
    </w:p>
    <w:p w14:paraId="63DD0E25" w14:textId="77777777" w:rsidR="003D5DE8" w:rsidRPr="009672FC" w:rsidRDefault="003D5DE8">
      <w:pPr>
        <w:pStyle w:val="Heading1"/>
        <w:rPr>
          <w:rFonts w:ascii="Garamond" w:eastAsiaTheme="minorHAnsi" w:hAnsi="Garamond"/>
          <w:b/>
          <w:bCs/>
          <w:color w:val="auto"/>
          <w:lang w:val="en-GB" w:eastAsia="en-US"/>
        </w:rPr>
      </w:pPr>
    </w:p>
    <w:p w14:paraId="32749D99" w14:textId="77777777" w:rsidR="003D5DE8" w:rsidRPr="009672FC" w:rsidRDefault="003D5DE8">
      <w:pPr>
        <w:rPr>
          <w:rFonts w:ascii="Garamond" w:eastAsiaTheme="minorHAnsi" w:hAnsi="Garamond"/>
          <w:lang w:val="en-GB" w:eastAsia="en-US"/>
        </w:rPr>
      </w:pPr>
    </w:p>
    <w:p w14:paraId="3ECECF99" w14:textId="77777777" w:rsidR="003D5DE8" w:rsidRPr="009672FC" w:rsidRDefault="003D5DE8">
      <w:pPr>
        <w:rPr>
          <w:rFonts w:ascii="Garamond" w:eastAsiaTheme="minorHAnsi" w:hAnsi="Garamond"/>
          <w:lang w:val="en-GB" w:eastAsia="en-US"/>
        </w:rPr>
      </w:pPr>
    </w:p>
    <w:p w14:paraId="1EFEF255" w14:textId="77777777" w:rsidR="003D5DE8" w:rsidRPr="009672FC" w:rsidRDefault="003D5DE8">
      <w:pPr>
        <w:rPr>
          <w:rFonts w:ascii="Garamond" w:eastAsiaTheme="minorHAnsi" w:hAnsi="Garamond"/>
          <w:lang w:val="en-GB" w:eastAsia="en-US"/>
        </w:rPr>
      </w:pPr>
    </w:p>
    <w:p w14:paraId="35A360E0" w14:textId="7292CD52" w:rsidR="003D5DE8" w:rsidRPr="009672FC" w:rsidRDefault="003D5DE8">
      <w:pPr>
        <w:rPr>
          <w:rFonts w:ascii="Garamond" w:eastAsiaTheme="minorHAnsi" w:hAnsi="Garamond"/>
          <w:lang w:val="en-GB" w:eastAsia="en-US"/>
        </w:rPr>
      </w:pPr>
    </w:p>
    <w:p w14:paraId="04DBA8D8" w14:textId="79E9293A" w:rsidR="00D67398" w:rsidRPr="009672FC" w:rsidRDefault="00D67398">
      <w:pPr>
        <w:rPr>
          <w:rFonts w:ascii="Garamond" w:eastAsiaTheme="minorHAnsi" w:hAnsi="Garamond"/>
          <w:lang w:val="en-GB" w:eastAsia="en-US"/>
        </w:rPr>
      </w:pPr>
    </w:p>
    <w:p w14:paraId="00DF9035" w14:textId="1BABF7BB" w:rsidR="00D67398" w:rsidRPr="009672FC" w:rsidRDefault="00D67398">
      <w:pPr>
        <w:rPr>
          <w:rFonts w:ascii="Garamond" w:eastAsiaTheme="minorHAnsi" w:hAnsi="Garamond"/>
          <w:lang w:val="en-GB" w:eastAsia="en-US"/>
        </w:rPr>
      </w:pPr>
    </w:p>
    <w:p w14:paraId="2F4B766F" w14:textId="6E606199" w:rsidR="00D67398" w:rsidRDefault="00D67398">
      <w:pPr>
        <w:rPr>
          <w:rFonts w:ascii="Garamond" w:eastAsiaTheme="minorHAnsi" w:hAnsi="Garamond"/>
          <w:lang w:val="en-GB" w:eastAsia="en-US"/>
        </w:rPr>
      </w:pPr>
    </w:p>
    <w:p w14:paraId="028D2552" w14:textId="7BDD5C47" w:rsidR="00AD586C" w:rsidRDefault="00AD586C">
      <w:pPr>
        <w:rPr>
          <w:rFonts w:ascii="Garamond" w:eastAsiaTheme="minorHAnsi" w:hAnsi="Garamond"/>
          <w:lang w:val="en-GB" w:eastAsia="en-US"/>
        </w:rPr>
      </w:pPr>
    </w:p>
    <w:p w14:paraId="762A176A" w14:textId="47D12595" w:rsidR="00AD586C" w:rsidRDefault="00AD586C">
      <w:pPr>
        <w:rPr>
          <w:rFonts w:ascii="Garamond" w:eastAsiaTheme="minorHAnsi" w:hAnsi="Garamond"/>
          <w:lang w:val="en-GB" w:eastAsia="en-US"/>
        </w:rPr>
      </w:pPr>
    </w:p>
    <w:p w14:paraId="3D9BAA82" w14:textId="17E90DDA" w:rsidR="00AD586C" w:rsidRDefault="00AD586C">
      <w:pPr>
        <w:rPr>
          <w:rFonts w:ascii="Garamond" w:eastAsiaTheme="minorHAnsi" w:hAnsi="Garamond"/>
          <w:lang w:val="en-GB" w:eastAsia="en-US"/>
        </w:rPr>
      </w:pPr>
    </w:p>
    <w:p w14:paraId="62C528C1" w14:textId="40B955AC" w:rsidR="00AD586C" w:rsidRDefault="00AD586C">
      <w:pPr>
        <w:rPr>
          <w:rFonts w:ascii="Garamond" w:eastAsiaTheme="minorHAnsi" w:hAnsi="Garamond"/>
          <w:lang w:val="en-GB" w:eastAsia="en-US"/>
        </w:rPr>
      </w:pPr>
    </w:p>
    <w:p w14:paraId="21186DFE" w14:textId="41408031" w:rsidR="00AD586C" w:rsidRDefault="00AD586C">
      <w:pPr>
        <w:rPr>
          <w:rFonts w:ascii="Garamond" w:eastAsiaTheme="minorHAnsi" w:hAnsi="Garamond"/>
          <w:lang w:val="en-GB" w:eastAsia="en-US"/>
        </w:rPr>
      </w:pPr>
    </w:p>
    <w:p w14:paraId="6282A640" w14:textId="4930C5E8" w:rsidR="00AD586C" w:rsidRDefault="00AD586C">
      <w:pPr>
        <w:rPr>
          <w:rFonts w:ascii="Garamond" w:eastAsiaTheme="minorHAnsi" w:hAnsi="Garamond"/>
          <w:lang w:val="en-GB" w:eastAsia="en-US"/>
        </w:rPr>
      </w:pPr>
    </w:p>
    <w:p w14:paraId="6F253B42" w14:textId="025F34FD" w:rsidR="00AD586C" w:rsidRDefault="00AD586C">
      <w:pPr>
        <w:rPr>
          <w:rFonts w:ascii="Garamond" w:eastAsiaTheme="minorHAnsi" w:hAnsi="Garamond"/>
          <w:lang w:val="en-GB" w:eastAsia="en-US"/>
        </w:rPr>
      </w:pPr>
    </w:p>
    <w:p w14:paraId="19807181" w14:textId="6F8F200E" w:rsidR="00AD586C" w:rsidRDefault="00AD586C">
      <w:pPr>
        <w:rPr>
          <w:rFonts w:ascii="Garamond" w:eastAsiaTheme="minorHAnsi" w:hAnsi="Garamond"/>
          <w:lang w:val="en-GB" w:eastAsia="en-US"/>
        </w:rPr>
      </w:pPr>
    </w:p>
    <w:p w14:paraId="60CDA0C9" w14:textId="77777777" w:rsidR="00AD586C" w:rsidRPr="009672FC" w:rsidRDefault="00AD586C">
      <w:pPr>
        <w:rPr>
          <w:rFonts w:ascii="Garamond" w:eastAsiaTheme="minorHAnsi" w:hAnsi="Garamond"/>
          <w:lang w:val="en-GB" w:eastAsia="en-US"/>
        </w:rPr>
      </w:pPr>
    </w:p>
    <w:p w14:paraId="3781DF83" w14:textId="0C687D62" w:rsidR="00D67398" w:rsidRPr="009672FC" w:rsidRDefault="00D67398">
      <w:pPr>
        <w:rPr>
          <w:rFonts w:ascii="Garamond" w:eastAsiaTheme="minorHAnsi" w:hAnsi="Garamond"/>
          <w:lang w:val="en-GB" w:eastAsia="en-US"/>
        </w:rPr>
      </w:pPr>
    </w:p>
    <w:p w14:paraId="1F9ED572" w14:textId="77777777" w:rsidR="00D67398" w:rsidRPr="009672FC" w:rsidRDefault="00D67398">
      <w:pPr>
        <w:rPr>
          <w:rFonts w:ascii="Garamond" w:eastAsiaTheme="minorHAnsi" w:hAnsi="Garamond"/>
          <w:lang w:val="en-GB" w:eastAsia="en-US"/>
        </w:rPr>
      </w:pPr>
    </w:p>
    <w:p w14:paraId="785BA705" w14:textId="77777777" w:rsidR="003D5DE8" w:rsidRPr="009672FC" w:rsidRDefault="003D5DE8">
      <w:pPr>
        <w:rPr>
          <w:rFonts w:ascii="Garamond" w:eastAsiaTheme="minorHAnsi" w:hAnsi="Garamond"/>
          <w:lang w:val="en-GB" w:eastAsia="en-US"/>
        </w:rPr>
      </w:pPr>
    </w:p>
    <w:p w14:paraId="673A390F" w14:textId="6DD00812" w:rsidR="003D5DE8" w:rsidRPr="009672FC" w:rsidRDefault="007549AA" w:rsidP="00EB5D6B">
      <w:pPr>
        <w:pStyle w:val="Heading1"/>
        <w:rPr>
          <w:rFonts w:ascii="Garamond" w:eastAsiaTheme="minorHAnsi" w:hAnsi="Garamond" w:cs="Times New Roman"/>
          <w:b/>
          <w:bCs/>
          <w:color w:val="auto"/>
          <w:sz w:val="24"/>
          <w:szCs w:val="24"/>
          <w:lang w:val="en-GB" w:eastAsia="en-US"/>
        </w:rPr>
      </w:pPr>
      <w:bookmarkStart w:id="6" w:name="_Toc85708696"/>
      <w:bookmarkStart w:id="7" w:name="_Toc85709710"/>
      <w:r w:rsidRPr="009672FC">
        <w:rPr>
          <w:rFonts w:ascii="Garamond" w:eastAsiaTheme="minorHAnsi" w:hAnsi="Garamond" w:cs="Times New Roman"/>
          <w:b/>
          <w:bCs/>
          <w:color w:val="auto"/>
          <w:sz w:val="24"/>
          <w:szCs w:val="24"/>
          <w:lang w:val="en-GB" w:eastAsia="en-US"/>
        </w:rPr>
        <w:lastRenderedPageBreak/>
        <w:t xml:space="preserve">List of </w:t>
      </w:r>
      <w:r w:rsidR="008C7435" w:rsidRPr="009672FC">
        <w:rPr>
          <w:rFonts w:ascii="Garamond" w:eastAsiaTheme="minorHAnsi" w:hAnsi="Garamond" w:cs="Times New Roman"/>
          <w:b/>
          <w:bCs/>
          <w:color w:val="auto"/>
          <w:sz w:val="24"/>
          <w:szCs w:val="24"/>
          <w:lang w:val="en-GB" w:eastAsia="en-US"/>
        </w:rPr>
        <w:t>T</w:t>
      </w:r>
      <w:r w:rsidRPr="009672FC">
        <w:rPr>
          <w:rFonts w:ascii="Garamond" w:eastAsiaTheme="minorHAnsi" w:hAnsi="Garamond" w:cs="Times New Roman"/>
          <w:b/>
          <w:bCs/>
          <w:color w:val="auto"/>
          <w:sz w:val="24"/>
          <w:szCs w:val="24"/>
          <w:lang w:val="en-GB" w:eastAsia="en-US"/>
        </w:rPr>
        <w:t>ables</w:t>
      </w:r>
      <w:bookmarkEnd w:id="6"/>
      <w:bookmarkEnd w:id="7"/>
    </w:p>
    <w:p w14:paraId="230E31A2" w14:textId="77777777" w:rsidR="00D67398" w:rsidRPr="009672FC" w:rsidRDefault="00D67398" w:rsidP="00633601">
      <w:pPr>
        <w:pStyle w:val="TableofFigures"/>
        <w:tabs>
          <w:tab w:val="right" w:leader="dot" w:pos="9350"/>
        </w:tabs>
        <w:spacing w:line="360" w:lineRule="auto"/>
        <w:rPr>
          <w:rFonts w:ascii="Garamond" w:hAnsi="Garamond"/>
          <w:lang w:val="en-GB" w:eastAsia="en-US"/>
        </w:rPr>
      </w:pPr>
    </w:p>
    <w:p w14:paraId="52194896" w14:textId="615EAA66" w:rsidR="00EB5D6B" w:rsidRPr="009672FC" w:rsidRDefault="00EB5D6B"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r w:rsidRPr="009672FC">
        <w:rPr>
          <w:rFonts w:ascii="Garamond" w:hAnsi="Garamond"/>
          <w:lang w:val="en-GB" w:eastAsia="en-US"/>
        </w:rPr>
        <w:fldChar w:fldCharType="begin"/>
      </w:r>
      <w:r w:rsidRPr="009672FC">
        <w:rPr>
          <w:rFonts w:ascii="Garamond" w:hAnsi="Garamond"/>
          <w:lang w:val="en-GB" w:eastAsia="en-US"/>
        </w:rPr>
        <w:instrText xml:space="preserve"> TOC \h \z \c "Table" </w:instrText>
      </w:r>
      <w:r w:rsidRPr="009672FC">
        <w:rPr>
          <w:rFonts w:ascii="Garamond" w:hAnsi="Garamond"/>
          <w:lang w:val="en-GB" w:eastAsia="en-US"/>
        </w:rPr>
        <w:fldChar w:fldCharType="separate"/>
      </w:r>
      <w:hyperlink w:anchor="_Toc85711308" w:history="1">
        <w:r w:rsidRPr="009672FC">
          <w:rPr>
            <w:rStyle w:val="Hyperlink"/>
            <w:rFonts w:ascii="Garamond" w:hAnsi="Garamond"/>
            <w:noProof/>
          </w:rPr>
          <w:t>Table 1. Fact Sheet for Thesis Ch1</w:t>
        </w:r>
        <w:r w:rsidRPr="009672FC">
          <w:rPr>
            <w:rFonts w:ascii="Garamond" w:hAnsi="Garamond"/>
            <w:noProof/>
            <w:webHidden/>
          </w:rPr>
          <w:tab/>
        </w:r>
        <w:r w:rsidRPr="009672FC">
          <w:rPr>
            <w:rFonts w:ascii="Garamond" w:hAnsi="Garamond"/>
            <w:noProof/>
            <w:webHidden/>
          </w:rPr>
          <w:fldChar w:fldCharType="begin"/>
        </w:r>
        <w:r w:rsidRPr="009672FC">
          <w:rPr>
            <w:rFonts w:ascii="Garamond" w:hAnsi="Garamond"/>
            <w:noProof/>
            <w:webHidden/>
          </w:rPr>
          <w:instrText xml:space="preserve"> PAGEREF _Toc85711308 \h </w:instrText>
        </w:r>
        <w:r w:rsidRPr="009672FC">
          <w:rPr>
            <w:rFonts w:ascii="Garamond" w:hAnsi="Garamond"/>
            <w:noProof/>
            <w:webHidden/>
          </w:rPr>
        </w:r>
        <w:r w:rsidRPr="009672FC">
          <w:rPr>
            <w:rFonts w:ascii="Garamond" w:hAnsi="Garamond"/>
            <w:noProof/>
            <w:webHidden/>
          </w:rPr>
          <w:fldChar w:fldCharType="separate"/>
        </w:r>
        <w:r w:rsidR="001C1648">
          <w:rPr>
            <w:rFonts w:ascii="Garamond" w:hAnsi="Garamond"/>
            <w:noProof/>
            <w:webHidden/>
          </w:rPr>
          <w:t>1</w:t>
        </w:r>
        <w:r w:rsidRPr="009672FC">
          <w:rPr>
            <w:rFonts w:ascii="Garamond" w:hAnsi="Garamond"/>
            <w:noProof/>
            <w:webHidden/>
          </w:rPr>
          <w:fldChar w:fldCharType="end"/>
        </w:r>
      </w:hyperlink>
    </w:p>
    <w:p w14:paraId="2F02907D" w14:textId="51EC4CF6"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09" w:history="1">
        <w:r w:rsidR="00EB5D6B" w:rsidRPr="009672FC">
          <w:rPr>
            <w:rStyle w:val="Hyperlink"/>
            <w:rFonts w:ascii="Garamond" w:hAnsi="Garamond"/>
            <w:noProof/>
          </w:rPr>
          <w:t>Table 2. Material search</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_Toc85711309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4</w:t>
        </w:r>
        <w:r w:rsidR="00EB5D6B" w:rsidRPr="009672FC">
          <w:rPr>
            <w:rFonts w:ascii="Garamond" w:hAnsi="Garamond"/>
            <w:noProof/>
            <w:webHidden/>
          </w:rPr>
          <w:fldChar w:fldCharType="end"/>
        </w:r>
      </w:hyperlink>
    </w:p>
    <w:p w14:paraId="106DD7C4" w14:textId="59001DC5"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0" w:history="1">
        <w:r w:rsidR="00EB5D6B" w:rsidRPr="009672FC">
          <w:rPr>
            <w:rStyle w:val="Hyperlink"/>
            <w:rFonts w:ascii="Garamond" w:hAnsi="Garamond"/>
            <w:noProof/>
          </w:rPr>
          <w:t>Table 3. Paper Inclusion and Exclusion Criteria</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_Toc85711310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5</w:t>
        </w:r>
        <w:r w:rsidR="00EB5D6B" w:rsidRPr="009672FC">
          <w:rPr>
            <w:rFonts w:ascii="Garamond" w:hAnsi="Garamond"/>
            <w:noProof/>
            <w:webHidden/>
          </w:rPr>
          <w:fldChar w:fldCharType="end"/>
        </w:r>
      </w:hyperlink>
    </w:p>
    <w:p w14:paraId="60FB3133" w14:textId="5C79B6B2"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1" w:history="1">
        <w:r w:rsidR="00EB5D6B" w:rsidRPr="009672FC">
          <w:rPr>
            <w:rStyle w:val="Hyperlink"/>
            <w:rFonts w:ascii="Garamond" w:hAnsi="Garamond"/>
            <w:noProof/>
          </w:rPr>
          <w:t>Table 4. The List of Top Nine Most Influential Journals in Inter-organizational business network Research</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_Toc85711311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8</w:t>
        </w:r>
        <w:r w:rsidR="00EB5D6B" w:rsidRPr="009672FC">
          <w:rPr>
            <w:rFonts w:ascii="Garamond" w:hAnsi="Garamond"/>
            <w:noProof/>
            <w:webHidden/>
          </w:rPr>
          <w:fldChar w:fldCharType="end"/>
        </w:r>
      </w:hyperlink>
    </w:p>
    <w:p w14:paraId="1F9B57CF" w14:textId="17593A05"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2" w:history="1">
        <w:r w:rsidR="00EB5D6B" w:rsidRPr="009672FC">
          <w:rPr>
            <w:rStyle w:val="Hyperlink"/>
            <w:rFonts w:ascii="Garamond" w:hAnsi="Garamond"/>
            <w:noProof/>
          </w:rPr>
          <w:t>Table 5. Fact Sheet for Thesis Ch2</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_Toc85711312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24</w:t>
        </w:r>
        <w:r w:rsidR="00EB5D6B" w:rsidRPr="009672FC">
          <w:rPr>
            <w:rFonts w:ascii="Garamond" w:hAnsi="Garamond"/>
            <w:noProof/>
            <w:webHidden/>
          </w:rPr>
          <w:fldChar w:fldCharType="end"/>
        </w:r>
      </w:hyperlink>
    </w:p>
    <w:p w14:paraId="2584515B" w14:textId="6C237AEE"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3" w:history="1">
        <w:r w:rsidR="00EB5D6B" w:rsidRPr="009672FC">
          <w:rPr>
            <w:rStyle w:val="Hyperlink"/>
            <w:rFonts w:ascii="Garamond" w:hAnsi="Garamond"/>
            <w:noProof/>
          </w:rPr>
          <w:t>Table 6. Data Collection</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_Toc85711313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35</w:t>
        </w:r>
        <w:r w:rsidR="00EB5D6B" w:rsidRPr="009672FC">
          <w:rPr>
            <w:rFonts w:ascii="Garamond" w:hAnsi="Garamond"/>
            <w:noProof/>
            <w:webHidden/>
          </w:rPr>
          <w:fldChar w:fldCharType="end"/>
        </w:r>
      </w:hyperlink>
    </w:p>
    <w:p w14:paraId="6031C987" w14:textId="4FC40821"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4" w:history="1">
        <w:r w:rsidR="00EB5D6B" w:rsidRPr="009672FC">
          <w:rPr>
            <w:rStyle w:val="Hyperlink"/>
            <w:rFonts w:ascii="Garamond" w:hAnsi="Garamond"/>
            <w:noProof/>
          </w:rPr>
          <w:t>Table 7. Fact Sheet for Thesis Ch3</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_Toc85711314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53</w:t>
        </w:r>
        <w:r w:rsidR="00EB5D6B" w:rsidRPr="009672FC">
          <w:rPr>
            <w:rFonts w:ascii="Garamond" w:hAnsi="Garamond"/>
            <w:noProof/>
            <w:webHidden/>
          </w:rPr>
          <w:fldChar w:fldCharType="end"/>
        </w:r>
      </w:hyperlink>
    </w:p>
    <w:p w14:paraId="710D2618" w14:textId="6AD09892"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5" w:history="1">
        <w:r w:rsidR="00EB5D6B" w:rsidRPr="009672FC">
          <w:rPr>
            <w:rStyle w:val="Hyperlink"/>
            <w:rFonts w:ascii="Garamond" w:hAnsi="Garamond"/>
            <w:noProof/>
          </w:rPr>
          <w:t>Table 8. Reliability and validity of measurement scales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_Toc85711315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73</w:t>
        </w:r>
        <w:r w:rsidR="00EB5D6B" w:rsidRPr="009672FC">
          <w:rPr>
            <w:rFonts w:ascii="Garamond" w:hAnsi="Garamond"/>
            <w:noProof/>
            <w:webHidden/>
          </w:rPr>
          <w:fldChar w:fldCharType="end"/>
        </w:r>
      </w:hyperlink>
    </w:p>
    <w:p w14:paraId="207B4FB2" w14:textId="655048EF"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6" w:history="1">
        <w:r w:rsidR="00EB5D6B" w:rsidRPr="009672FC">
          <w:rPr>
            <w:rStyle w:val="Hyperlink"/>
            <w:rFonts w:ascii="Garamond" w:hAnsi="Garamond"/>
            <w:noProof/>
          </w:rPr>
          <w:t>Table 9. Results for discriminant validity</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_Toc85711316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74</w:t>
        </w:r>
        <w:r w:rsidR="00EB5D6B" w:rsidRPr="009672FC">
          <w:rPr>
            <w:rFonts w:ascii="Garamond" w:hAnsi="Garamond"/>
            <w:noProof/>
            <w:webHidden/>
          </w:rPr>
          <w:fldChar w:fldCharType="end"/>
        </w:r>
      </w:hyperlink>
    </w:p>
    <w:p w14:paraId="35AD2593" w14:textId="3FE7226B"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7" w:history="1">
        <w:r w:rsidR="00EB5D6B" w:rsidRPr="009672FC">
          <w:rPr>
            <w:rStyle w:val="Hyperlink"/>
            <w:rFonts w:ascii="Garamond" w:hAnsi="Garamond"/>
            <w:noProof/>
          </w:rPr>
          <w:t>Table 10. Path Coefficients/Path Relationships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_Toc85711317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76</w:t>
        </w:r>
        <w:r w:rsidR="00EB5D6B" w:rsidRPr="009672FC">
          <w:rPr>
            <w:rFonts w:ascii="Garamond" w:hAnsi="Garamond"/>
            <w:noProof/>
            <w:webHidden/>
          </w:rPr>
          <w:fldChar w:fldCharType="end"/>
        </w:r>
      </w:hyperlink>
    </w:p>
    <w:p w14:paraId="4E873DEF" w14:textId="6DE836BA"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8" w:history="1">
        <w:r w:rsidR="00EB5D6B" w:rsidRPr="009672FC">
          <w:rPr>
            <w:rStyle w:val="Hyperlink"/>
            <w:rFonts w:ascii="Garamond" w:hAnsi="Garamond"/>
            <w:noProof/>
          </w:rPr>
          <w:t>Table 11. Fact Sheet for Thesis Ch4</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_Toc85711318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85</w:t>
        </w:r>
        <w:r w:rsidR="00EB5D6B" w:rsidRPr="009672FC">
          <w:rPr>
            <w:rFonts w:ascii="Garamond" w:hAnsi="Garamond"/>
            <w:noProof/>
            <w:webHidden/>
          </w:rPr>
          <w:fldChar w:fldCharType="end"/>
        </w:r>
      </w:hyperlink>
    </w:p>
    <w:p w14:paraId="355FE93E" w14:textId="0A5A3FCA"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19" w:history="1">
        <w:r w:rsidR="00EB5D6B" w:rsidRPr="009672FC">
          <w:rPr>
            <w:rStyle w:val="Hyperlink"/>
            <w:rFonts w:ascii="Garamond" w:hAnsi="Garamond"/>
            <w:noProof/>
          </w:rPr>
          <w:t>Table 12. Global Deaths and New infections Counts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_Toc85711319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90</w:t>
        </w:r>
        <w:r w:rsidR="00EB5D6B" w:rsidRPr="009672FC">
          <w:rPr>
            <w:rFonts w:ascii="Garamond" w:hAnsi="Garamond"/>
            <w:noProof/>
            <w:webHidden/>
          </w:rPr>
          <w:fldChar w:fldCharType="end"/>
        </w:r>
      </w:hyperlink>
    </w:p>
    <w:p w14:paraId="3B83CD2F" w14:textId="1B631655"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1320" w:history="1">
        <w:r w:rsidR="00EB5D6B" w:rsidRPr="009672FC">
          <w:rPr>
            <w:rStyle w:val="Hyperlink"/>
            <w:rFonts w:ascii="Garamond" w:hAnsi="Garamond"/>
            <w:noProof/>
          </w:rPr>
          <w:t>Table 13. Data collection</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_Toc85711320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102</w:t>
        </w:r>
        <w:r w:rsidR="00EB5D6B" w:rsidRPr="009672FC">
          <w:rPr>
            <w:rFonts w:ascii="Garamond" w:hAnsi="Garamond"/>
            <w:noProof/>
            <w:webHidden/>
          </w:rPr>
          <w:fldChar w:fldCharType="end"/>
        </w:r>
      </w:hyperlink>
    </w:p>
    <w:p w14:paraId="4A635FDC" w14:textId="61616851" w:rsidR="00EB5D6B" w:rsidRPr="009672FC" w:rsidRDefault="00EB5D6B" w:rsidP="00EB5D6B">
      <w:pPr>
        <w:rPr>
          <w:rFonts w:ascii="Garamond" w:hAnsi="Garamond"/>
          <w:lang w:val="en-GB" w:eastAsia="en-US"/>
        </w:rPr>
      </w:pPr>
      <w:r w:rsidRPr="009672FC">
        <w:rPr>
          <w:rFonts w:ascii="Garamond" w:hAnsi="Garamond"/>
          <w:lang w:val="en-GB" w:eastAsia="en-US"/>
        </w:rPr>
        <w:fldChar w:fldCharType="end"/>
      </w:r>
    </w:p>
    <w:p w14:paraId="40A003B9" w14:textId="08B2B1C7" w:rsidR="003D5DE8" w:rsidRPr="009672FC" w:rsidRDefault="007549AA" w:rsidP="00EB5D6B">
      <w:pPr>
        <w:pStyle w:val="Heading1"/>
        <w:rPr>
          <w:rFonts w:ascii="Garamond" w:hAnsi="Garamond" w:cs="Times New Roman"/>
          <w:b/>
          <w:bCs/>
          <w:color w:val="auto"/>
          <w:sz w:val="24"/>
          <w:szCs w:val="24"/>
        </w:rPr>
      </w:pPr>
      <w:bookmarkStart w:id="8" w:name="_Toc85708697"/>
      <w:bookmarkStart w:id="9" w:name="_Toc85709711"/>
      <w:r w:rsidRPr="009672FC">
        <w:rPr>
          <w:rFonts w:ascii="Garamond" w:hAnsi="Garamond" w:cs="Times New Roman"/>
          <w:b/>
          <w:bCs/>
          <w:color w:val="auto"/>
          <w:sz w:val="24"/>
          <w:szCs w:val="24"/>
        </w:rPr>
        <w:t xml:space="preserve">List of </w:t>
      </w:r>
      <w:r w:rsidR="008C7435" w:rsidRPr="009672FC">
        <w:rPr>
          <w:rFonts w:ascii="Garamond" w:hAnsi="Garamond" w:cs="Times New Roman"/>
          <w:b/>
          <w:bCs/>
          <w:color w:val="auto"/>
          <w:sz w:val="24"/>
          <w:szCs w:val="24"/>
        </w:rPr>
        <w:t>F</w:t>
      </w:r>
      <w:r w:rsidRPr="009672FC">
        <w:rPr>
          <w:rFonts w:ascii="Garamond" w:hAnsi="Garamond" w:cs="Times New Roman"/>
          <w:b/>
          <w:bCs/>
          <w:color w:val="auto"/>
          <w:sz w:val="24"/>
          <w:szCs w:val="24"/>
        </w:rPr>
        <w:t>igures</w:t>
      </w:r>
      <w:bookmarkEnd w:id="8"/>
      <w:bookmarkEnd w:id="9"/>
    </w:p>
    <w:p w14:paraId="55BBB655" w14:textId="77777777" w:rsidR="003D5DE8" w:rsidRPr="009672FC" w:rsidRDefault="003D5DE8">
      <w:pPr>
        <w:tabs>
          <w:tab w:val="left" w:pos="1214"/>
        </w:tabs>
        <w:jc w:val="both"/>
        <w:rPr>
          <w:rFonts w:ascii="Garamond" w:hAnsi="Garamond"/>
        </w:rPr>
      </w:pPr>
    </w:p>
    <w:p w14:paraId="47509AEB" w14:textId="4EFC2875" w:rsidR="00EB5D6B" w:rsidRPr="009672FC" w:rsidRDefault="00EB5D6B"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r w:rsidRPr="009672FC">
        <w:rPr>
          <w:rFonts w:ascii="Garamond" w:hAnsi="Garamond"/>
        </w:rPr>
        <w:fldChar w:fldCharType="begin"/>
      </w:r>
      <w:r w:rsidRPr="009672FC">
        <w:rPr>
          <w:rFonts w:ascii="Garamond" w:hAnsi="Garamond"/>
        </w:rPr>
        <w:instrText xml:space="preserve"> TOC \h \z \c "Figure" </w:instrText>
      </w:r>
      <w:r w:rsidRPr="009672FC">
        <w:rPr>
          <w:rFonts w:ascii="Garamond" w:hAnsi="Garamond"/>
        </w:rPr>
        <w:fldChar w:fldCharType="separate"/>
      </w:r>
      <w:hyperlink w:anchor="_Toc85710576" w:history="1">
        <w:r w:rsidRPr="009672FC">
          <w:rPr>
            <w:rStyle w:val="Hyperlink"/>
            <w:rFonts w:ascii="Garamond" w:hAnsi="Garamond"/>
            <w:noProof/>
          </w:rPr>
          <w:t>Figure 1. Annual publications and citation structure of Inter-organizational business network research</w:t>
        </w:r>
        <w:r w:rsidRPr="009672FC">
          <w:rPr>
            <w:rFonts w:ascii="Garamond" w:hAnsi="Garamond"/>
            <w:noProof/>
            <w:webHidden/>
          </w:rPr>
          <w:tab/>
        </w:r>
        <w:r w:rsidRPr="009672FC">
          <w:rPr>
            <w:rFonts w:ascii="Garamond" w:hAnsi="Garamond"/>
            <w:noProof/>
            <w:webHidden/>
          </w:rPr>
          <w:fldChar w:fldCharType="begin"/>
        </w:r>
        <w:r w:rsidRPr="009672FC">
          <w:rPr>
            <w:rFonts w:ascii="Garamond" w:hAnsi="Garamond"/>
            <w:noProof/>
            <w:webHidden/>
          </w:rPr>
          <w:instrText xml:space="preserve"> PAGEREF _Toc85710576 \h </w:instrText>
        </w:r>
        <w:r w:rsidRPr="009672FC">
          <w:rPr>
            <w:rFonts w:ascii="Garamond" w:hAnsi="Garamond"/>
            <w:noProof/>
            <w:webHidden/>
          </w:rPr>
        </w:r>
        <w:r w:rsidRPr="009672FC">
          <w:rPr>
            <w:rFonts w:ascii="Garamond" w:hAnsi="Garamond"/>
            <w:noProof/>
            <w:webHidden/>
          </w:rPr>
          <w:fldChar w:fldCharType="separate"/>
        </w:r>
        <w:r w:rsidR="001C1648">
          <w:rPr>
            <w:rFonts w:ascii="Garamond" w:hAnsi="Garamond"/>
            <w:noProof/>
            <w:webHidden/>
          </w:rPr>
          <w:t>7</w:t>
        </w:r>
        <w:r w:rsidRPr="009672FC">
          <w:rPr>
            <w:rFonts w:ascii="Garamond" w:hAnsi="Garamond"/>
            <w:noProof/>
            <w:webHidden/>
          </w:rPr>
          <w:fldChar w:fldCharType="end"/>
        </w:r>
      </w:hyperlink>
    </w:p>
    <w:p w14:paraId="7A541018" w14:textId="0032811D"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77" w:history="1">
        <w:r w:rsidR="00EB5D6B" w:rsidRPr="009672FC">
          <w:rPr>
            <w:rStyle w:val="Hyperlink"/>
            <w:rFonts w:ascii="Garamond" w:hAnsi="Garamond"/>
            <w:noProof/>
          </w:rPr>
          <w:t>Figure 2. Article Distribution by Methodology</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_Toc85710577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8</w:t>
        </w:r>
        <w:r w:rsidR="00EB5D6B" w:rsidRPr="009672FC">
          <w:rPr>
            <w:rFonts w:ascii="Garamond" w:hAnsi="Garamond"/>
            <w:noProof/>
            <w:webHidden/>
          </w:rPr>
          <w:fldChar w:fldCharType="end"/>
        </w:r>
      </w:hyperlink>
    </w:p>
    <w:p w14:paraId="05FA6A0D" w14:textId="29AE3576"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78" w:history="1">
        <w:r w:rsidR="00EB5D6B" w:rsidRPr="009672FC">
          <w:rPr>
            <w:rStyle w:val="Hyperlink"/>
            <w:rFonts w:ascii="Garamond" w:hAnsi="Garamond"/>
            <w:noProof/>
          </w:rPr>
          <w:t>Figure 3. Bibliographic coupling of countries publishing in inter-organizational business network research</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_Toc85710578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10</w:t>
        </w:r>
        <w:r w:rsidR="00EB5D6B" w:rsidRPr="009672FC">
          <w:rPr>
            <w:rFonts w:ascii="Garamond" w:hAnsi="Garamond"/>
            <w:noProof/>
            <w:webHidden/>
          </w:rPr>
          <w:fldChar w:fldCharType="end"/>
        </w:r>
      </w:hyperlink>
    </w:p>
    <w:p w14:paraId="72C3159D" w14:textId="5C7537A9"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79" w:history="1">
        <w:r w:rsidR="00EB5D6B" w:rsidRPr="009672FC">
          <w:rPr>
            <w:rStyle w:val="Hyperlink"/>
            <w:rFonts w:ascii="Garamond" w:hAnsi="Garamond"/>
            <w:noProof/>
          </w:rPr>
          <w:t>Figure 4. Co-citation of authors in Inter-organizational business network research (minimum citation threshold of 20 and 100 links).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_Toc85710579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12</w:t>
        </w:r>
        <w:r w:rsidR="00EB5D6B" w:rsidRPr="009672FC">
          <w:rPr>
            <w:rFonts w:ascii="Garamond" w:hAnsi="Garamond"/>
            <w:noProof/>
            <w:webHidden/>
          </w:rPr>
          <w:fldChar w:fldCharType="end"/>
        </w:r>
      </w:hyperlink>
    </w:p>
    <w:p w14:paraId="41211E46" w14:textId="6FA0B4BF"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0" w:history="1">
        <w:r w:rsidR="00EB5D6B" w:rsidRPr="009672FC">
          <w:rPr>
            <w:rStyle w:val="Hyperlink"/>
            <w:rFonts w:ascii="Garamond" w:hAnsi="Garamond"/>
            <w:noProof/>
          </w:rPr>
          <w:t>Figure 5. Data structure</w:t>
        </w:r>
        <w:r w:rsidR="00EB5D6B" w:rsidRPr="009672FC">
          <w:rPr>
            <w:rFonts w:ascii="Garamond" w:hAnsi="Garamond"/>
            <w:noProof/>
            <w:webHidden/>
          </w:rPr>
          <w:tab/>
        </w:r>
      </w:hyperlink>
      <w:r w:rsidR="00633601" w:rsidRPr="009672FC">
        <w:rPr>
          <w:rFonts w:ascii="Garamond" w:hAnsi="Garamond"/>
          <w:noProof/>
        </w:rPr>
        <w:t>23</w:t>
      </w:r>
    </w:p>
    <w:p w14:paraId="2E932F2F" w14:textId="50B21006"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1" w:history="1">
        <w:r w:rsidR="00EB5D6B" w:rsidRPr="009672FC">
          <w:rPr>
            <w:rStyle w:val="Hyperlink"/>
            <w:rFonts w:ascii="Garamond" w:hAnsi="Garamond"/>
            <w:noProof/>
          </w:rPr>
          <w:t>Figure 6. The path coefficients/path relationships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_Toc85710581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71</w:t>
        </w:r>
        <w:r w:rsidR="00EB5D6B" w:rsidRPr="009672FC">
          <w:rPr>
            <w:rFonts w:ascii="Garamond" w:hAnsi="Garamond"/>
            <w:noProof/>
            <w:webHidden/>
          </w:rPr>
          <w:fldChar w:fldCharType="end"/>
        </w:r>
      </w:hyperlink>
    </w:p>
    <w:p w14:paraId="5F85EA0D" w14:textId="3C75729E"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2" w:history="1">
        <w:r w:rsidR="00EB5D6B" w:rsidRPr="009672FC">
          <w:rPr>
            <w:rStyle w:val="Hyperlink"/>
            <w:rFonts w:ascii="Garamond" w:hAnsi="Garamond"/>
            <w:noProof/>
          </w:rPr>
          <w:t>Figure 7. Structured model and direct effects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_Toc85710582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77</w:t>
        </w:r>
        <w:r w:rsidR="00EB5D6B" w:rsidRPr="009672FC">
          <w:rPr>
            <w:rFonts w:ascii="Garamond" w:hAnsi="Garamond"/>
            <w:noProof/>
            <w:webHidden/>
          </w:rPr>
          <w:fldChar w:fldCharType="end"/>
        </w:r>
      </w:hyperlink>
    </w:p>
    <w:p w14:paraId="2F70D59B" w14:textId="1CABFB05"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3" w:history="1">
        <w:r w:rsidR="00EB5D6B" w:rsidRPr="009672FC">
          <w:rPr>
            <w:rStyle w:val="Hyperlink"/>
            <w:rFonts w:ascii="Garamond" w:hAnsi="Garamond"/>
            <w:noProof/>
          </w:rPr>
          <w:t>Figure 8. The Path Coefficients for Small-sized enterprise</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_Toc85710583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78</w:t>
        </w:r>
        <w:r w:rsidR="00EB5D6B" w:rsidRPr="009672FC">
          <w:rPr>
            <w:rFonts w:ascii="Garamond" w:hAnsi="Garamond"/>
            <w:noProof/>
            <w:webHidden/>
          </w:rPr>
          <w:fldChar w:fldCharType="end"/>
        </w:r>
      </w:hyperlink>
    </w:p>
    <w:p w14:paraId="16BF6FD5" w14:textId="2ED40F61"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4" w:history="1">
        <w:r w:rsidR="00EB5D6B" w:rsidRPr="009672FC">
          <w:rPr>
            <w:rStyle w:val="Hyperlink"/>
            <w:rFonts w:ascii="Garamond" w:hAnsi="Garamond"/>
            <w:noProof/>
          </w:rPr>
          <w:t>Figure 9. The Path Coefficients for Medium-sized enterprises</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_Toc85710584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79</w:t>
        </w:r>
        <w:r w:rsidR="00EB5D6B" w:rsidRPr="009672FC">
          <w:rPr>
            <w:rFonts w:ascii="Garamond" w:hAnsi="Garamond"/>
            <w:noProof/>
            <w:webHidden/>
          </w:rPr>
          <w:fldChar w:fldCharType="end"/>
        </w:r>
      </w:hyperlink>
    </w:p>
    <w:p w14:paraId="4931EDA9" w14:textId="0491B532" w:rsidR="00EB5D6B" w:rsidRPr="009672FC" w:rsidRDefault="00432042" w:rsidP="00633601">
      <w:pPr>
        <w:pStyle w:val="TableofFigures"/>
        <w:tabs>
          <w:tab w:val="right" w:leader="dot" w:pos="9350"/>
        </w:tabs>
        <w:spacing w:line="360" w:lineRule="auto"/>
        <w:rPr>
          <w:rFonts w:ascii="Garamond" w:eastAsiaTheme="minorEastAsia" w:hAnsi="Garamond" w:cstheme="minorBidi"/>
          <w:noProof/>
          <w:sz w:val="22"/>
          <w:szCs w:val="22"/>
          <w:lang w:eastAsia="en-US"/>
        </w:rPr>
      </w:pPr>
      <w:hyperlink w:anchor="_Toc85710585" w:history="1">
        <w:r w:rsidR="00EB5D6B" w:rsidRPr="009672FC">
          <w:rPr>
            <w:rStyle w:val="Hyperlink"/>
            <w:rFonts w:ascii="Garamond" w:hAnsi="Garamond"/>
            <w:noProof/>
          </w:rPr>
          <w:t>Figure 10. Diagrammatic representation of the stages undertaken to code the empirical data</w:t>
        </w:r>
        <w:r w:rsidR="00EB5D6B" w:rsidRPr="009672FC">
          <w:rPr>
            <w:rFonts w:ascii="Garamond" w:hAnsi="Garamond"/>
            <w:noProof/>
            <w:webHidden/>
          </w:rPr>
          <w:tab/>
        </w:r>
        <w:r w:rsidR="00EB5D6B" w:rsidRPr="009672FC">
          <w:rPr>
            <w:rFonts w:ascii="Garamond" w:hAnsi="Garamond"/>
            <w:noProof/>
            <w:webHidden/>
          </w:rPr>
          <w:fldChar w:fldCharType="begin"/>
        </w:r>
        <w:r w:rsidR="00EB5D6B" w:rsidRPr="009672FC">
          <w:rPr>
            <w:rFonts w:ascii="Garamond" w:hAnsi="Garamond"/>
            <w:noProof/>
            <w:webHidden/>
          </w:rPr>
          <w:instrText xml:space="preserve"> PAGEREF _Toc85710585 \h </w:instrText>
        </w:r>
        <w:r w:rsidR="00EB5D6B" w:rsidRPr="009672FC">
          <w:rPr>
            <w:rFonts w:ascii="Garamond" w:hAnsi="Garamond"/>
            <w:noProof/>
            <w:webHidden/>
          </w:rPr>
        </w:r>
        <w:r w:rsidR="00EB5D6B" w:rsidRPr="009672FC">
          <w:rPr>
            <w:rFonts w:ascii="Garamond" w:hAnsi="Garamond"/>
            <w:noProof/>
            <w:webHidden/>
          </w:rPr>
          <w:fldChar w:fldCharType="separate"/>
        </w:r>
        <w:r w:rsidR="001C1648">
          <w:rPr>
            <w:rFonts w:ascii="Garamond" w:hAnsi="Garamond"/>
            <w:noProof/>
            <w:webHidden/>
          </w:rPr>
          <w:t>104</w:t>
        </w:r>
        <w:r w:rsidR="00EB5D6B" w:rsidRPr="009672FC">
          <w:rPr>
            <w:rFonts w:ascii="Garamond" w:hAnsi="Garamond"/>
            <w:noProof/>
            <w:webHidden/>
          </w:rPr>
          <w:fldChar w:fldCharType="end"/>
        </w:r>
      </w:hyperlink>
    </w:p>
    <w:p w14:paraId="0D6B67BB" w14:textId="77777777" w:rsidR="00AD586C" w:rsidRDefault="00EB5D6B" w:rsidP="00D67398">
      <w:pPr>
        <w:pStyle w:val="MDPI19line"/>
        <w:ind w:hanging="2608"/>
        <w:jc w:val="center"/>
        <w:rPr>
          <w:rFonts w:ascii="Garamond" w:hAnsi="Garamond"/>
        </w:rPr>
      </w:pPr>
      <w:r w:rsidRPr="009672FC">
        <w:rPr>
          <w:rFonts w:ascii="Garamond" w:hAnsi="Garamond"/>
        </w:rPr>
        <w:fldChar w:fldCharType="end"/>
      </w:r>
      <w:bookmarkStart w:id="10" w:name="_Toc85708698"/>
      <w:bookmarkStart w:id="11" w:name="_Toc85709712"/>
    </w:p>
    <w:p w14:paraId="34A24074" w14:textId="77777777" w:rsidR="00AD586C" w:rsidRDefault="00AD586C" w:rsidP="00D67398">
      <w:pPr>
        <w:pStyle w:val="MDPI19line"/>
        <w:ind w:hanging="2608"/>
        <w:jc w:val="center"/>
        <w:rPr>
          <w:rFonts w:ascii="Garamond" w:hAnsi="Garamond"/>
        </w:rPr>
      </w:pPr>
    </w:p>
    <w:p w14:paraId="46281F8A" w14:textId="6C7737BD" w:rsidR="003D5DE8" w:rsidRPr="009672FC" w:rsidRDefault="007549AA" w:rsidP="00D67398">
      <w:pPr>
        <w:pStyle w:val="MDPI19line"/>
        <w:ind w:hanging="2608"/>
        <w:jc w:val="center"/>
        <w:rPr>
          <w:rFonts w:ascii="Garamond" w:hAnsi="Garamond" w:cs="Times New Roman"/>
          <w:b/>
          <w:bCs/>
          <w:sz w:val="24"/>
          <w:szCs w:val="32"/>
        </w:rPr>
      </w:pPr>
      <w:r w:rsidRPr="009672FC">
        <w:rPr>
          <w:rFonts w:ascii="Garamond" w:hAnsi="Garamond" w:cs="Times New Roman"/>
          <w:b/>
          <w:bCs/>
          <w:sz w:val="24"/>
          <w:szCs w:val="32"/>
        </w:rPr>
        <w:lastRenderedPageBreak/>
        <w:t>Summary</w:t>
      </w:r>
      <w:bookmarkEnd w:id="10"/>
      <w:bookmarkEnd w:id="11"/>
      <w:r w:rsidR="00D67398" w:rsidRPr="009672FC">
        <w:rPr>
          <w:rFonts w:ascii="Garamond" w:hAnsi="Garamond" w:cs="Times New Roman"/>
          <w:b/>
          <w:bCs/>
          <w:sz w:val="24"/>
          <w:szCs w:val="32"/>
        </w:rPr>
        <w:t xml:space="preserve"> of the Thesis</w:t>
      </w:r>
    </w:p>
    <w:p w14:paraId="10A8AB72" w14:textId="7C58E20C" w:rsidR="000E3BCA" w:rsidRPr="009672FC" w:rsidRDefault="007549AA" w:rsidP="00633601">
      <w:pPr>
        <w:spacing w:line="360" w:lineRule="auto"/>
        <w:jc w:val="both"/>
        <w:rPr>
          <w:rFonts w:ascii="Garamond" w:hAnsi="Garamond"/>
        </w:rPr>
      </w:pPr>
      <w:r w:rsidRPr="009672FC">
        <w:rPr>
          <w:rFonts w:ascii="Garamond" w:hAnsi="Garamond"/>
          <w:b/>
          <w:bCs/>
        </w:rPr>
        <w:t>Problem statement</w:t>
      </w:r>
      <w:r w:rsidRPr="009672FC">
        <w:rPr>
          <w:rFonts w:ascii="Garamond" w:hAnsi="Garamond"/>
        </w:rPr>
        <w:t xml:space="preserve">: The inter-organizational relationship has become an increasingly emerging configuration in the domains of </w:t>
      </w:r>
      <w:r w:rsidR="00CF726B" w:rsidRPr="009672FC">
        <w:rPr>
          <w:rFonts w:ascii="Garamond" w:hAnsi="Garamond"/>
        </w:rPr>
        <w:t xml:space="preserve">an </w:t>
      </w:r>
      <w:r w:rsidRPr="009672FC">
        <w:rPr>
          <w:rFonts w:ascii="Garamond" w:hAnsi="Garamond"/>
        </w:rPr>
        <w:t xml:space="preserve">innovation ecosystem. The synergy of firms, with diverse institutional logics, motives and resources position has the potential to generate common good, that lie beyond the reach and capability of a single firm. However, managing the idiosyncrasies of firms in such alliances remain highly problematic in practice and largely limited in the extant literature, and thus often results in firms’ unwillingness to engage in </w:t>
      </w:r>
      <w:r w:rsidR="00CF726B" w:rsidRPr="009672FC">
        <w:rPr>
          <w:rFonts w:ascii="Garamond" w:hAnsi="Garamond"/>
        </w:rPr>
        <w:t xml:space="preserve">a </w:t>
      </w:r>
      <w:r w:rsidRPr="009672FC">
        <w:rPr>
          <w:rFonts w:ascii="Garamond" w:hAnsi="Garamond"/>
        </w:rPr>
        <w:t xml:space="preserve">collaborative innovation ecosystem. To address this, </w:t>
      </w:r>
      <w:r w:rsidRPr="009672FC">
        <w:rPr>
          <w:rFonts w:ascii="Garamond" w:hAnsi="Garamond"/>
          <w:b/>
          <w:bCs/>
        </w:rPr>
        <w:t>first</w:t>
      </w:r>
      <w:r w:rsidRPr="009672FC">
        <w:rPr>
          <w:rFonts w:ascii="Garamond" w:hAnsi="Garamond"/>
        </w:rPr>
        <w:t xml:space="preserve">, we conduct a review of </w:t>
      </w:r>
      <w:r w:rsidR="00CF726B" w:rsidRPr="009672FC">
        <w:rPr>
          <w:rFonts w:ascii="Garamond" w:hAnsi="Garamond"/>
        </w:rPr>
        <w:t xml:space="preserve">the </w:t>
      </w:r>
      <w:r w:rsidRPr="009672FC">
        <w:rPr>
          <w:rFonts w:ascii="Garamond" w:hAnsi="Garamond"/>
        </w:rPr>
        <w:t xml:space="preserve">literature to elucidate </w:t>
      </w:r>
      <w:r w:rsidR="00CF726B" w:rsidRPr="009672FC">
        <w:rPr>
          <w:rFonts w:ascii="Garamond" w:hAnsi="Garamond"/>
        </w:rPr>
        <w:t xml:space="preserve">the </w:t>
      </w:r>
      <w:r w:rsidRPr="009672FC">
        <w:rPr>
          <w:rFonts w:ascii="Garamond" w:hAnsi="Garamond"/>
        </w:rPr>
        <w:t xml:space="preserve">research gap, </w:t>
      </w:r>
      <w:r w:rsidR="006D06C2" w:rsidRPr="009672FC">
        <w:rPr>
          <w:rFonts w:ascii="Garamond" w:hAnsi="Garamond"/>
        </w:rPr>
        <w:t xml:space="preserve">highly influential authors, and countries, the classification </w:t>
      </w:r>
      <w:r w:rsidR="00F20DD7">
        <w:rPr>
          <w:rFonts w:ascii="Garamond" w:hAnsi="Garamond"/>
        </w:rPr>
        <w:t xml:space="preserve">of </w:t>
      </w:r>
      <w:r w:rsidR="006D06C2" w:rsidRPr="009672FC">
        <w:rPr>
          <w:rFonts w:ascii="Garamond" w:hAnsi="Garamond"/>
        </w:rPr>
        <w:t xml:space="preserve">the body of literature according to </w:t>
      </w:r>
      <w:r w:rsidRPr="009672FC">
        <w:rPr>
          <w:rFonts w:ascii="Garamond" w:hAnsi="Garamond"/>
        </w:rPr>
        <w:t>the network anteceden</w:t>
      </w:r>
      <w:r w:rsidR="006D06C2" w:rsidRPr="009672FC">
        <w:rPr>
          <w:rFonts w:ascii="Garamond" w:hAnsi="Garamond"/>
        </w:rPr>
        <w:t>ts</w:t>
      </w:r>
      <w:r w:rsidRPr="009672FC">
        <w:rPr>
          <w:rFonts w:ascii="Garamond" w:hAnsi="Garamond"/>
        </w:rPr>
        <w:t xml:space="preserve">, management, and performance issues that are fundamental to innovation network projects. These results, however, advance our understanding of the critical issues affecting the practices of co-creation of value and the ecosystem innovation performance. Furthermore, while knowledge on inter-organizational relationship has been dominated in the context of large corporations, a comprehensive understanding of how relational capabilities of a network is linked to the co-value creation of local SMEs network is missing. </w:t>
      </w:r>
      <w:r w:rsidRPr="009672FC">
        <w:rPr>
          <w:rFonts w:ascii="Garamond" w:hAnsi="Garamond"/>
          <w:b/>
          <w:bCs/>
        </w:rPr>
        <w:t>Second</w:t>
      </w:r>
      <w:r w:rsidRPr="009672FC">
        <w:rPr>
          <w:rFonts w:ascii="Garamond" w:hAnsi="Garamond"/>
        </w:rPr>
        <w:t xml:space="preserve">, we try to address this by performing an empirical study of local SMEs business networks, in practical terms, to understand how the network develops and leverages the distinct capabilities and resources of partners while advancing the ecosystem innovation performance. Since the diverse idiosyncrasies associated with firms continue to limit the proliferation of </w:t>
      </w:r>
      <w:r w:rsidR="00CF726B" w:rsidRPr="009672FC">
        <w:rPr>
          <w:rFonts w:ascii="Garamond" w:hAnsi="Garamond"/>
        </w:rPr>
        <w:t xml:space="preserve">the </w:t>
      </w:r>
      <w:r w:rsidRPr="009672FC">
        <w:rPr>
          <w:rFonts w:ascii="Garamond" w:hAnsi="Garamond"/>
        </w:rPr>
        <w:t xml:space="preserve">inter-firm innovation ecosystem, our </w:t>
      </w:r>
      <w:r w:rsidRPr="009672FC">
        <w:rPr>
          <w:rFonts w:ascii="Garamond" w:hAnsi="Garamond"/>
          <w:b/>
          <w:bCs/>
        </w:rPr>
        <w:t>third</w:t>
      </w:r>
      <w:r w:rsidRPr="009672FC">
        <w:rPr>
          <w:rFonts w:ascii="Garamond" w:hAnsi="Garamond"/>
        </w:rPr>
        <w:t xml:space="preserve"> chapter tries to examine how institution-based trust</w:t>
      </w:r>
      <w:r w:rsidR="00CF726B" w:rsidRPr="009672FC">
        <w:rPr>
          <w:rFonts w:ascii="Garamond" w:hAnsi="Garamond"/>
        </w:rPr>
        <w:t>-</w:t>
      </w:r>
      <w:r w:rsidRPr="009672FC">
        <w:rPr>
          <w:rFonts w:ascii="Garamond" w:hAnsi="Garamond"/>
        </w:rPr>
        <w:t>building programs enable the development of actors’ innovation performance in the ecosystem. Finally, despite the presence of prior studies on the inter-firm alliance for commercial purpose</w:t>
      </w:r>
      <w:r w:rsidR="00CF726B" w:rsidRPr="009672FC">
        <w:rPr>
          <w:rFonts w:ascii="Garamond" w:hAnsi="Garamond"/>
        </w:rPr>
        <w:t>s</w:t>
      </w:r>
      <w:r w:rsidRPr="009672FC">
        <w:rPr>
          <w:rFonts w:ascii="Garamond" w:hAnsi="Garamond"/>
        </w:rPr>
        <w:t xml:space="preserve">, studies on </w:t>
      </w:r>
      <w:r w:rsidR="00CF726B" w:rsidRPr="009672FC">
        <w:rPr>
          <w:rFonts w:ascii="Garamond" w:hAnsi="Garamond"/>
        </w:rPr>
        <w:t xml:space="preserve">a </w:t>
      </w:r>
      <w:r w:rsidRPr="009672FC">
        <w:rPr>
          <w:rFonts w:ascii="Garamond" w:hAnsi="Garamond"/>
        </w:rPr>
        <w:t xml:space="preserve">cause-related alliance of firms in a period of global uncertainty </w:t>
      </w:r>
      <w:r w:rsidR="00CF726B" w:rsidRPr="009672FC">
        <w:rPr>
          <w:rFonts w:ascii="Garamond" w:hAnsi="Garamond"/>
        </w:rPr>
        <w:t>are</w:t>
      </w:r>
      <w:r w:rsidRPr="009672FC">
        <w:rPr>
          <w:rFonts w:ascii="Garamond" w:hAnsi="Garamond"/>
        </w:rPr>
        <w:t xml:space="preserve"> largely underdeveloped. We addressed this problem in the </w:t>
      </w:r>
      <w:r w:rsidRPr="009672FC">
        <w:rPr>
          <w:rFonts w:ascii="Garamond" w:hAnsi="Garamond"/>
          <w:b/>
          <w:bCs/>
        </w:rPr>
        <w:t>fourth</w:t>
      </w:r>
      <w:r w:rsidRPr="009672FC">
        <w:rPr>
          <w:rFonts w:ascii="Garamond" w:hAnsi="Garamond"/>
        </w:rPr>
        <w:t xml:space="preserve"> chapter, by examining the first empirical context of collaborative value practices of </w:t>
      </w:r>
      <w:r w:rsidR="00CF726B" w:rsidRPr="009672FC">
        <w:rPr>
          <w:rFonts w:ascii="Garamond" w:hAnsi="Garamond"/>
        </w:rPr>
        <w:t xml:space="preserve">a </w:t>
      </w:r>
      <w:r w:rsidRPr="009672FC">
        <w:rPr>
          <w:rFonts w:ascii="Garamond" w:hAnsi="Garamond"/>
        </w:rPr>
        <w:t xml:space="preserve">cause-based inter-firm alliance. </w:t>
      </w:r>
    </w:p>
    <w:p w14:paraId="19A0CD52" w14:textId="7BDAB6ED" w:rsidR="003D5DE8" w:rsidRPr="009672FC" w:rsidRDefault="007549AA" w:rsidP="000E3BCA">
      <w:pPr>
        <w:spacing w:before="240" w:line="360" w:lineRule="auto"/>
        <w:jc w:val="both"/>
        <w:rPr>
          <w:rFonts w:ascii="Garamond" w:hAnsi="Garamond"/>
        </w:rPr>
      </w:pPr>
      <w:r w:rsidRPr="009672FC">
        <w:rPr>
          <w:rFonts w:ascii="Garamond" w:hAnsi="Garamond"/>
          <w:b/>
          <w:bCs/>
        </w:rPr>
        <w:t>Research design:</w:t>
      </w:r>
      <w:r w:rsidRPr="009672FC">
        <w:rPr>
          <w:rFonts w:ascii="Garamond" w:hAnsi="Garamond"/>
        </w:rPr>
        <w:t xml:space="preserve"> To address the gaps, we first reviewed the state-of-the-earth on inter-organizational relationship</w:t>
      </w:r>
      <w:r w:rsidR="00CF726B" w:rsidRPr="009672FC">
        <w:rPr>
          <w:rFonts w:ascii="Garamond" w:hAnsi="Garamond"/>
        </w:rPr>
        <w:t>s</w:t>
      </w:r>
      <w:r w:rsidRPr="009672FC">
        <w:rPr>
          <w:rFonts w:ascii="Garamond" w:hAnsi="Garamond"/>
        </w:rPr>
        <w:t xml:space="preserve"> and integrate the innovation ecosystem literature, to understand the current body of literature and explore the avenue for future research. Based on the result of this study, we conducted two series of qualitative case studies and one quantitative study, analyzing (1) the relational capabilities enabling value co-creation of an inter-firm innovation network, (2) the inter-firm innovation network characterizing the social cause rather than commercial purpose interests, and (3) the development of trust in inter-firm innovation projects. We mainly relied on the explorative, grounded theory methodology to select and analyze our cases. For both case </w:t>
      </w:r>
      <w:r w:rsidRPr="009672FC">
        <w:rPr>
          <w:rFonts w:ascii="Garamond" w:hAnsi="Garamond"/>
        </w:rPr>
        <w:lastRenderedPageBreak/>
        <w:t xml:space="preserve">studies, </w:t>
      </w:r>
      <w:r w:rsidR="00CF726B" w:rsidRPr="009672FC">
        <w:rPr>
          <w:rFonts w:ascii="Garamond" w:hAnsi="Garamond"/>
        </w:rPr>
        <w:t xml:space="preserve">a </w:t>
      </w:r>
      <w:r w:rsidRPr="009672FC">
        <w:rPr>
          <w:rFonts w:ascii="Garamond" w:hAnsi="Garamond"/>
        </w:rPr>
        <w:t xml:space="preserve">series of in-depth personal interviews were conducted across two business networks involving the network companies </w:t>
      </w:r>
      <w:r w:rsidR="00CF726B" w:rsidRPr="009672FC">
        <w:rPr>
          <w:rFonts w:ascii="Garamond" w:hAnsi="Garamond"/>
        </w:rPr>
        <w:t>allying</w:t>
      </w:r>
      <w:r w:rsidRPr="009672FC">
        <w:rPr>
          <w:rFonts w:ascii="Garamond" w:hAnsi="Garamond"/>
        </w:rPr>
        <w:t>. In addition to this, a comprehensive list of secondary data was generated to augment the research process and increase the robustness of the findings.</w:t>
      </w:r>
    </w:p>
    <w:p w14:paraId="525AC4EA" w14:textId="1D811B7A" w:rsidR="003D5DE8" w:rsidRPr="009672FC" w:rsidRDefault="007549AA" w:rsidP="000E3BCA">
      <w:pPr>
        <w:spacing w:before="240" w:line="360" w:lineRule="auto"/>
        <w:jc w:val="both"/>
        <w:rPr>
          <w:rFonts w:ascii="Garamond" w:hAnsi="Garamond"/>
        </w:rPr>
      </w:pPr>
      <w:r w:rsidRPr="009672FC">
        <w:rPr>
          <w:rFonts w:ascii="Garamond" w:hAnsi="Garamond"/>
          <w:b/>
          <w:bCs/>
        </w:rPr>
        <w:t>Results:</w:t>
      </w:r>
      <w:r w:rsidRPr="009672FC">
        <w:rPr>
          <w:rFonts w:ascii="Garamond" w:hAnsi="Garamond"/>
        </w:rPr>
        <w:t xml:space="preserve"> The results of this thesis first map out the state</w:t>
      </w:r>
      <w:r w:rsidR="00CF726B" w:rsidRPr="009672FC">
        <w:rPr>
          <w:rFonts w:ascii="Garamond" w:hAnsi="Garamond"/>
        </w:rPr>
        <w:t xml:space="preserve"> of the </w:t>
      </w:r>
      <w:r w:rsidRPr="009672FC">
        <w:rPr>
          <w:rFonts w:ascii="Garamond" w:hAnsi="Garamond"/>
        </w:rPr>
        <w:t xml:space="preserve">earth, describing the emerging themes and direction for future agenda. </w:t>
      </w:r>
      <w:r w:rsidRPr="009672FC">
        <w:rPr>
          <w:rFonts w:ascii="Garamond" w:hAnsi="Garamond"/>
          <w:lang w:val="en-GB"/>
        </w:rPr>
        <w:t>Based on our review of extant literature, we found that research in inter-organizational innovation is emerging fast. This is due to the plethora of economic and commercial advantages firms derived in their relationship- thus creating an opportunity for more research in the field. Despite the growing attention of researchers in the field, the literature on inter-organizational relationship</w:t>
      </w:r>
      <w:r w:rsidR="00CF726B" w:rsidRPr="009672FC">
        <w:rPr>
          <w:rFonts w:ascii="Garamond" w:hAnsi="Garamond"/>
          <w:lang w:val="en-GB"/>
        </w:rPr>
        <w:t>s</w:t>
      </w:r>
      <w:r w:rsidRPr="009672FC">
        <w:rPr>
          <w:rFonts w:ascii="Garamond" w:hAnsi="Garamond"/>
          <w:lang w:val="en-GB"/>
        </w:rPr>
        <w:t xml:space="preserve"> suffers from many weaknesses - making it problematic to achieve common alliance success. Generally, we discovered that research in the field is highly fragmented. First, research in an inter-organizational business network is, however, still struggling to gain a solid identity in practice because of the nuance of factors and their effects on inter-firm relationships. Our findings showed that several factors caught researchers’ attractions while others remain largely limited. Th results showed that these factors have parsimonious effects on innovation ecosystems– </w:t>
      </w:r>
      <w:r w:rsidR="00CF726B" w:rsidRPr="009672FC">
        <w:rPr>
          <w:rFonts w:ascii="Garamond" w:hAnsi="Garamond"/>
          <w:lang w:val="en-GB"/>
        </w:rPr>
        <w:t>failing</w:t>
      </w:r>
      <w:r w:rsidRPr="009672FC">
        <w:rPr>
          <w:rFonts w:ascii="Garamond" w:hAnsi="Garamond"/>
          <w:lang w:val="en-GB"/>
        </w:rPr>
        <w:t xml:space="preserve"> many inter-organizational projects across many industries and sectors. These results were further clustered according</w:t>
      </w:r>
      <w:r w:rsidR="00CF726B" w:rsidRPr="009672FC">
        <w:rPr>
          <w:rFonts w:ascii="Garamond" w:hAnsi="Garamond"/>
          <w:lang w:val="en-GB"/>
        </w:rPr>
        <w:t xml:space="preserve"> to</w:t>
      </w:r>
      <w:r w:rsidRPr="009672FC">
        <w:rPr>
          <w:rFonts w:ascii="Garamond" w:hAnsi="Garamond"/>
          <w:lang w:val="en-GB"/>
        </w:rPr>
        <w:t xml:space="preserve"> three categories of network management: network antecedents, network management, and network performance. The extant literature, however, provides no integrated framework to entangle such challenges in inter-organizational relationships.</w:t>
      </w:r>
    </w:p>
    <w:p w14:paraId="58F9AC86" w14:textId="77777777" w:rsidR="000E3BCA" w:rsidRPr="009672FC" w:rsidRDefault="007549AA" w:rsidP="000E3BCA">
      <w:pPr>
        <w:spacing w:before="240" w:line="360" w:lineRule="auto"/>
        <w:jc w:val="both"/>
        <w:rPr>
          <w:rFonts w:ascii="Garamond" w:eastAsiaTheme="minorHAnsi" w:hAnsi="Garamond"/>
          <w:color w:val="000000"/>
          <w:lang w:val="en-GB" w:eastAsia="en-US"/>
        </w:rPr>
      </w:pPr>
      <w:r w:rsidRPr="009672FC">
        <w:rPr>
          <w:rFonts w:ascii="Garamond" w:hAnsi="Garamond"/>
          <w:lang w:val="en-GB"/>
        </w:rPr>
        <w:t>Second, we empirically examined the development of relational capabilities of local SMEs inter-firm network contract</w:t>
      </w:r>
      <w:r w:rsidR="00CF726B" w:rsidRPr="009672FC">
        <w:rPr>
          <w:rFonts w:ascii="Garamond" w:hAnsi="Garamond"/>
          <w:lang w:val="en-GB"/>
        </w:rPr>
        <w:t>s</w:t>
      </w:r>
      <w:r w:rsidRPr="009672FC">
        <w:rPr>
          <w:rFonts w:ascii="Garamond" w:hAnsi="Garamond"/>
          <w:lang w:val="en-GB"/>
        </w:rPr>
        <w:t xml:space="preserve">. </w:t>
      </w:r>
      <w:r w:rsidRPr="009672FC">
        <w:rPr>
          <w:rFonts w:ascii="Garamond" w:eastAsiaTheme="minorHAnsi" w:hAnsi="Garamond"/>
          <w:color w:val="000000"/>
          <w:lang w:val="en-GB" w:eastAsia="en-US"/>
        </w:rPr>
        <w:t>The study identifies key antecedents for successful organizing of inter-firm engagement, and the consequent development of network relational dynamic capabilities in a business network environment: friendship, institutional arrangements, participatory culture, homophily, flexibility, coordination and control, communication/information flows, trust</w:t>
      </w:r>
      <w:r w:rsidR="00CF726B" w:rsidRPr="009672FC">
        <w:rPr>
          <w:rFonts w:ascii="Garamond" w:eastAsiaTheme="minorHAnsi" w:hAnsi="Garamond"/>
          <w:color w:val="000000"/>
          <w:lang w:val="en-GB" w:eastAsia="en-US"/>
        </w:rPr>
        <w:t>-</w:t>
      </w:r>
      <w:r w:rsidRPr="009672FC">
        <w:rPr>
          <w:rFonts w:ascii="Garamond" w:eastAsiaTheme="minorHAnsi" w:hAnsi="Garamond"/>
          <w:color w:val="000000"/>
          <w:lang w:val="en-GB" w:eastAsia="en-US"/>
        </w:rPr>
        <w:t>building, transparency and managing change/adaptability. Our findings also suggest that organizing for inter-firm engagement in a business network context, positively influenced network relational performance over time.</w:t>
      </w:r>
    </w:p>
    <w:p w14:paraId="472A2424" w14:textId="62F12A89" w:rsidR="003D5DE8" w:rsidRPr="009672FC" w:rsidRDefault="007549AA" w:rsidP="000E3BCA">
      <w:pPr>
        <w:spacing w:before="240" w:line="360" w:lineRule="auto"/>
        <w:jc w:val="both"/>
        <w:rPr>
          <w:rFonts w:ascii="Garamond" w:eastAsiaTheme="minorHAnsi" w:hAnsi="Garamond"/>
          <w:color w:val="000000"/>
          <w:lang w:val="en-GB" w:eastAsia="en-US"/>
        </w:rPr>
      </w:pPr>
      <w:r w:rsidRPr="009672FC">
        <w:rPr>
          <w:rFonts w:ascii="Garamond" w:eastAsiaTheme="minorHAnsi" w:hAnsi="Garamond"/>
          <w:color w:val="000000"/>
          <w:lang w:val="en-GB" w:eastAsia="en-US"/>
        </w:rPr>
        <w:t>Third, we empirically explored institution-based trust</w:t>
      </w:r>
      <w:r w:rsidR="00CF726B" w:rsidRPr="009672FC">
        <w:rPr>
          <w:rFonts w:ascii="Garamond" w:eastAsiaTheme="minorHAnsi" w:hAnsi="Garamond"/>
          <w:color w:val="000000"/>
          <w:lang w:val="en-GB" w:eastAsia="en-US"/>
        </w:rPr>
        <w:t>-</w:t>
      </w:r>
      <w:r w:rsidRPr="009672FC">
        <w:rPr>
          <w:rFonts w:ascii="Garamond" w:eastAsiaTheme="minorHAnsi" w:hAnsi="Garamond"/>
          <w:color w:val="000000"/>
          <w:lang w:val="en-GB" w:eastAsia="en-US"/>
        </w:rPr>
        <w:t xml:space="preserve">building in the context of </w:t>
      </w:r>
      <w:r w:rsidR="00CF726B" w:rsidRPr="009672FC">
        <w:rPr>
          <w:rFonts w:ascii="Garamond" w:eastAsiaTheme="minorHAnsi" w:hAnsi="Garamond"/>
          <w:color w:val="000000"/>
          <w:lang w:val="en-GB" w:eastAsia="en-US"/>
        </w:rPr>
        <w:t xml:space="preserve">an </w:t>
      </w:r>
      <w:r w:rsidRPr="009672FC">
        <w:rPr>
          <w:rFonts w:ascii="Garamond" w:eastAsiaTheme="minorHAnsi" w:hAnsi="Garamond"/>
          <w:color w:val="000000"/>
          <w:lang w:val="en-GB" w:eastAsia="en-US"/>
        </w:rPr>
        <w:t xml:space="preserve">inter-firm innovation ecosystem. The findings show that relational risk mediates the effects of trust in institutional openness and honesty, similarity/identification trust, and institutional reliability on </w:t>
      </w:r>
      <w:r w:rsidR="00CF726B" w:rsidRPr="009672FC">
        <w:rPr>
          <w:rFonts w:ascii="Garamond" w:eastAsiaTheme="minorHAnsi" w:hAnsi="Garamond"/>
          <w:color w:val="000000"/>
          <w:lang w:val="en-GB" w:eastAsia="en-US"/>
        </w:rPr>
        <w:t xml:space="preserve">the </w:t>
      </w:r>
      <w:r w:rsidRPr="009672FC">
        <w:rPr>
          <w:rFonts w:ascii="Garamond" w:eastAsiaTheme="minorHAnsi" w:hAnsi="Garamond"/>
          <w:color w:val="000000"/>
          <w:lang w:val="en-GB" w:eastAsia="en-US"/>
        </w:rPr>
        <w:t xml:space="preserve">innovation performance of SMEs. In addition to these findings, our study also established that institutional trust-building practices differ greatly by the size of the enterprise (small vs medium). </w:t>
      </w:r>
      <w:r w:rsidRPr="009672FC">
        <w:rPr>
          <w:rFonts w:ascii="Garamond" w:eastAsiaTheme="minorHAnsi" w:hAnsi="Garamond"/>
          <w:color w:val="000000"/>
          <w:lang w:val="en-GB" w:eastAsia="en-US"/>
        </w:rPr>
        <w:lastRenderedPageBreak/>
        <w:t>While small firms are found to be more vulnerable to relational risks of inter-firm similarity (over-familiarity) than medium-sized firms, Medium</w:t>
      </w:r>
      <w:r w:rsidR="00CF726B" w:rsidRPr="009672FC">
        <w:rPr>
          <w:rFonts w:ascii="Garamond" w:eastAsiaTheme="minorHAnsi" w:hAnsi="Garamond"/>
          <w:color w:val="000000"/>
          <w:lang w:val="en-GB" w:eastAsia="en-US"/>
        </w:rPr>
        <w:t>-</w:t>
      </w:r>
      <w:r w:rsidRPr="009672FC">
        <w:rPr>
          <w:rFonts w:ascii="Garamond" w:eastAsiaTheme="minorHAnsi" w:hAnsi="Garamond"/>
          <w:color w:val="000000"/>
          <w:lang w:val="en-GB" w:eastAsia="en-US"/>
        </w:rPr>
        <w:t xml:space="preserve">sized firms, on the other hand, are vulnerable to high relational risks caused by low institutional openness and low competence on innovation performance.  </w:t>
      </w:r>
    </w:p>
    <w:p w14:paraId="36B96533" w14:textId="66B9D1B5" w:rsidR="003D5DE8" w:rsidRPr="009672FC" w:rsidRDefault="007549AA" w:rsidP="000E3BCA">
      <w:pPr>
        <w:spacing w:before="240" w:line="360" w:lineRule="auto"/>
        <w:jc w:val="both"/>
        <w:rPr>
          <w:rFonts w:ascii="Garamond" w:hAnsi="Garamond"/>
          <w:lang w:val="en-GB"/>
        </w:rPr>
      </w:pPr>
      <w:r w:rsidRPr="009672FC">
        <w:rPr>
          <w:rFonts w:ascii="Garamond" w:hAnsi="Garamond"/>
          <w:lang w:val="en-GB"/>
        </w:rPr>
        <w:t>Finally, in the last chapter of this thesis, we empirically explored the value-creating activities of a cause-based social alliance project in Northern Italy, seeking to</w:t>
      </w:r>
      <w:r w:rsidRPr="009672FC">
        <w:rPr>
          <w:rFonts w:ascii="Garamond" w:hAnsi="Garamond"/>
        </w:rPr>
        <w:t xml:space="preserve"> address </w:t>
      </w:r>
      <w:r w:rsidR="00CF726B" w:rsidRPr="009672FC">
        <w:rPr>
          <w:rFonts w:ascii="Garamond" w:hAnsi="Garamond"/>
        </w:rPr>
        <w:t xml:space="preserve">the </w:t>
      </w:r>
      <w:r w:rsidRPr="009672FC">
        <w:rPr>
          <w:rFonts w:ascii="Garamond" w:hAnsi="Garamond"/>
        </w:rPr>
        <w:t>social challenges of society in times of the COVID-19 pandemic. The finding of this study provides evidence that despite the different organizations, motives, and even diverse institutional logics, the collaborative value creation framework is a suitable theoretical lens to understand value generation in cause-based social entrepreneurship (SE) alliance. The study found four critical aspects of collaborative value processes, that enable the alliance actors to leverage the cause-based SE alliance capabilities: value definition, co-value creation, value balance, and value renewal. Due to the idiosyncrasies associated with the alliance firms, our study showed several challenges confronting the alliance, such as finding the right cause-driven social alliance partner, different institutional logics, systems, and operational guidelines, stakeholder commitment to the cause, resource-cause alliance fit, and trust.</w:t>
      </w:r>
    </w:p>
    <w:p w14:paraId="18A3718C" w14:textId="77777777" w:rsidR="000E3BCA" w:rsidRPr="009672FC" w:rsidRDefault="007549AA" w:rsidP="000E3BCA">
      <w:pPr>
        <w:pStyle w:val="MDPI71FootNotes"/>
        <w:numPr>
          <w:ilvl w:val="0"/>
          <w:numId w:val="0"/>
        </w:numPr>
        <w:spacing w:before="240" w:line="360" w:lineRule="auto"/>
        <w:rPr>
          <w:rFonts w:ascii="Garamond" w:hAnsi="Garamond"/>
          <w:sz w:val="24"/>
          <w:szCs w:val="24"/>
        </w:rPr>
      </w:pPr>
      <w:r w:rsidRPr="009672FC">
        <w:rPr>
          <w:rFonts w:ascii="Garamond" w:hAnsi="Garamond"/>
          <w:b/>
          <w:bCs/>
          <w:sz w:val="24"/>
          <w:szCs w:val="24"/>
        </w:rPr>
        <w:t>Contribution:</w:t>
      </w:r>
      <w:r w:rsidRPr="009672FC">
        <w:rPr>
          <w:rFonts w:ascii="Garamond" w:hAnsi="Garamond"/>
          <w:sz w:val="24"/>
          <w:szCs w:val="24"/>
        </w:rPr>
        <w:t xml:space="preserve"> </w:t>
      </w:r>
      <w:r w:rsidRPr="009672FC">
        <w:rPr>
          <w:rFonts w:ascii="Garamond" w:hAnsi="Garamond"/>
          <w:sz w:val="24"/>
          <w:szCs w:val="24"/>
          <w:lang w:val="en-GB"/>
        </w:rPr>
        <w:t xml:space="preserve">Our results contribute, first, to </w:t>
      </w:r>
      <w:r w:rsidR="00CF726B" w:rsidRPr="009672FC">
        <w:rPr>
          <w:rFonts w:ascii="Garamond" w:hAnsi="Garamond"/>
          <w:sz w:val="24"/>
          <w:szCs w:val="24"/>
          <w:lang w:val="en-GB"/>
        </w:rPr>
        <w:t xml:space="preserve">the </w:t>
      </w:r>
      <w:r w:rsidRPr="009672FC">
        <w:rPr>
          <w:rFonts w:ascii="Garamond" w:hAnsi="Garamond"/>
          <w:sz w:val="24"/>
          <w:szCs w:val="24"/>
          <w:lang w:val="en-GB"/>
        </w:rPr>
        <w:t>literature on managing the inter-organizational innovation network. By considering the context of local SMEs business network</w:t>
      </w:r>
      <w:r w:rsidR="00CF726B" w:rsidRPr="009672FC">
        <w:rPr>
          <w:rFonts w:ascii="Garamond" w:hAnsi="Garamond"/>
          <w:sz w:val="24"/>
          <w:szCs w:val="24"/>
          <w:lang w:val="en-GB"/>
        </w:rPr>
        <w:t>s</w:t>
      </w:r>
      <w:r w:rsidRPr="009672FC">
        <w:rPr>
          <w:rFonts w:ascii="Garamond" w:hAnsi="Garamond"/>
          <w:sz w:val="24"/>
          <w:szCs w:val="24"/>
          <w:lang w:val="en-GB"/>
        </w:rPr>
        <w:t xml:space="preserve">, we provide empirical insights into the relational dynamics of actors in the innovation ecosystem. By the network context, we examined collaborative value processes that are critical to open innovation performance. Second, we bridge </w:t>
      </w:r>
      <w:r w:rsidRPr="009672FC">
        <w:rPr>
          <w:rFonts w:ascii="Garamond" w:hAnsi="Garamond"/>
          <w:sz w:val="24"/>
          <w:szCs w:val="24"/>
        </w:rPr>
        <w:t xml:space="preserve">social entrepreneurship by better linking inter-firm cause-based alliance literature, a subject that is highly fragmented in the literature. Third, our empirical study of network relational capabilities contributes to the relational dynamic capabilities’ literature – discussing the processes enabling the development of </w:t>
      </w:r>
      <w:r w:rsidR="00CF726B" w:rsidRPr="009672FC">
        <w:rPr>
          <w:rFonts w:ascii="Garamond" w:hAnsi="Garamond"/>
          <w:sz w:val="24"/>
          <w:szCs w:val="24"/>
        </w:rPr>
        <w:t xml:space="preserve">the </w:t>
      </w:r>
      <w:r w:rsidRPr="009672FC">
        <w:rPr>
          <w:rFonts w:ascii="Garamond" w:hAnsi="Garamond"/>
          <w:sz w:val="24"/>
          <w:szCs w:val="24"/>
        </w:rPr>
        <w:t>network’s relational capabilities while organizing inter-firm engagement projects. Lastly, we also contribute to research by empirically exploring the institution-based trust</w:t>
      </w:r>
      <w:r w:rsidR="00CF726B" w:rsidRPr="009672FC">
        <w:rPr>
          <w:rFonts w:ascii="Garamond" w:hAnsi="Garamond"/>
          <w:sz w:val="24"/>
          <w:szCs w:val="24"/>
        </w:rPr>
        <w:t>-</w:t>
      </w:r>
      <w:r w:rsidRPr="009672FC">
        <w:rPr>
          <w:rFonts w:ascii="Garamond" w:hAnsi="Garamond"/>
          <w:sz w:val="24"/>
          <w:szCs w:val="24"/>
        </w:rPr>
        <w:t>building in the context of SMEs innovation ecosystem literature. T</w:t>
      </w:r>
      <w:r w:rsidRPr="009672FC">
        <w:rPr>
          <w:rFonts w:ascii="Garamond" w:hAnsi="Garamond"/>
          <w:color w:val="000000" w:themeColor="text1"/>
          <w:sz w:val="24"/>
          <w:szCs w:val="24"/>
          <w:shd w:val="clear" w:color="auto" w:fill="FFFFFF"/>
        </w:rPr>
        <w:t xml:space="preserve">he findings also contribute to the existing empirical studies on how institutional trust factors affect inter-firm innovation performance and the mediating role of relational risk involved in inter-firm business relationships. Finally, we contribute to practice, by arguing that </w:t>
      </w:r>
      <w:r w:rsidR="00CF726B" w:rsidRPr="009672FC">
        <w:rPr>
          <w:rFonts w:ascii="Garamond" w:hAnsi="Garamond"/>
          <w:color w:val="000000" w:themeColor="text1"/>
          <w:sz w:val="24"/>
          <w:szCs w:val="24"/>
          <w:shd w:val="clear" w:color="auto" w:fill="FFFFFF"/>
        </w:rPr>
        <w:t xml:space="preserve">the </w:t>
      </w:r>
      <w:r w:rsidRPr="009672FC">
        <w:rPr>
          <w:rFonts w:ascii="Garamond" w:hAnsi="Garamond"/>
          <w:color w:val="000000" w:themeColor="text1"/>
          <w:sz w:val="24"/>
          <w:szCs w:val="24"/>
          <w:shd w:val="clear" w:color="auto" w:fill="FFFFFF"/>
        </w:rPr>
        <w:t>development of institution-based trust is a critical antecedent of setting up a successful cause-based inter-firm alliance.</w:t>
      </w:r>
    </w:p>
    <w:p w14:paraId="1C7154BA" w14:textId="77777777" w:rsidR="000E3BCA" w:rsidRPr="009672FC" w:rsidRDefault="007549AA" w:rsidP="000E3BCA">
      <w:pPr>
        <w:pStyle w:val="MDPI71FootNotes"/>
        <w:numPr>
          <w:ilvl w:val="0"/>
          <w:numId w:val="0"/>
        </w:numPr>
        <w:spacing w:before="240" w:line="360" w:lineRule="auto"/>
        <w:rPr>
          <w:rFonts w:ascii="Garamond" w:hAnsi="Garamond"/>
          <w:sz w:val="24"/>
          <w:szCs w:val="24"/>
        </w:rPr>
      </w:pPr>
      <w:r w:rsidRPr="009672FC">
        <w:rPr>
          <w:rFonts w:ascii="Garamond" w:hAnsi="Garamond"/>
          <w:b/>
          <w:bCs/>
          <w:color w:val="000000" w:themeColor="text1"/>
          <w:sz w:val="24"/>
          <w:szCs w:val="24"/>
          <w:shd w:val="clear" w:color="auto" w:fill="FFFFFF"/>
        </w:rPr>
        <w:lastRenderedPageBreak/>
        <w:t>Limitations:</w:t>
      </w:r>
      <w:r w:rsidRPr="009672FC">
        <w:rPr>
          <w:rFonts w:ascii="Garamond" w:hAnsi="Garamond"/>
          <w:color w:val="000000" w:themeColor="text1"/>
          <w:sz w:val="24"/>
          <w:szCs w:val="24"/>
          <w:shd w:val="clear" w:color="auto" w:fill="FFFFFF"/>
        </w:rPr>
        <w:t xml:space="preserve"> This thesis underlies amongst others three main limitations: First, qualitative studies are prone to researchers’ bias as data is subjectively interpreted by researchers. This, however, makes it impossible to eliminate the influence of researchers’ personal views and perceptions. To minimize this bias, we adopt various triangulations methods thus, addressing the limitation of </w:t>
      </w:r>
      <w:r w:rsidR="00CF726B" w:rsidRPr="009672FC">
        <w:rPr>
          <w:rFonts w:ascii="Garamond" w:hAnsi="Garamond"/>
          <w:color w:val="000000" w:themeColor="text1"/>
          <w:sz w:val="24"/>
          <w:szCs w:val="24"/>
          <w:shd w:val="clear" w:color="auto" w:fill="FFFFFF"/>
        </w:rPr>
        <w:t xml:space="preserve">the </w:t>
      </w:r>
      <w:r w:rsidRPr="009672FC">
        <w:rPr>
          <w:rFonts w:ascii="Garamond" w:hAnsi="Garamond"/>
          <w:color w:val="000000" w:themeColor="text1"/>
          <w:sz w:val="24"/>
          <w:szCs w:val="24"/>
          <w:shd w:val="clear" w:color="auto" w:fill="FFFFFF"/>
        </w:rPr>
        <w:t xml:space="preserve">case study approach. Second, the generalization of findings is limited by the case studies approach, giving the unique context of each case. Third, the quantitative study adopted is not without limitations. For instance, the small sample size, and use of limited scales, are likely to influence the results of the study. We recognized these limitations and proposed that future research should try to address more context-sensitive theorizing and by discussing findings limited to just specific case contexts. </w:t>
      </w:r>
    </w:p>
    <w:p w14:paraId="5E61B519" w14:textId="599AA323" w:rsidR="003D5DE8" w:rsidRPr="009672FC" w:rsidRDefault="007549AA" w:rsidP="000E3BCA">
      <w:pPr>
        <w:pStyle w:val="MDPI71FootNotes"/>
        <w:numPr>
          <w:ilvl w:val="0"/>
          <w:numId w:val="0"/>
        </w:numPr>
        <w:spacing w:before="240" w:line="360" w:lineRule="auto"/>
        <w:rPr>
          <w:rFonts w:ascii="Garamond" w:hAnsi="Garamond"/>
          <w:sz w:val="24"/>
          <w:szCs w:val="24"/>
        </w:rPr>
      </w:pPr>
      <w:r w:rsidRPr="009672FC">
        <w:rPr>
          <w:rFonts w:ascii="Garamond" w:hAnsi="Garamond"/>
          <w:b/>
          <w:bCs/>
          <w:color w:val="000000" w:themeColor="text1"/>
          <w:sz w:val="24"/>
          <w:szCs w:val="24"/>
          <w:shd w:val="clear" w:color="auto" w:fill="FFFFFF"/>
        </w:rPr>
        <w:t xml:space="preserve">Future Research: </w:t>
      </w:r>
      <w:r w:rsidRPr="009672FC">
        <w:rPr>
          <w:rFonts w:ascii="Garamond" w:hAnsi="Garamond"/>
          <w:sz w:val="24"/>
          <w:szCs w:val="24"/>
          <w:lang w:val="en-GB"/>
        </w:rPr>
        <w:t>This thesis proposed some agenda that future research should address: First, the r</w:t>
      </w:r>
      <w:proofErr w:type="spellStart"/>
      <w:r w:rsidRPr="009672FC">
        <w:rPr>
          <w:rFonts w:ascii="Garamond" w:hAnsi="Garamond"/>
          <w:sz w:val="24"/>
          <w:szCs w:val="24"/>
        </w:rPr>
        <w:t>esearch</w:t>
      </w:r>
      <w:proofErr w:type="spellEnd"/>
      <w:r w:rsidRPr="009672FC">
        <w:rPr>
          <w:rFonts w:ascii="Garamond" w:hAnsi="Garamond"/>
          <w:sz w:val="24"/>
          <w:szCs w:val="24"/>
        </w:rPr>
        <w:t xml:space="preserve"> on network relational dynamic capabilities across various business networks, could offer more robust generalizable findings. Second, the case study approaches adopted in this thesis, however, has limitations. This limited context inherent in a case study design provides a narrow empirical context for the applicability of the results. Third, the quantitative studies adopted also posed some limitations, and thus, future research could explore other multi-dimensional scales of institutional trust</w:t>
      </w:r>
      <w:r w:rsidR="00CF726B" w:rsidRPr="009672FC">
        <w:rPr>
          <w:rFonts w:ascii="Garamond" w:hAnsi="Garamond"/>
          <w:sz w:val="24"/>
          <w:szCs w:val="24"/>
        </w:rPr>
        <w:t>-</w:t>
      </w:r>
      <w:r w:rsidRPr="009672FC">
        <w:rPr>
          <w:rFonts w:ascii="Garamond" w:hAnsi="Garamond"/>
          <w:sz w:val="24"/>
          <w:szCs w:val="24"/>
        </w:rPr>
        <w:t>building practices for bigger firms, and even in different sectors/industr</w:t>
      </w:r>
      <w:r w:rsidR="00CF726B" w:rsidRPr="009672FC">
        <w:rPr>
          <w:rFonts w:ascii="Garamond" w:hAnsi="Garamond"/>
          <w:sz w:val="24"/>
          <w:szCs w:val="24"/>
        </w:rPr>
        <w:t>ies</w:t>
      </w:r>
      <w:r w:rsidRPr="009672FC">
        <w:rPr>
          <w:rFonts w:ascii="Garamond" w:hAnsi="Garamond"/>
          <w:sz w:val="24"/>
          <w:szCs w:val="24"/>
        </w:rPr>
        <w:t>, or even across different geographic locations. Finally, future studies may also try to replicate the collaborative value practices of a cause-based SE network, addressing a particular industry or market, or even comparing across different network levels with a diverse membership, and market/industry structure. Thus, the samples from bigger firms and corporations and their attitude to a social cause may be highly influenced by the size, capability, and motives, since our current case is largely by SMEs. Further, a quantitative study on how collaborative value practices influence actors’ social performance, could yield interesting findings to the cause-based social entrepreneurship alliance literature.</w:t>
      </w:r>
    </w:p>
    <w:p w14:paraId="656D680B" w14:textId="77777777" w:rsidR="003D5DE8" w:rsidRPr="009672FC" w:rsidRDefault="003D5DE8">
      <w:pPr>
        <w:tabs>
          <w:tab w:val="left" w:pos="2362"/>
        </w:tabs>
        <w:spacing w:line="360" w:lineRule="auto"/>
        <w:rPr>
          <w:rFonts w:ascii="Garamond" w:eastAsiaTheme="minorHAnsi" w:hAnsi="Garamond"/>
          <w:b/>
          <w:bCs/>
          <w:lang w:val="en-GB" w:eastAsia="en-US"/>
        </w:rPr>
      </w:pPr>
    </w:p>
    <w:p w14:paraId="313D5BFE" w14:textId="77777777" w:rsidR="003D5DE8" w:rsidRPr="009672FC" w:rsidRDefault="003D5DE8">
      <w:pPr>
        <w:tabs>
          <w:tab w:val="left" w:pos="2362"/>
        </w:tabs>
        <w:spacing w:line="360" w:lineRule="auto"/>
        <w:rPr>
          <w:rFonts w:ascii="Garamond" w:eastAsiaTheme="minorHAnsi" w:hAnsi="Garamond"/>
          <w:b/>
          <w:bCs/>
          <w:lang w:val="en-GB" w:eastAsia="en-US"/>
        </w:rPr>
      </w:pPr>
    </w:p>
    <w:p w14:paraId="19FEEBA1" w14:textId="77777777" w:rsidR="003D5DE8" w:rsidRPr="009672FC" w:rsidRDefault="003D5DE8">
      <w:pPr>
        <w:tabs>
          <w:tab w:val="left" w:pos="2362"/>
        </w:tabs>
        <w:spacing w:line="360" w:lineRule="auto"/>
        <w:rPr>
          <w:rFonts w:ascii="Garamond" w:eastAsiaTheme="minorHAnsi" w:hAnsi="Garamond"/>
          <w:b/>
          <w:bCs/>
          <w:lang w:val="en-GB" w:eastAsia="en-US"/>
        </w:rPr>
      </w:pPr>
    </w:p>
    <w:p w14:paraId="63A2367C" w14:textId="77777777" w:rsidR="003D5DE8" w:rsidRPr="009672FC" w:rsidRDefault="003D5DE8">
      <w:pPr>
        <w:tabs>
          <w:tab w:val="left" w:pos="2362"/>
        </w:tabs>
        <w:spacing w:line="360" w:lineRule="auto"/>
        <w:rPr>
          <w:rFonts w:ascii="Garamond" w:eastAsiaTheme="minorHAnsi" w:hAnsi="Garamond"/>
          <w:b/>
          <w:bCs/>
          <w:lang w:val="en-GB" w:eastAsia="en-US"/>
        </w:rPr>
      </w:pPr>
    </w:p>
    <w:p w14:paraId="61111953" w14:textId="77777777" w:rsidR="003D5DE8" w:rsidRPr="009672FC" w:rsidRDefault="003D5DE8">
      <w:pPr>
        <w:tabs>
          <w:tab w:val="left" w:pos="2362"/>
        </w:tabs>
        <w:spacing w:line="360" w:lineRule="auto"/>
        <w:rPr>
          <w:rFonts w:ascii="Garamond" w:eastAsiaTheme="minorHAnsi" w:hAnsi="Garamond"/>
          <w:b/>
          <w:bCs/>
          <w:lang w:val="en-GB" w:eastAsia="en-US"/>
        </w:rPr>
      </w:pPr>
    </w:p>
    <w:p w14:paraId="68055CAB" w14:textId="77777777" w:rsidR="003D5DE8" w:rsidRPr="009672FC" w:rsidRDefault="003D5DE8">
      <w:pPr>
        <w:tabs>
          <w:tab w:val="left" w:pos="2362"/>
        </w:tabs>
        <w:spacing w:line="360" w:lineRule="auto"/>
        <w:rPr>
          <w:rFonts w:ascii="Garamond" w:eastAsiaTheme="minorHAnsi" w:hAnsi="Garamond"/>
          <w:b/>
          <w:bCs/>
          <w:lang w:val="en-GB" w:eastAsia="en-US"/>
        </w:rPr>
      </w:pPr>
    </w:p>
    <w:p w14:paraId="30C0EBF5" w14:textId="77777777" w:rsidR="003D5DE8" w:rsidRPr="009672FC" w:rsidRDefault="003D5DE8">
      <w:pPr>
        <w:tabs>
          <w:tab w:val="left" w:pos="2362"/>
        </w:tabs>
        <w:spacing w:line="360" w:lineRule="auto"/>
        <w:rPr>
          <w:rFonts w:ascii="Garamond" w:eastAsiaTheme="minorHAnsi" w:hAnsi="Garamond"/>
          <w:b/>
          <w:bCs/>
          <w:lang w:val="en-GB" w:eastAsia="en-US"/>
        </w:rPr>
      </w:pPr>
    </w:p>
    <w:p w14:paraId="7428D5B1" w14:textId="77777777" w:rsidR="003D5DE8" w:rsidRPr="009672FC" w:rsidRDefault="003D5DE8">
      <w:pPr>
        <w:tabs>
          <w:tab w:val="left" w:pos="2362"/>
        </w:tabs>
        <w:spacing w:line="360" w:lineRule="auto"/>
        <w:rPr>
          <w:rFonts w:ascii="Garamond" w:eastAsiaTheme="minorHAnsi" w:hAnsi="Garamond"/>
          <w:b/>
          <w:bCs/>
          <w:lang w:val="en-GB" w:eastAsia="en-US"/>
        </w:rPr>
      </w:pPr>
    </w:p>
    <w:p w14:paraId="5D9AD046" w14:textId="77777777" w:rsidR="003D5DE8" w:rsidRPr="009672FC" w:rsidRDefault="003D5DE8">
      <w:pPr>
        <w:tabs>
          <w:tab w:val="left" w:pos="2362"/>
        </w:tabs>
        <w:spacing w:line="360" w:lineRule="auto"/>
        <w:rPr>
          <w:rFonts w:ascii="Garamond" w:eastAsiaTheme="minorHAnsi" w:hAnsi="Garamond"/>
          <w:b/>
          <w:bCs/>
          <w:lang w:val="en-GB" w:eastAsia="en-US"/>
        </w:rPr>
      </w:pPr>
    </w:p>
    <w:p w14:paraId="1734F9B4" w14:textId="77777777" w:rsidR="003D5DE8" w:rsidRPr="009672FC" w:rsidRDefault="003D5DE8">
      <w:pPr>
        <w:tabs>
          <w:tab w:val="left" w:pos="2362"/>
        </w:tabs>
        <w:spacing w:line="360" w:lineRule="auto"/>
        <w:rPr>
          <w:rFonts w:ascii="Garamond" w:eastAsiaTheme="minorHAnsi" w:hAnsi="Garamond"/>
          <w:b/>
          <w:bCs/>
          <w:lang w:val="en-GB" w:eastAsia="en-US"/>
        </w:rPr>
      </w:pPr>
    </w:p>
    <w:p w14:paraId="665C33EC" w14:textId="77777777" w:rsidR="003D5DE8" w:rsidRPr="009672FC" w:rsidRDefault="003D5DE8">
      <w:pPr>
        <w:tabs>
          <w:tab w:val="left" w:pos="2362"/>
        </w:tabs>
        <w:spacing w:line="360" w:lineRule="auto"/>
        <w:rPr>
          <w:rFonts w:ascii="Garamond" w:eastAsiaTheme="minorHAnsi" w:hAnsi="Garamond"/>
          <w:b/>
          <w:bCs/>
          <w:lang w:val="en-GB" w:eastAsia="en-US"/>
        </w:rPr>
      </w:pPr>
    </w:p>
    <w:p w14:paraId="7A40D426" w14:textId="52D313E0" w:rsidR="00EB5D6B" w:rsidRPr="009672FC" w:rsidRDefault="00EB5D6B">
      <w:pPr>
        <w:rPr>
          <w:rFonts w:ascii="Garamond" w:hAnsi="Garamond"/>
        </w:rPr>
      </w:pPr>
    </w:p>
    <w:p w14:paraId="62F860C4" w14:textId="77777777" w:rsidR="003D5DE8" w:rsidRPr="009672FC" w:rsidRDefault="003D5DE8">
      <w:pPr>
        <w:tabs>
          <w:tab w:val="left" w:pos="2362"/>
        </w:tabs>
        <w:spacing w:line="360" w:lineRule="auto"/>
        <w:rPr>
          <w:rFonts w:ascii="Garamond" w:eastAsiaTheme="minorHAnsi" w:hAnsi="Garamond"/>
          <w:b/>
          <w:bCs/>
          <w:lang w:val="en-GB" w:eastAsia="en-US"/>
        </w:rPr>
      </w:pPr>
    </w:p>
    <w:p w14:paraId="3D40D5F4" w14:textId="77777777" w:rsidR="003D5DE8" w:rsidRPr="009672FC" w:rsidRDefault="003D5DE8">
      <w:pPr>
        <w:rPr>
          <w:rFonts w:ascii="Garamond" w:hAnsi="Garamond"/>
        </w:rPr>
        <w:sectPr w:rsidR="003D5DE8" w:rsidRPr="009672FC" w:rsidSect="00A23164">
          <w:footerReference w:type="default" r:id="rId15"/>
          <w:pgSz w:w="11906" w:h="16838" w:code="9"/>
          <w:pgMar w:top="1440" w:right="1440" w:bottom="1440" w:left="1440" w:header="0" w:footer="720" w:gutter="0"/>
          <w:pgNumType w:fmt="lowerRoman" w:start="1"/>
          <w:cols w:space="720"/>
          <w:formProt w:val="0"/>
          <w:titlePg/>
          <w:docGrid w:linePitch="326"/>
        </w:sectPr>
      </w:pPr>
    </w:p>
    <w:p w14:paraId="7B5CC69B" w14:textId="10C373EC" w:rsidR="003D5DE8" w:rsidRPr="009672FC" w:rsidRDefault="007549AA" w:rsidP="005C02A2">
      <w:pPr>
        <w:pStyle w:val="Heading2"/>
        <w:spacing w:before="100" w:after="100"/>
        <w:jc w:val="center"/>
        <w:rPr>
          <w:rFonts w:ascii="Garamond" w:eastAsiaTheme="minorHAnsi" w:hAnsi="Garamond"/>
          <w:b w:val="0"/>
          <w:bCs w:val="0"/>
          <w:lang w:val="en-GB"/>
        </w:rPr>
      </w:pPr>
      <w:bookmarkStart w:id="12" w:name="_Toc85708699"/>
      <w:bookmarkStart w:id="13" w:name="_Toc85709713"/>
      <w:r w:rsidRPr="009672FC">
        <w:rPr>
          <w:rFonts w:ascii="Garamond" w:eastAsiaTheme="minorHAnsi" w:hAnsi="Garamond"/>
          <w:lang w:val="en-GB"/>
        </w:rPr>
        <w:lastRenderedPageBreak/>
        <w:t>Chapter 1</w:t>
      </w:r>
      <w:bookmarkEnd w:id="12"/>
      <w:bookmarkEnd w:id="13"/>
    </w:p>
    <w:p w14:paraId="313C27C3" w14:textId="77777777" w:rsidR="003D5DE8" w:rsidRPr="009672FC" w:rsidRDefault="007549AA">
      <w:pPr>
        <w:jc w:val="center"/>
        <w:rPr>
          <w:rFonts w:ascii="Garamond" w:eastAsiaTheme="minorHAnsi" w:hAnsi="Garamond"/>
          <w:lang w:val="en-GB" w:eastAsia="en-US"/>
        </w:rPr>
      </w:pPr>
      <w:r w:rsidRPr="009672FC">
        <w:rPr>
          <w:rFonts w:ascii="Garamond" w:hAnsi="Garamond"/>
          <w:b/>
          <w:bCs/>
          <w:lang w:eastAsia="en-US"/>
        </w:rPr>
        <w:t>Managing the Inter-organizational Innovation Ecosystem: Bibliometric review and future Research</w:t>
      </w:r>
    </w:p>
    <w:p w14:paraId="6BCE3CA1" w14:textId="77777777" w:rsidR="003D5DE8" w:rsidRPr="009672FC" w:rsidRDefault="003D5DE8">
      <w:pPr>
        <w:tabs>
          <w:tab w:val="left" w:pos="2362"/>
        </w:tabs>
        <w:spacing w:line="360" w:lineRule="auto"/>
        <w:jc w:val="both"/>
        <w:rPr>
          <w:rFonts w:ascii="Garamond" w:hAnsi="Garamond"/>
          <w:b/>
          <w:bCs/>
          <w:lang w:eastAsia="en-US"/>
        </w:rPr>
      </w:pPr>
    </w:p>
    <w:tbl>
      <w:tblPr>
        <w:tblStyle w:val="TableGrid"/>
        <w:tblW w:w="9062" w:type="dxa"/>
        <w:tblLayout w:type="fixed"/>
        <w:tblLook w:val="04A0" w:firstRow="1" w:lastRow="0" w:firstColumn="1" w:lastColumn="0" w:noHBand="0" w:noVBand="1"/>
      </w:tblPr>
      <w:tblGrid>
        <w:gridCol w:w="2405"/>
        <w:gridCol w:w="6657"/>
      </w:tblGrid>
      <w:tr w:rsidR="003D5DE8" w:rsidRPr="009672FC" w14:paraId="61A1FD28" w14:textId="77777777">
        <w:tc>
          <w:tcPr>
            <w:tcW w:w="2405" w:type="dxa"/>
          </w:tcPr>
          <w:p w14:paraId="61F8CFB1"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Title </w:t>
            </w:r>
          </w:p>
        </w:tc>
        <w:tc>
          <w:tcPr>
            <w:tcW w:w="6656" w:type="dxa"/>
          </w:tcPr>
          <w:p w14:paraId="2144A606" w14:textId="5A4C5E13"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Managing the Inter-organizational Innovation Ecosystem: </w:t>
            </w:r>
            <w:r w:rsidR="00285AC8">
              <w:rPr>
                <w:rFonts w:ascii="Garamond" w:hAnsi="Garamond"/>
                <w:b/>
                <w:bCs/>
                <w:lang w:eastAsia="en-US"/>
              </w:rPr>
              <w:t>Systematic R</w:t>
            </w:r>
            <w:r w:rsidRPr="009672FC">
              <w:rPr>
                <w:rFonts w:ascii="Garamond" w:hAnsi="Garamond"/>
                <w:b/>
                <w:bCs/>
                <w:lang w:eastAsia="en-US"/>
              </w:rPr>
              <w:t xml:space="preserve">eview and </w:t>
            </w:r>
            <w:r w:rsidR="00285AC8">
              <w:rPr>
                <w:rFonts w:ascii="Garamond" w:hAnsi="Garamond"/>
                <w:b/>
                <w:bCs/>
                <w:lang w:eastAsia="en-US"/>
              </w:rPr>
              <w:t>F</w:t>
            </w:r>
            <w:r w:rsidRPr="009672FC">
              <w:rPr>
                <w:rFonts w:ascii="Garamond" w:hAnsi="Garamond"/>
                <w:b/>
                <w:bCs/>
                <w:lang w:eastAsia="en-US"/>
              </w:rPr>
              <w:t>uture Research</w:t>
            </w:r>
          </w:p>
        </w:tc>
      </w:tr>
      <w:tr w:rsidR="003D5DE8" w:rsidRPr="009672FC" w14:paraId="3D57EC13" w14:textId="77777777">
        <w:tc>
          <w:tcPr>
            <w:tcW w:w="2405" w:type="dxa"/>
          </w:tcPr>
          <w:p w14:paraId="1E79E497"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Author </w:t>
            </w:r>
          </w:p>
        </w:tc>
        <w:tc>
          <w:tcPr>
            <w:tcW w:w="6656" w:type="dxa"/>
          </w:tcPr>
          <w:p w14:paraId="45432E67"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Ceesay, Lamin B.</w:t>
            </w:r>
          </w:p>
        </w:tc>
      </w:tr>
      <w:tr w:rsidR="003D5DE8" w:rsidRPr="009672FC" w14:paraId="7766940E" w14:textId="77777777">
        <w:tc>
          <w:tcPr>
            <w:tcW w:w="2405" w:type="dxa"/>
          </w:tcPr>
          <w:p w14:paraId="710879C1"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Publication</w:t>
            </w:r>
          </w:p>
        </w:tc>
        <w:tc>
          <w:tcPr>
            <w:tcW w:w="6656" w:type="dxa"/>
          </w:tcPr>
          <w:p w14:paraId="6D33CDAF" w14:textId="3B9EC9BA"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Under </w:t>
            </w:r>
            <w:r w:rsidR="00633601" w:rsidRPr="009672FC">
              <w:rPr>
                <w:rFonts w:ascii="Garamond" w:hAnsi="Garamond"/>
                <w:b/>
                <w:bCs/>
                <w:lang w:eastAsia="en-US"/>
              </w:rPr>
              <w:t>a</w:t>
            </w:r>
            <w:r w:rsidR="00CF726B" w:rsidRPr="009672FC">
              <w:rPr>
                <w:rFonts w:ascii="Garamond" w:hAnsi="Garamond"/>
                <w:b/>
                <w:bCs/>
                <w:lang w:eastAsia="en-US"/>
              </w:rPr>
              <w:t xml:space="preserve"> </w:t>
            </w:r>
            <w:r w:rsidRPr="009672FC">
              <w:rPr>
                <w:rFonts w:ascii="Garamond" w:hAnsi="Garamond"/>
                <w:b/>
                <w:bCs/>
                <w:lang w:eastAsia="en-US"/>
              </w:rPr>
              <w:t>first round of review at the European Journal of Management</w:t>
            </w:r>
          </w:p>
        </w:tc>
      </w:tr>
    </w:tbl>
    <w:p w14:paraId="69D2D16A" w14:textId="7353643E" w:rsidR="00EB5D6B" w:rsidRPr="009672FC" w:rsidRDefault="00EB5D6B" w:rsidP="00EB5D6B">
      <w:pPr>
        <w:pStyle w:val="Caption"/>
        <w:rPr>
          <w:rFonts w:ascii="Garamond" w:hAnsi="Garamond"/>
          <w:lang w:eastAsia="en-US"/>
        </w:rPr>
      </w:pPr>
      <w:bookmarkStart w:id="14" w:name="_Toc85711308"/>
      <w:r w:rsidRPr="009672FC">
        <w:rPr>
          <w:rFonts w:ascii="Garamond" w:hAnsi="Garamond"/>
        </w:rPr>
        <w:t xml:space="preserve">Table </w:t>
      </w:r>
      <w:r w:rsidR="00C10BC3" w:rsidRPr="009672FC">
        <w:rPr>
          <w:rFonts w:ascii="Garamond" w:hAnsi="Garamond"/>
        </w:rPr>
        <w:fldChar w:fldCharType="begin"/>
      </w:r>
      <w:r w:rsidR="00C10BC3" w:rsidRPr="009672FC">
        <w:rPr>
          <w:rFonts w:ascii="Garamond" w:hAnsi="Garamond"/>
        </w:rPr>
        <w:instrText xml:space="preserve"> SEQ Table \* ARABIC </w:instrText>
      </w:r>
      <w:r w:rsidR="00C10BC3" w:rsidRPr="009672FC">
        <w:rPr>
          <w:rFonts w:ascii="Garamond" w:hAnsi="Garamond"/>
        </w:rPr>
        <w:fldChar w:fldCharType="separate"/>
      </w:r>
      <w:r w:rsidR="001C1648">
        <w:rPr>
          <w:rFonts w:ascii="Garamond" w:hAnsi="Garamond"/>
          <w:noProof/>
        </w:rPr>
        <w:t>1</w:t>
      </w:r>
      <w:r w:rsidR="00C10BC3" w:rsidRPr="009672FC">
        <w:rPr>
          <w:rFonts w:ascii="Garamond" w:hAnsi="Garamond"/>
          <w:noProof/>
        </w:rPr>
        <w:fldChar w:fldCharType="end"/>
      </w:r>
      <w:r w:rsidRPr="009672FC">
        <w:rPr>
          <w:rFonts w:ascii="Garamond" w:hAnsi="Garamond"/>
        </w:rPr>
        <w:t>. Fact Sheet for Thesis Ch1</w:t>
      </w:r>
      <w:bookmarkEnd w:id="14"/>
    </w:p>
    <w:p w14:paraId="102A1EE6" w14:textId="740F8373" w:rsidR="003D5DE8" w:rsidRPr="009672FC" w:rsidRDefault="007549AA" w:rsidP="00EB5D6B">
      <w:pPr>
        <w:pStyle w:val="MDPI11articletype"/>
        <w:spacing w:line="360" w:lineRule="auto"/>
        <w:outlineLvl w:val="0"/>
        <w:rPr>
          <w:rFonts w:ascii="Garamond" w:hAnsi="Garamond"/>
          <w:b/>
          <w:bCs/>
          <w:i w:val="0"/>
          <w:iCs/>
          <w:sz w:val="24"/>
          <w:szCs w:val="24"/>
        </w:rPr>
      </w:pPr>
      <w:bookmarkStart w:id="15" w:name="_Toc85708700"/>
      <w:bookmarkStart w:id="16" w:name="_Toc85709714"/>
      <w:r w:rsidRPr="009672FC">
        <w:rPr>
          <w:rFonts w:ascii="Garamond" w:hAnsi="Garamond"/>
          <w:b/>
          <w:bCs/>
          <w:i w:val="0"/>
          <w:iCs/>
          <w:sz w:val="24"/>
          <w:szCs w:val="24"/>
        </w:rPr>
        <w:t>Abstract</w:t>
      </w:r>
      <w:bookmarkEnd w:id="15"/>
      <w:bookmarkEnd w:id="16"/>
    </w:p>
    <w:p w14:paraId="3AF0081D" w14:textId="7F8ADE33" w:rsidR="003D5DE8" w:rsidRPr="009672FC" w:rsidRDefault="007549AA">
      <w:pPr>
        <w:spacing w:line="360" w:lineRule="auto"/>
        <w:jc w:val="both"/>
        <w:rPr>
          <w:rFonts w:ascii="Garamond" w:hAnsi="Garamond"/>
        </w:rPr>
      </w:pPr>
      <w:r w:rsidRPr="009672FC">
        <w:rPr>
          <w:rFonts w:ascii="Garamond" w:hAnsi="Garamond"/>
        </w:rPr>
        <w:t xml:space="preserve">The purpose of this paper is to present a </w:t>
      </w:r>
      <w:r w:rsidR="00B538B6">
        <w:rPr>
          <w:rFonts w:ascii="Garamond" w:hAnsi="Garamond"/>
        </w:rPr>
        <w:t xml:space="preserve">systematic </w:t>
      </w:r>
      <w:r w:rsidRPr="009672FC">
        <w:rPr>
          <w:rFonts w:ascii="Garamond" w:hAnsi="Garamond"/>
        </w:rPr>
        <w:t xml:space="preserve">review of literature linking the inter-organizational business network and innovation and discuss the different </w:t>
      </w:r>
      <w:r w:rsidR="00813D37" w:rsidRPr="009672FC">
        <w:rPr>
          <w:rFonts w:ascii="Garamond" w:hAnsi="Garamond"/>
        </w:rPr>
        <w:t>dimensions</w:t>
      </w:r>
      <w:r w:rsidRPr="009672FC">
        <w:rPr>
          <w:rFonts w:ascii="Garamond" w:hAnsi="Garamond"/>
        </w:rPr>
        <w:t xml:space="preserve"> of previous research on the subject</w:t>
      </w:r>
      <w:r w:rsidR="00B538B6">
        <w:rPr>
          <w:rFonts w:ascii="Garamond" w:hAnsi="Garamond"/>
        </w:rPr>
        <w:t>. Based on these reviews, we identify gaps and discuss the future research agenda in the field</w:t>
      </w:r>
      <w:r w:rsidRPr="009672FC">
        <w:rPr>
          <w:rFonts w:ascii="Garamond" w:hAnsi="Garamond"/>
        </w:rPr>
        <w:t xml:space="preserve">. </w:t>
      </w:r>
      <w:r w:rsidR="005C5F35" w:rsidRPr="009672FC">
        <w:rPr>
          <w:rFonts w:ascii="Garamond" w:hAnsi="Garamond"/>
        </w:rPr>
        <w:t>Web of Science and ScienceDirect</w:t>
      </w:r>
      <w:r w:rsidRPr="009672FC">
        <w:rPr>
          <w:rFonts w:ascii="Garamond" w:hAnsi="Garamond"/>
        </w:rPr>
        <w:t xml:space="preserve"> database</w:t>
      </w:r>
      <w:r w:rsidR="00813D37" w:rsidRPr="009672FC">
        <w:rPr>
          <w:rFonts w:ascii="Garamond" w:hAnsi="Garamond"/>
        </w:rPr>
        <w:t>s</w:t>
      </w:r>
      <w:r w:rsidR="00B538B6">
        <w:rPr>
          <w:rFonts w:ascii="Garamond" w:hAnsi="Garamond"/>
        </w:rPr>
        <w:t xml:space="preserve"> were used for the generation of papers based on select s</w:t>
      </w:r>
      <w:r w:rsidR="000E3BCA" w:rsidRPr="009672FC">
        <w:rPr>
          <w:rFonts w:ascii="Garamond" w:hAnsi="Garamond"/>
        </w:rPr>
        <w:t>earch keywords</w:t>
      </w:r>
      <w:r w:rsidR="00B538B6">
        <w:rPr>
          <w:rFonts w:ascii="Garamond" w:hAnsi="Garamond"/>
        </w:rPr>
        <w:t xml:space="preserve">. </w:t>
      </w:r>
      <w:r w:rsidR="000E3BCA" w:rsidRPr="009672FC">
        <w:rPr>
          <w:rFonts w:ascii="Garamond" w:hAnsi="Garamond"/>
        </w:rPr>
        <w:t xml:space="preserve"> </w:t>
      </w:r>
      <w:r w:rsidR="00B538B6">
        <w:rPr>
          <w:rFonts w:ascii="Garamond" w:hAnsi="Garamond"/>
        </w:rPr>
        <w:t xml:space="preserve">A </w:t>
      </w:r>
      <w:r w:rsidR="000E3BCA" w:rsidRPr="009672FC">
        <w:rPr>
          <w:rFonts w:ascii="Garamond" w:hAnsi="Garamond"/>
        </w:rPr>
        <w:t xml:space="preserve">list of </w:t>
      </w:r>
      <w:r w:rsidRPr="009672FC">
        <w:rPr>
          <w:rFonts w:ascii="Garamond" w:hAnsi="Garamond"/>
        </w:rPr>
        <w:t>criteria for article selection and exclusion</w:t>
      </w:r>
      <w:r w:rsidR="00B538B6">
        <w:rPr>
          <w:rFonts w:ascii="Garamond" w:hAnsi="Garamond"/>
        </w:rPr>
        <w:t xml:space="preserve"> was used</w:t>
      </w:r>
      <w:r w:rsidRPr="009672FC">
        <w:rPr>
          <w:rFonts w:ascii="Garamond" w:hAnsi="Garamond"/>
        </w:rPr>
        <w:t xml:space="preserve">, and a final list of 84 papers constitutes the data for this review. </w:t>
      </w:r>
      <w:r w:rsidR="00D20C8A">
        <w:rPr>
          <w:rFonts w:ascii="Garamond" w:hAnsi="Garamond"/>
        </w:rPr>
        <w:t xml:space="preserve">The study </w:t>
      </w:r>
      <w:r w:rsidRPr="009672FC">
        <w:rPr>
          <w:rFonts w:ascii="Garamond" w:hAnsi="Garamond"/>
        </w:rPr>
        <w:t xml:space="preserve">revealed that the research in the field is </w:t>
      </w:r>
      <w:r w:rsidR="00D20C8A">
        <w:rPr>
          <w:rFonts w:ascii="Garamond" w:hAnsi="Garamond"/>
        </w:rPr>
        <w:t xml:space="preserve">emerging but relatively slow. Results show that </w:t>
      </w:r>
      <w:r w:rsidR="00F20DD7">
        <w:rPr>
          <w:rFonts w:ascii="Garamond" w:hAnsi="Garamond"/>
        </w:rPr>
        <w:t xml:space="preserve">the </w:t>
      </w:r>
      <w:r w:rsidRPr="009672FC">
        <w:rPr>
          <w:rFonts w:ascii="Garamond" w:hAnsi="Garamond"/>
        </w:rPr>
        <w:t xml:space="preserve">UK, </w:t>
      </w:r>
      <w:r w:rsidR="00F20DD7">
        <w:rPr>
          <w:rFonts w:ascii="Garamond" w:hAnsi="Garamond"/>
        </w:rPr>
        <w:t xml:space="preserve">the </w:t>
      </w:r>
      <w:r w:rsidRPr="009672FC">
        <w:rPr>
          <w:rFonts w:ascii="Garamond" w:hAnsi="Garamond"/>
        </w:rPr>
        <w:t>US, and Italy respectively, have dominated publications in terms of the most influential countries for research in the field. The selected papers were further categorized according</w:t>
      </w:r>
      <w:r w:rsidR="00CF726B" w:rsidRPr="009672FC">
        <w:rPr>
          <w:rFonts w:ascii="Garamond" w:hAnsi="Garamond"/>
        </w:rPr>
        <w:t xml:space="preserve"> to</w:t>
      </w:r>
      <w:r w:rsidRPr="009672FC">
        <w:rPr>
          <w:rFonts w:ascii="Garamond" w:hAnsi="Garamond"/>
        </w:rPr>
        <w:t xml:space="preserve"> three codes – guiding the content analysis of the selected papers: (1) the antecedents (2) management of the network, (3) and network performance outcomes. These categories are not mutually exclusive but help</w:t>
      </w:r>
      <w:r w:rsidR="00D20C8A">
        <w:rPr>
          <w:rFonts w:ascii="Garamond" w:hAnsi="Garamond"/>
        </w:rPr>
        <w:t>ed</w:t>
      </w:r>
      <w:r w:rsidRPr="009672FC">
        <w:rPr>
          <w:rFonts w:ascii="Garamond" w:hAnsi="Garamond"/>
        </w:rPr>
        <w:t xml:space="preserve"> to organize the fragmented literature on the field. While some areas have gained considerable research attraction</w:t>
      </w:r>
      <w:r w:rsidR="00D20C8A">
        <w:rPr>
          <w:rFonts w:ascii="Garamond" w:hAnsi="Garamond"/>
        </w:rPr>
        <w:t xml:space="preserve"> (such as management of the network)</w:t>
      </w:r>
      <w:r w:rsidRPr="009672FC">
        <w:rPr>
          <w:rFonts w:ascii="Garamond" w:hAnsi="Garamond"/>
        </w:rPr>
        <w:t xml:space="preserve">, others have experienced relative paucity of research, and thus are open to future research. Based on the reviews, the paper discusses </w:t>
      </w:r>
      <w:r w:rsidR="00CF726B" w:rsidRPr="009672FC">
        <w:rPr>
          <w:rFonts w:ascii="Garamond" w:hAnsi="Garamond"/>
        </w:rPr>
        <w:t xml:space="preserve">the </w:t>
      </w:r>
      <w:r w:rsidRPr="009672FC">
        <w:rPr>
          <w:rFonts w:ascii="Garamond" w:hAnsi="Garamond"/>
        </w:rPr>
        <w:t>current direction and future agenda.</w:t>
      </w:r>
    </w:p>
    <w:p w14:paraId="5ACA15B1" w14:textId="74FF00FA" w:rsidR="003422C8" w:rsidRPr="009672FC" w:rsidRDefault="007549AA" w:rsidP="002663FA">
      <w:pPr>
        <w:spacing w:before="240" w:line="360" w:lineRule="auto"/>
        <w:jc w:val="both"/>
        <w:rPr>
          <w:rFonts w:ascii="Garamond" w:hAnsi="Garamond"/>
        </w:rPr>
      </w:pPr>
      <w:r w:rsidRPr="009672FC">
        <w:rPr>
          <w:rFonts w:ascii="Garamond" w:hAnsi="Garamond"/>
          <w:b/>
          <w:bCs/>
        </w:rPr>
        <w:t>Keywords:</w:t>
      </w:r>
      <w:r w:rsidRPr="009672FC">
        <w:rPr>
          <w:rFonts w:ascii="Garamond" w:hAnsi="Garamond"/>
        </w:rPr>
        <w:t xml:space="preserve"> </w:t>
      </w:r>
      <w:r w:rsidR="004A513B">
        <w:rPr>
          <w:rFonts w:ascii="Garamond" w:hAnsi="Garamond"/>
        </w:rPr>
        <w:t>I</w:t>
      </w:r>
      <w:r w:rsidRPr="009672FC">
        <w:rPr>
          <w:rFonts w:ascii="Garamond" w:hAnsi="Garamond"/>
        </w:rPr>
        <w:t xml:space="preserve">nter-firm network; </w:t>
      </w:r>
      <w:r w:rsidR="004A513B">
        <w:rPr>
          <w:rFonts w:ascii="Garamond" w:hAnsi="Garamond"/>
        </w:rPr>
        <w:t>B</w:t>
      </w:r>
      <w:r w:rsidRPr="009672FC">
        <w:rPr>
          <w:rFonts w:ascii="Garamond" w:hAnsi="Garamond"/>
        </w:rPr>
        <w:t xml:space="preserve">usiness network; </w:t>
      </w:r>
      <w:r w:rsidR="004A513B">
        <w:rPr>
          <w:rFonts w:ascii="Garamond" w:hAnsi="Garamond"/>
        </w:rPr>
        <w:t>S</w:t>
      </w:r>
      <w:r w:rsidRPr="009672FC">
        <w:rPr>
          <w:rFonts w:ascii="Garamond" w:hAnsi="Garamond"/>
        </w:rPr>
        <w:t xml:space="preserve">ystematic review; </w:t>
      </w:r>
      <w:r w:rsidR="004A513B">
        <w:rPr>
          <w:rFonts w:ascii="Garamond" w:hAnsi="Garamond"/>
        </w:rPr>
        <w:t>B</w:t>
      </w:r>
      <w:r w:rsidRPr="009672FC">
        <w:rPr>
          <w:rFonts w:ascii="Garamond" w:hAnsi="Garamond"/>
        </w:rPr>
        <w:t xml:space="preserve">ibliometric analysis; </w:t>
      </w:r>
      <w:r w:rsidR="004A513B">
        <w:rPr>
          <w:rFonts w:ascii="Garamond" w:hAnsi="Garamond"/>
        </w:rPr>
        <w:t>I</w:t>
      </w:r>
      <w:r w:rsidRPr="009672FC">
        <w:rPr>
          <w:rFonts w:ascii="Garamond" w:hAnsi="Garamond"/>
        </w:rPr>
        <w:t xml:space="preserve">nter-organizational relationship; </w:t>
      </w:r>
      <w:r w:rsidR="005F13AC">
        <w:rPr>
          <w:rFonts w:ascii="Garamond" w:hAnsi="Garamond"/>
        </w:rPr>
        <w:t>I</w:t>
      </w:r>
      <w:r w:rsidRPr="009672FC">
        <w:rPr>
          <w:rFonts w:ascii="Garamond" w:hAnsi="Garamond"/>
        </w:rPr>
        <w:t>nnovation ecosystem.</w:t>
      </w:r>
    </w:p>
    <w:p w14:paraId="73219B2A" w14:textId="42DB5FB1" w:rsidR="003D5DE8" w:rsidRPr="009672FC" w:rsidRDefault="007549AA" w:rsidP="00EB5D6B">
      <w:pPr>
        <w:pStyle w:val="MDPI51figurecaption"/>
        <w:numPr>
          <w:ilvl w:val="1"/>
          <w:numId w:val="8"/>
        </w:numPr>
        <w:spacing w:after="0" w:line="360" w:lineRule="auto"/>
        <w:jc w:val="both"/>
        <w:outlineLvl w:val="1"/>
        <w:rPr>
          <w:rFonts w:ascii="Garamond" w:hAnsi="Garamond"/>
          <w:b/>
          <w:bCs/>
          <w:sz w:val="24"/>
          <w:szCs w:val="24"/>
          <w:lang w:eastAsia="zh-CN"/>
        </w:rPr>
      </w:pPr>
      <w:bookmarkStart w:id="17" w:name="_Toc85617722"/>
      <w:bookmarkStart w:id="18" w:name="_Toc85708701"/>
      <w:bookmarkStart w:id="19" w:name="_Toc85709715"/>
      <w:r w:rsidRPr="009672FC">
        <w:rPr>
          <w:rFonts w:ascii="Garamond" w:hAnsi="Garamond"/>
          <w:b/>
          <w:bCs/>
          <w:sz w:val="24"/>
          <w:szCs w:val="24"/>
          <w:lang w:eastAsia="zh-CN"/>
        </w:rPr>
        <w:t>Introduction</w:t>
      </w:r>
      <w:bookmarkEnd w:id="17"/>
      <w:bookmarkEnd w:id="18"/>
      <w:bookmarkEnd w:id="19"/>
    </w:p>
    <w:p w14:paraId="39BF57A1" w14:textId="77777777" w:rsidR="00CF726B" w:rsidRPr="009672FC" w:rsidRDefault="007549AA" w:rsidP="005C5F35">
      <w:pPr>
        <w:pStyle w:val="MDPI51figurecaption"/>
        <w:spacing w:before="0" w:after="0" w:line="360" w:lineRule="auto"/>
        <w:ind w:left="0"/>
        <w:jc w:val="both"/>
        <w:rPr>
          <w:rFonts w:ascii="Garamond" w:hAnsi="Garamond"/>
          <w:b/>
          <w:bCs/>
          <w:spacing w:val="-2"/>
          <w:sz w:val="24"/>
          <w:szCs w:val="24"/>
          <w:lang w:val="en-GB"/>
        </w:rPr>
      </w:pPr>
      <w:bookmarkStart w:id="20" w:name="_Toc85628617"/>
      <w:bookmarkStart w:id="21" w:name="_Toc85617723"/>
      <w:r w:rsidRPr="009672FC">
        <w:rPr>
          <w:rFonts w:ascii="Garamond" w:hAnsi="Garamond"/>
          <w:bCs/>
          <w:spacing w:val="-2"/>
          <w:sz w:val="24"/>
          <w:szCs w:val="24"/>
          <w:lang w:val="en-GB"/>
        </w:rPr>
        <w:t xml:space="preserve">Innovation is a complex and enduring process. These challenges make certain firms succeed while others fail. However, because it is mandatory for firms in today’s competitive environment, firms </w:t>
      </w:r>
      <w:r w:rsidRPr="009672FC">
        <w:rPr>
          <w:rFonts w:ascii="Garamond" w:hAnsi="Garamond"/>
          <w:bCs/>
          <w:spacing w:val="-2"/>
          <w:sz w:val="24"/>
          <w:szCs w:val="24"/>
          <w:lang w:val="en-GB"/>
        </w:rPr>
        <w:lastRenderedPageBreak/>
        <w:t>have long begun to engage one another in different forms of inter-organizational business networks – as a way to mitigate the challenges associated with innovation, often experience by firms individually.</w:t>
      </w:r>
      <w:bookmarkEnd w:id="20"/>
      <w:bookmarkEnd w:id="21"/>
      <w:r w:rsidRPr="009672FC">
        <w:rPr>
          <w:rFonts w:ascii="Garamond" w:hAnsi="Garamond"/>
          <w:bCs/>
          <w:spacing w:val="-2"/>
          <w:sz w:val="24"/>
          <w:szCs w:val="24"/>
          <w:lang w:val="en-GB"/>
        </w:rPr>
        <w:t xml:space="preserve"> </w:t>
      </w:r>
    </w:p>
    <w:p w14:paraId="7C8546CF" w14:textId="075DC623" w:rsidR="00CF726B" w:rsidRPr="009672FC" w:rsidRDefault="007549AA" w:rsidP="00CF726B">
      <w:pPr>
        <w:pStyle w:val="MDPI51figurecaption"/>
        <w:spacing w:line="360" w:lineRule="auto"/>
        <w:ind w:left="0"/>
        <w:jc w:val="both"/>
        <w:rPr>
          <w:rFonts w:ascii="Garamond" w:hAnsi="Garamond"/>
          <w:spacing w:val="-2"/>
          <w:sz w:val="24"/>
          <w:szCs w:val="24"/>
        </w:rPr>
      </w:pPr>
      <w:r w:rsidRPr="009672FC">
        <w:rPr>
          <w:rFonts w:ascii="Garamond" w:hAnsi="Garamond"/>
          <w:spacing w:val="-2"/>
          <w:sz w:val="24"/>
          <w:szCs w:val="24"/>
          <w:lang w:val="en-GB"/>
        </w:rPr>
        <w:t xml:space="preserve">In fact, in the extant literature, </w:t>
      </w:r>
      <w:r w:rsidR="00CF726B" w:rsidRPr="009672FC">
        <w:rPr>
          <w:rFonts w:ascii="Garamond" w:hAnsi="Garamond"/>
          <w:spacing w:val="-2"/>
          <w:sz w:val="24"/>
          <w:szCs w:val="24"/>
          <w:lang w:val="en-GB"/>
        </w:rPr>
        <w:t xml:space="preserve">the </w:t>
      </w:r>
      <w:r w:rsidRPr="009672FC">
        <w:rPr>
          <w:rFonts w:ascii="Garamond" w:hAnsi="Garamond"/>
          <w:spacing w:val="-2"/>
          <w:sz w:val="24"/>
          <w:szCs w:val="24"/>
          <w:lang w:val="en-GB"/>
        </w:rPr>
        <w:t xml:space="preserve">inter-organizational business network has been described using different terminologies such as inter-firm network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DOI":"10.1016/j.phpro.2012.02.185","ISSN":"1875-3892","author":[{"dropping-particle":"","family":"Su-rong","given":"Zhang","non-dropping-particle":"","parse-names":false,"suffix":""},{"dropping-particle":"","family":"Wen-ping","given":"Wang","non-dropping-particle":"","parse-names":false,"suffix":""}],"container-title":"Physics Procedia","id":"ITEM-1","issued":{"date-parts":[["2012"]]},"page":"1238-1242","title":"Inter-firm Networks, Organizational Learning and Knowledge Updating: An Empirical Study","type":"article-journal","volume":"24"},"uris":["http://www.mendeley.com/documents/?uuid=f3db5b04-7f1c-49c6-a1ec-65e19a863989"]}],"mendeley":{"formattedCitation":"(Su-rong &amp; Wen-ping, 2012)","manualFormatting":"(Su-rong and Wen-ping, 2012;","plainTextFormattedCitation":"(Su-rong &amp; Wen-ping, 2012)","previouslyFormattedCitation":"(Su-rong &amp; Wen-ping, 2012)"},"properties":{"noteIndex":0},"schema":"https://github.com/citation-style-language/schema/raw/master/csl-citation.json"}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(Su-rong and Wen-ping, 2012;</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{"citationItems":[{"id":"ITEM-1","itemData":{"DOI":"10.1016/j.jbusres.2019.02.035","ISSN":"01482963","abstract":"Based on the combination of an interorganizational perspective and a processual view of solutions, this paper analyzes the provisioning of solutions in business networks. Drawing on a case study in a transportation industry setting, the interdependencies between solutions are uncovered. The case illustrates how 1) firms are simultaneously involved in the provisioning of multiple solutions, 2) firms take on multiple roles in the provisioning of solutions in the business network, and 3) solutions are subject to interdependencies via connected relationships and thus form “networks of solutions.” The paper concludes that interdependence among solutions is a significant characteristic, adding to previous research on solutions. Consequently, it is suggested that firms' interaction with various parties in the provisioning of solutions needs considerable managerial and theoretical attention.","author":[{"dropping-particle":"","family":"Hedvall","given":"Klas","non-dropping-particle":"","parse-names":false,"suffix":""},{"dropping-particle":"","family":"Jagstedt","given":"Siri","non-dropping-particle":"","parse-names":false,"suffix":""},{"dropping-particle":"","family":"Dubois","given":"Anna","non-dropping-particle":"","parse-names":false,"suffix":""}],"container-title":"Journal of Business Research","id":"ITEM-1","issue":"March","issued":{"date-parts":[["2019"]]},"page":"411-421","publisher":"Elsevier","title":"Solutions in business networks: Implications of an interorganizational perspective","type":"article-journal","volume":"104"},"uris":["http://www.mendeley.com/documents/?uuid=302e00ef-9670-4039-a234-c5cfc3ed309e"]}],"mendeley":{"formattedCitation":"(Hedvall, Jagstedt, &amp; Dubois, 2019)","manualFormatting":"Hedvall, Jagstedt and Dubois, 2019)","plainTextFormattedCitation":"(Hedvall, Jagstedt, &amp; Dubois, 2019)","previouslyFormattedCitation":"(Hedvall et al., 2019)"},"properties":{"noteIndex":0},"schema":"https://github.com/citation-style-language/schema/raw/master/csl-citation.json"}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Hedvall, Jagstedt and Dubois, 2019)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inter-organizational network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{"citationItems":[{"id":"ITEM-1","itemData":{"DOI":"10.1016/j.jengtecman.2019.02.001","ISSN":"16084799","abstract":"Collaboration in inter-organizational networks is a major driver of innovation. Nevertheless, methods that practitioners can rely upon for managing innovation networks are still scarce. This research fills this gap by providing an approach that increases innovation output by intensifying collaboration in networks. An action research methodology with two cycles of action was adopted. The first cycle develops a method of network assessment designed to evaluate a network's collaboration potential. The second cycle iteratively builds on the first cycle and extends the method by a managerial approach to network management on an individual level.","author":[{"dropping-particle":"","family":"Cap","given":"Jan Patrick","non-dropping-particle":"","parse-names":false,"suffix":""},{"dropping-particle":"","family":"Blaich","given":"Erik","non-dropping-particle":"","parse-names":false,"suffix":""},{"dropping-particle":"","family":"Kohl","given":"Holger","non-dropping-particle":"","parse-names":false,"suffix":""},{"dropping-particle":"","family":"Raesfeld","given":"Ariane","non-dropping-particle":"von","parse-names":false,"suffix":""},{"dropping-particle":"","family":"Harms","given":"Rainer","non-dropping-particle":"","parse-names":false,"suffix":""},{"dropping-particle":"","family":"Will","given":"Markus","non-dropping-particle":"","parse-names":false,"suffix":""}],"container-title":"Journal of Engineering and Technology Management - JET-M","id":"ITEM-1","issue":"March","issued":{"date-parts":[["2019"]]},"page":"21-32","publisher":"Elsevier","title":"Multi level network management – A method for managing inter-organizational innovation networks","type":"article-journal","volume":"51"},"uris":["http://www.mendeley.com/documents/?uuid=dd0fce9b-0d5a-451a-bf8b-2d69a5dd06cc"]}],"mendeley":{"formattedCitation":"(Cap et al., 2019)","manualFormatting":"(Cap et al., 2019;","plainTextFormattedCitation":"(Cap et al., 2019)","previouslyFormattedCitation":"(Cap et al., 2019)"},"properties":{"noteIndex":0},"schema":"https://github.com/citation-style-language/schema/raw/master/csl-citation.json"}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xml:space="preserve">(Cap </w:t>
      </w:r>
      <w:r w:rsidRPr="009672FC">
        <w:rPr>
          <w:rFonts w:ascii="Garamond" w:hAnsi="Garamond"/>
          <w:i/>
          <w:noProof/>
          <w:spacing w:val="-2"/>
          <w:sz w:val="24"/>
          <w:szCs w:val="24"/>
          <w:lang w:val="en-GB"/>
        </w:rPr>
        <w:t>et al.</w:t>
      </w:r>
      <w:r w:rsidRPr="009672FC">
        <w:rPr>
          <w:rFonts w:ascii="Garamond" w:hAnsi="Garamond"/>
          <w:noProof/>
          <w:spacing w:val="-2"/>
          <w:sz w:val="24"/>
          <w:szCs w:val="24"/>
          <w:lang w:val="en-GB"/>
        </w:rPr>
        <w:t>, 2019;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{"citationItems":[{"id":"ITEM-1","itemData":{"PMID":"1552827417","abstract":"Abstract Purpose: The purpose of this paper is to present a systematic review of research linking the networking of firms with their innovation and specify the different dimensions of previous research on the subject and identify the gaps. Design/methodology/approach: A review of the literature on innovation in networks is undertaken using the Scopus database. These keywords: 1) Inter-organizational network, 2) Organizational network, 3) Innovation, 4) Innovative Performance were searched in the title, abstract and keywords of papers. Findings: Our review revealed that the papers were mainly trying to address or explain four phenomena: (1) the impact of networks on innovation and theoretical and empirical evidences of this impact; (2) management of networks (3) structure and content of networks; (4) formation and configuration of networks. These categories are not mutually exclusive but would help us to organize the fragmented literature on the topic. In each category some specific subjects have been the focus of analysis and some special issues have been neglected. For instance there is a need for exploration of the impact of different contents of networks on innovation compare to each other. Originality/value: Research on inter-organizational networks is generally fragmented which hinders a better understanding of the field. This article reviews and discusses the empirical literature on inter-organizational networks and innovation and shows the current state of research and highlights the gaps.","author":[{"dropping-particle":"","family":"Najafian","given":"Mina","non-dropping-particle":"","parse-names":false,"suffix":""},{"dropping-particle":"","family":"Colabi","given":"Amir Mohammad","non-dropping-particle":"","parse-names":false,"suffix":""}],"container-title":"Global Business and Management Research: An International Journal","id":"ITEM-1","issue":"1","issued":{"date-parts":[["2014"]]},"page":"52-70","title":"Inter-organizational Relationship and Innovation : A Review of Literature","type":"article-journal","volume":"6"},"uris":["http://www.mendeley.com/documents/?uuid=3fde6a5e-5066-48ee-88cb-6b5b9c7993d3"]}],"mendeley":{"formattedCitation":"(Najafian &amp; Colabi, 2014)","manualFormatting":"Najafian and Colabi, 2014;","plainTextFormattedCitation":"(Najafian &amp; Colabi, 2014)","previouslyFormattedCitation":"(Najafian &amp; Colabi, 2014)"},"properties":{"noteIndex":0},"schema":"https://github.com/citation-style-language/schema/raw/master/csl-citation.json"}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Najafian and Colabi, 2014;</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{"citationItems":[{"id":"ITEM-1","itemData":{"DOI":"10.1016/j.ijproman.2016.06.003","ISSN":"02637863","abstract":"Projects involve inter-organizational networks that are central to collaborative project-based value creation. Interest in value creation in the project lifecycle is mounting, and the front-end stage of projects is gaining increasing attention in the research literature. However, little is known about how network management activities facilitate value creation in the front-end and how such activities push a project toward higher end-states of value. The purpose of this research is to identify activities that facilitate the development of inter-organizational networks and augment value creation among multiple organizations in the front-end of projects. To this end, we conduct a qualitative empirical case study of the front-end of a health care campus development project. We identify four activities and five network attributes that explain how inter-organizational network can be managed for value creation in the front-end of the project. These findings contribute to research on management of the front-end of projects and management of inter-organizational networks in projects.","author":[{"dropping-particle":"","family":"Matinheikki","given":"Juri","non-dropping-particle":"","parse-names":false,"suffix":""},{"dropping-particle":"","family":"Artto","given":"Karlos","non-dropping-particle":"","parse-names":false,"suffix":""},{"dropping-particle":"","family":"Peltokorpi","given":"Antti","non-dropping-particle":"","parse-names":false,"suffix":""},{"dropping-particle":"","family":"Rajala","given":"Risto","non-dropping-particle":"","parse-names":false,"suffix":""}],"container-title":"International Journal of Project Management","id":"ITEM-1","issue":"7","issued":{"date-parts":[["2016"]]},"page":"1226-1241","publisher":"Elsevier Ltd and Association for Project Management and the International Project Management Association","title":"Managing inter-organizational networks for value creation in the front-end of projects","type":"article-journal","volume":"34"},"uris":["http://www.mendeley.com/documents/?uuid=0fd3f8cf-b6da-41ca-b626-95a28d77626d"]}],"mendeley":{"formattedCitation":"(Matinheikki, Artto, Peltokorpi, &amp; Rajala, 2016)","manualFormatting":"Matinheikki et al., 2016;","plainTextFormattedCitation":"(Matinheikki, Artto, Peltokorpi, &amp; Rajala, 2016)","previouslyFormattedCitation":"(Matinheikki et al., 2016)"},"properties":{"noteIndex":0},"schema":"https://github.com/citation-style-language/schema/raw/master/csl-citation.json"}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xml:space="preserve">Matinheikki </w:t>
      </w:r>
      <w:r w:rsidRPr="009672FC">
        <w:rPr>
          <w:rFonts w:ascii="Garamond" w:hAnsi="Garamond"/>
          <w:i/>
          <w:noProof/>
          <w:spacing w:val="-2"/>
          <w:sz w:val="24"/>
          <w:szCs w:val="24"/>
          <w:lang w:val="en-GB"/>
        </w:rPr>
        <w:t>et al.</w:t>
      </w:r>
      <w:r w:rsidRPr="009672FC">
        <w:rPr>
          <w:rFonts w:ascii="Garamond" w:hAnsi="Garamond"/>
          <w:noProof/>
          <w:spacing w:val="-2"/>
          <w:sz w:val="24"/>
          <w:szCs w:val="24"/>
          <w:lang w:val="en-GB"/>
        </w:rPr>
        <w:t>, 2016;</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author":[{"dropping-particle":"","family":"Newell","given":"Sue","non-dropping-particle":"","parse-names":false,"suffix":""},{"dropping-particle":"","family":"Swan","given":"Jacky","non-dropping-particle":"","parse-names":false,"suffix":""}],"container-title":"Human Relations","id":"ITEM-1","issue":"10","issued":{"date-parts":[["2000"]]},"page":"1287-1328","title":"Trust and inter-organizational networking","type":"article-journal","volume":"53"},"uris":["http://www.mendeley.com/documents/?uuid=b97d2573-0ead-4a70-af65-7a5fa20d56f1"]}],"mendeley":{"formattedCitation":"(Newell &amp; Swan, 2000)","manualFormatting":"Newell and Swan, 2000)","plainTextFormattedCitation":"(Newell &amp; Swan, 2000)","previouslyFormattedCitation":"(Newell &amp; Swan, 2000)"},"properties":{"noteIndex":0},"schema":"https://github.com/citation-style-language/schema/raw/master/csl-citation.json"}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Newell and Swan, 2000)</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inter-firm business network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{"citationItems":[{"id":"ITEM-1","itemData":{"DOI":"10.1016/j.indmarman.2019.08.010","ISSN":"00198501","abstract":"Earlier research has highlighted the dynamic nature of influencing in business networks, and shown that firms may vary considerably in their influence, defined as their potential to achieve changes in the activities, resources, or goals of other firms in the business network. There is, however, limited understanding of the specific means of influencing which may allow firms, over time, to increase their influence with other firms in the same network. Drawing on a longitudinal case study, we describe how a firm, through influencing others by the dynamic enactment of network management activities, gradually increased its influence with other firms in the business network. Based on our observations, we offer a processual model for influencing in business networks that links specific network management activities to conditions under which they are used.","author":[{"dropping-particle":"","family":"Ahola","given":"Tuomas","non-dropping-particle":"","parse-names":false,"suffix":""},{"dropping-particle":"","family":"Aaltonen","given":"K.","non-dropping-particle":"","parse-names":false,"suffix":""},{"dropping-particle":"","family":"Artto","given":"Karlos","non-dropping-particle":"","parse-names":false,"suffix":""},{"dropping-particle":"","family":"Lehtinen","given":"Jere","non-dropping-particle":"","parse-names":false,"suffix":""}],"container-title":"Industrial Marketing Management","id":"ITEM-1","issue":"November 2016","issued":{"date-parts":[["2019"]]},"page":"1-15","publisher":"Elsevier","title":"Making room to manoeuvre: How firms increase their influence with others in business networks","type":"article-journal"},"uris":["http://www.mendeley.com/documents/?uuid=eaeebbb1-7294-4f2b-bc57-f595d4bd2d2f"]}],"mendeley":{"formattedCitation":"(Ahola, Aaltonen, Artto, &amp; Lehtinen, 2019)","manualFormatting":"(Ahola et al., 2019;","plainTextFormattedCitation":"(Ahola, Aaltonen, Artto, &amp; Lehtinen, 2019)","previouslyFormattedCitation":"(Ahola et al., 2019)"},"properties":{"noteIndex":0},"schema":"https://github.com/citation-style-language/schema/raw/master/csl-citation.json"}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xml:space="preserve">(Ahola </w:t>
      </w:r>
      <w:r w:rsidRPr="009672FC">
        <w:rPr>
          <w:rFonts w:ascii="Garamond" w:hAnsi="Garamond"/>
          <w:i/>
          <w:noProof/>
          <w:spacing w:val="-2"/>
          <w:sz w:val="24"/>
          <w:szCs w:val="24"/>
          <w:lang w:val="en-GB"/>
        </w:rPr>
        <w:t>et al.</w:t>
      </w:r>
      <w:r w:rsidRPr="009672FC">
        <w:rPr>
          <w:rFonts w:ascii="Garamond" w:hAnsi="Garamond"/>
          <w:noProof/>
          <w:spacing w:val="-2"/>
          <w:sz w:val="24"/>
          <w:szCs w:val="24"/>
          <w:lang w:val="en-GB"/>
        </w:rPr>
        <w:t>, 2019;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{"citationItems":[{"id":"ITEM-1","itemData":{"DOI":"10.1002/(SICI)1097-0266(199905)20:5&lt;467::AID-SMJ38&gt;3.0.CO;2-J","ISSN":"01432095","abstract":"A structural model of business relationship development in a business network context is formulated and tested on data from the European International Marketing and Purchasing (IMP) project. The empirical analysis demonstrates a causal chain from business network connection through mutual commitment and mutual dependence to value creation in the relationship. The results show that mutuality in business network relationships is critical in developing interfirin systems of workflow interdependence that promote the creation of value. This also implies that, through their interaction in business network relationships, firms in business markets organize and share an unbounded structure of interdependent activities, enabling them to achieve greater value than would be the case if they did not engage in relationship development. Copyright © 1999 John Wiley &amp; Sons, Ltd.","author":[{"dropping-particle":"","family":"Holm","given":"Desirée Blankenburg","non-dropping-particle":"","parse-names":false,"suffix":""},{"dropping-particle":"","family":"Eriksson","given":"Kent","non-dropping-particle":"","parse-names":false,"suffix":""},{"dropping-particle":"","family":"Johanson","given":"Jan","non-dropping-particle":"","parse-names":false,"suffix":""}],"container-title":"Strategic Management Journal","id":"ITEM-1","issue":"5","issued":{"date-parts":[["1999"]]},"page":"467-486","title":"Creating value through mutual commitment to business network relationships","type":"article-journal","volume":"20"},"uris":["http://www.mendeley.com/documents/?uuid=c00f63ff-465e-4c81-a204-08e7634bf016"]}],"mendeley":{"formattedCitation":"(Holm, Eriksson, &amp; Johanson, 1999)","manualFormatting":"Holm, Eriksson and Johanson, 1999;","plainTextFormattedCitation":"(Holm, Eriksson, &amp; Johanson, 1999)","previouslyFormattedCitation":"(Holm et al., 1999)"},"properties":{"noteIndex":0},"schema":"https://github.com/citation-style-language/schema/raw/master/csl-citation.json"}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Holm, Eriksson and Johanson, 1999;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{"citationItems":[{"id":"ITEM-1","itemData":{"DOI":"10.1016/j.jclepro.2006.06.020","ISSN":"09596526","abstract":"This paper reports on the adoption of sustainability practices by a sample of over 800 firms in New Zealand, contrasting results from members of the Sustainable Business Network (SBN) with non-members. The study also examined differences related to business size. Not surprisingly, large firms were found to be more actively engaged in sustainability. On the other hand, of the sample approximately one-third cited the existence of barriers to adoption of sustainable practices. Of these, larger companies were more likely to state that costs or other priorities inhibited the adoption of such practices. Generally speaking members of an SBN were more likely than non-members to adopt environmental initiatives, citing in particular the importance of reputation and brand, but in terms of total waste and energy waste there were no significant differences between members and non-members. There were few differences between the two groups on the adoption of social practices. In assessing membership of an SBN and company size as determinants of good environmental practices, company size was found to be the more significant factor. © 2006 Elsevier Ltd. All rights reserved.","author":[{"dropping-particle":"","family":"Collins","given":"Eva","non-dropping-particle":"","parse-names":false,"suffix":""},{"dropping-particle":"","family":"Lawrence","given":"Stewart","non-dropping-particle":"","parse-names":false,"suffix":""},{"dropping-particle":"","family":"Pavlovich","given":"Kathryn","non-dropping-particle":"","parse-names":false,"suffix":""},{"dropping-particle":"","family":"Ryan","given":"Chris","non-dropping-particle":"","parse-names":false,"suffix":""}],"container-title":"Journal of Cleaner Production","id":"ITEM-1","issue":"8-9","issued":{"date-parts":[["2007"]]},"page":"729-740","title":"Business networks and the uptake of sustainability practices: the case of New Zealand","type":"article-journal","volume":"15"},"uris":["http://www.mendeley.com/documents/?uuid=8aa05e03-cc0d-44e8-83f4-99b08817cd4a"]}],"mendeley":{"formattedCitation":"(Collins, Lawrence, Pavlovich, &amp; Ryan, 2007)","manualFormatting":"Collins et al., 2007;","plainTextFormattedCitation":"(Collins, Lawrence, Pavlovich, &amp; Ryan, 2007)","previouslyFormattedCitation":"(Collins et al., 2007)"},"properties":{"noteIndex":0},"schema":"https://github.com/citation-style-language/schema/raw/master/csl-citation.json"}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xml:space="preserve">Collins </w:t>
      </w:r>
      <w:r w:rsidRPr="009672FC">
        <w:rPr>
          <w:rFonts w:ascii="Garamond" w:hAnsi="Garamond"/>
          <w:i/>
          <w:noProof/>
          <w:spacing w:val="-2"/>
          <w:sz w:val="24"/>
          <w:szCs w:val="24"/>
          <w:lang w:val="en-GB"/>
        </w:rPr>
        <w:t>et al.</w:t>
      </w:r>
      <w:r w:rsidRPr="009672FC">
        <w:rPr>
          <w:rFonts w:ascii="Garamond" w:hAnsi="Garamond"/>
          <w:noProof/>
          <w:spacing w:val="-2"/>
          <w:sz w:val="24"/>
          <w:szCs w:val="24"/>
          <w:lang w:val="en-GB"/>
        </w:rPr>
        <w:t>, 2007;</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10.1016/j.jbusres.2018.01.005","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Research","id":"ITEM-1","issued":{"date-parts":[["2018"]]},"page":"328-335","title":"Business network commons and their fragilities : Emerging configurations of local organizational fields","type":"article-journal","volume":"89"},"uris":["http://www.mendeley.com/documents/?uuid=e8e1298d-9f2c-4979-b2c8-2e5c7ebddb62"]}],"mendeley":{"formattedCitation":"(Ricciardi, Zardini, &amp; Rossignoli, 2018)","manualFormatting":"Ricciardi, Zardini and Rossignoli, 2018)","plainTextFormattedCitation":"(Ricciardi, Zardini, &amp; Rossignoli, 2018)","previouslyFormattedCitation":"(Ricciardi et al., 2018)"},"properties":{"noteIndex":0},"schema":"https://github.com/citation-style-language/schema/raw/master/csl-citation.json"}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Ricciardi, Zardini and Rossignoli, 2018)</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and inter-organizational innovation network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{"citationItems":[{"id":"ITEM-1","itemData":{"PMID":"1552827417","abstract":"Abstract Purpose: The purpose of this paper is to present a systematic review of research linking the networking of firms with their innovation and specify the different dimensions of previous research on the subject and identify the gaps. Design/methodology/approach: A review of the literature on innovation in networks is undertaken using the Scopus database. These keywords: 1) Inter-organizational network, 2) Organizational network, 3) Innovation, 4) Innovative Performance were searched in the title, abstract and keywords of papers. Findings: Our review revealed that the papers were mainly trying to address or explain four phenomena: (1) the impact of networks on innovation and theoretical and empirical evidences of this impact; (2) management of networks (3) structure and content of networks; (4) formation and configuration of networks. These categories are not mutually exclusive but would help us to organize the fragmented literature on the topic. In each category some specific subjects have been the focus of analysis and some special issues have been neglected. For instance there is a need for exploration of the impact of different contents of networks on innovation compare to each other. Originality/value: Research on inter-organizational networks is generally fragmented which hinders a better understanding of the field. This article reviews and discusses the empirical literature on inter-organizational networks and innovation and shows the current state of research and highlights the gaps.","author":[{"dropping-particle":"","family":"Najafian","given":"Mina","non-dropping-particle":"","parse-names":false,"suffix":""},{"dropping-particle":"","family":"Colabi","given":"Amir Mohammad","non-dropping-particle":"","parse-names":false,"suffix":""}],"container-title":"Global Business and Management Research: An International Journal","id":"ITEM-1","issue":"1","issued":{"date-parts":[["2014"]]},"page":"52-70","title":"Inter-organizational Relationship and Innovation : A Review of Literature","type":"article-journal","volume":"6"},"uris":["http://www.mendeley.com/documents/?uuid=3fde6a5e-5066-48ee-88cb-6b5b9c7993d3"]}],"mendeley":{"formattedCitation":"(Najafian &amp; Colabi, 2014)","plainTextFormattedCitation":"(Najafian &amp; Colabi, 2014)","previouslyFormattedCitation":"(Najafian &amp; Colabi, 2014)"},"properties":{"noteIndex":0},"schema":"https://github.com/citation-style-language/schema/raw/master/csl-citation.json"}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(Najafian &amp; Colabi, 2014)</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Despite these various terms used, the emphasis lies on the critical role of the network-level organization towards the creation of a shared value, using the diverse resources, competenc</w:t>
      </w:r>
      <w:r w:rsidR="00CF726B" w:rsidRPr="009672FC">
        <w:rPr>
          <w:rFonts w:ascii="Garamond" w:hAnsi="Garamond"/>
          <w:spacing w:val="-2"/>
          <w:sz w:val="24"/>
          <w:szCs w:val="24"/>
          <w:lang w:val="en-GB"/>
        </w:rPr>
        <w:t>i</w:t>
      </w:r>
      <w:r w:rsidRPr="009672FC">
        <w:rPr>
          <w:rFonts w:ascii="Garamond" w:hAnsi="Garamond"/>
          <w:spacing w:val="-2"/>
          <w:sz w:val="24"/>
          <w:szCs w:val="24"/>
          <w:lang w:val="en-GB"/>
        </w:rPr>
        <w:t xml:space="preserve">es, and networks of the shared partners. During the review of the extant literature, we have discovered that a few </w:t>
      </w:r>
      <w:r w:rsidR="00CF726B" w:rsidRPr="009672FC">
        <w:rPr>
          <w:rFonts w:ascii="Garamond" w:hAnsi="Garamond"/>
          <w:spacing w:val="-2"/>
          <w:sz w:val="24"/>
          <w:szCs w:val="24"/>
          <w:lang w:val="en-GB"/>
        </w:rPr>
        <w:t>pieces of literature</w:t>
      </w:r>
      <w:r w:rsidRPr="009672FC">
        <w:rPr>
          <w:rFonts w:ascii="Garamond" w:hAnsi="Garamond"/>
          <w:spacing w:val="-2"/>
          <w:sz w:val="24"/>
          <w:szCs w:val="24"/>
          <w:lang w:val="en-GB"/>
        </w:rPr>
        <w:t xml:space="preserve"> of the field emerged in the organization science field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{"citationItems":[{"id":"ITEM-1","itemData":{"PMID":"1552827417","abstract":"Abstract Purpose: The purpose of this paper is to present a systematic review of research linking the networking of firms with their innovation and specify the different dimensions of previous research on the subject and identify the gaps. Design/methodology/approach: A review of the literature on innovation in networks is undertaken using the Scopus database. These keywords: 1) Inter-organizational network, 2) Organizational network, 3) Innovation, 4) Innovative Performance were searched in the title, abstract and keywords of papers. Findings: Our review revealed that the papers were mainly trying to address or explain four phenomena: (1) the impact of networks on innovation and theoretical and empirical evidences of this impact; (2) management of networks (3) structure and content of networks; (4) formation and configuration of networks. These categories are not mutually exclusive but would help us to organize the fragmented literature on the topic. In each category some specific subjects have been the focus of analysis and some special issues have been neglected. For instance there is a need for exploration of the impact of different contents of networks on innovation compare to each other. Originality/value: Research on inter-organizational networks is generally fragmented which hinders a better understanding of the field. This article reviews and discusses the empirical literature on inter-organizational networks and innovation and shows the current state of research and highlights the gaps.","author":[{"dropping-particle":"","family":"Najafian","given":"Mina","non-dropping-particle":"","parse-names":false,"suffix":""},{"dropping-particle":"","family":"Colabi","given":"Amir Mohammad","non-dropping-particle":"","parse-names":false,"suffix":""}],"container-title":"Global Business and Management Research: An International Journal","id":"ITEM-1","issue":"1","issued":{"date-parts":[["2014"]]},"page":"52-70","title":"Inter-organizational Relationship and Innovation : A Review of Literature","type":"article-journal","volume":"6"},"uris":["http://www.mendeley.com/documents/?uuid=3fde6a5e-5066-48ee-88cb-6b5b9c7993d3"]}],"mendeley":{"formattedCitation":"(Najafian &amp; Colabi, 2014)","manualFormatting":"(e.g., Najafian and Colabi, 2014;","plainTextFormattedCitation":"(Najafian &amp; Colabi, 2014)","previouslyFormattedCitation":"(Najafian &amp; Colabi, 2014)"},"properties":{"noteIndex":0},"schema":"https://github.com/citation-style-language/schema/raw/master/csl-citation.json"}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(e.g., Najafian and Colabi, 2014;</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{"citationItems":[{"id":"ITEM-1","itemData":{"DOI":"10.1016/j.ijproman.2017.11.004","ISSN":"0263-7863","author":[{"dropping-particle":"Von","family":"Danwitz","given":"Simon","non-dropping-particle":"","parse-names":false,"suffix":""}],"container-title":"International Journal of Project Management","id":"ITEM-1","issue":"3","issued":{"date-parts":[["2018"]]},"page":"525-541","publisher":"Elsevier Ltd and Association for Project Management and the International Project Management Association","title":"Managing inter- fi rm projects : A systematic review and directions for future research","type":"article-journal","volume":"36"},"uris":["http://www.mendeley.com/documents/?uuid=66da7ca1-5e82-4144-9eb0-ac60c50c2331"]}],"mendeley":{"formattedCitation":"(Danwitz, 2018)","manualFormatting":"Danwitz, 2018;","plainTextFormattedCitation":"(Danwitz, 2018)","previouslyFormattedCitation":"(Danwitz, 2018)"},"properties":{"noteIndex":0},"schema":"https://github.com/citation-style-language/schema/raw/master/csl-citation.json"}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Danwitz, 2018;</w:t>
      </w:r>
      <w:r w:rsidRPr="009672FC">
        <w:rPr>
          <w:rFonts w:ascii="Garamond" w:hAnsi="Garamond"/>
          <w:spacing w:val="-2"/>
          <w:sz w:val="24"/>
          <w:szCs w:val="24"/>
          <w:lang w:val="en-GB"/>
        </w:rPr>
        <w:fldChar w:fldCharType="end"/>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ISBN":"9781405121101","author":[{"dropping-particle":"","family":"Petticrew","given":"Mark","non-dropping-particle":"","parse-names":false,"suffix":""},{"dropping-particle":"","family":"Roberts","given":"Helen","non-dropping-particle":"","parse-names":false,"suffix":""}],"id":"ITEM-1","issued":{"date-parts":[["2006"]]},"number-of-pages":"1-324","title":"Systematic Reviews in the Social Sciences: A Practical Guide","type":"book"},"uris":["http://www.mendeley.com/documents/?uuid=8fd0f14f-da74-496d-9393-2b083a27fbac"]}],"mendeley":{"formattedCitation":"(Petticrew &amp; Roberts, 2006)","manualFormatting":" Petticrew and Roberts, 2006)","plainTextFormattedCitation":"(Petticrew &amp; Roberts, 2006)","previouslyFormattedCitation":"(Petticrew &amp; Roberts, 2006)"},"properties":{"noteIndex":0},"schema":"https://github.com/citation-style-language/schema/raw/master/csl-citation.json"}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xml:space="preserve"> Petticrew and Roberts, 2006)</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with less scope, and lack of bibliometric analysis of the field. For instance, the integration of “innovation” in </w:t>
      </w:r>
      <w:r w:rsidR="00CF726B" w:rsidRPr="009672FC">
        <w:rPr>
          <w:rFonts w:ascii="Garamond" w:hAnsi="Garamond"/>
          <w:spacing w:val="-2"/>
          <w:sz w:val="24"/>
          <w:szCs w:val="24"/>
          <w:lang w:val="en-GB"/>
        </w:rPr>
        <w:t xml:space="preserve">the </w:t>
      </w:r>
      <w:r w:rsidRPr="009672FC">
        <w:rPr>
          <w:rFonts w:ascii="Garamond" w:hAnsi="Garamond"/>
          <w:spacing w:val="-2"/>
          <w:sz w:val="24"/>
          <w:szCs w:val="24"/>
          <w:lang w:val="en-GB"/>
        </w:rPr>
        <w:t>“inter-organizational business network” was absen</w:t>
      </w:r>
      <w:r w:rsidR="00CF726B" w:rsidRPr="009672FC">
        <w:rPr>
          <w:rFonts w:ascii="Garamond" w:hAnsi="Garamond"/>
          <w:spacing w:val="-2"/>
          <w:sz w:val="24"/>
          <w:szCs w:val="24"/>
          <w:lang w:val="en-GB"/>
        </w:rPr>
        <w:t>t</w:t>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{"citationItems":[{"id":"ITEM-1","itemData":{"PMID":"1552827417","abstract":"Abstract Purpose: The purpose of this paper is to present a systematic review of research linking the networking of firms with their innovation and specify the different dimensions of previous research on the subject and identify the gaps. Design/methodology/approach: A review of the literature on innovation in networks is undertaken using the Scopus database. These keywords: 1) Inter-organizational network, 2) Organizational network, 3) Innovation, 4) Innovative Performance were searched in the title, abstract and keywords of papers. Findings: Our review revealed that the papers were mainly trying to address or explain four phenomena: (1) the impact of networks on innovation and theoretical and empirical evidences of this impact; (2) management of networks (3) structure and content of networks; (4) formation and configuration of networks. These categories are not mutually exclusive but would help us to organize the fragmented literature on the topic. In each category some specific subjects have been the focus of analysis and some special issues have been neglected. For instance there is a need for exploration of the impact of different contents of networks on innovation compare to each other. Originality/value: Research on inter-organizational networks is generally fragmented which hinders a better understanding of the field. This article reviews and discusses the empirical literature on inter-organizational networks and innovation and shows the current state of research and highlights the gaps.","author":[{"dropping-particle":"","family":"Najafian","given":"Mina","non-dropping-particle":"","parse-names":false,"suffix":""},{"dropping-particle":"","family":"Colabi","given":"Amir Mohammad","non-dropping-particle":"","parse-names":false,"suffix":""}],"container-title":"Global Business and Management Research: An International Journal","id":"ITEM-1","issue":"1","issued":{"date-parts":[["2014"]]},"page":"52-70","title":"Inter-organizational Relationship and Innovation : A Review of Literature","type":"article-journal","volume":"6"},"uris":["http://www.mendeley.com/documents/?uuid=3fde6a5e-5066-48ee-88cb-6b5b9c7993d3"]}],"mendeley":{"formattedCitation":"(Najafian &amp; Colabi, 2014)","manualFormatting":"(except for Najafian and Colabi, 2014)","plainTextFormattedCitation":"(Najafian &amp; Colabi, 2014)","previouslyFormattedCitation":"(Najafian &amp; Colabi, 2014)"},"properties":{"noteIndex":0},"schema":"https://github.com/citation-style-language/schema/raw/master/csl-citation.json"}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(except for Najafian and Colabi, 2014)</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This is the main thesis of this research. To reduce this gap in the literature, and inform future agenda, this study tries to examine the current body of research, the emerging themes, and the bibliometric analysis of the key papers, authors, country, and institutions of authors. In the bibliometric analysis, </w:t>
      </w:r>
      <w:r w:rsidRPr="009672FC">
        <w:rPr>
          <w:rFonts w:ascii="Garamond" w:hAnsi="Garamond"/>
          <w:spacing w:val="-2"/>
          <w:sz w:val="24"/>
          <w:szCs w:val="24"/>
        </w:rPr>
        <w:t xml:space="preserve">VOSviewer software </w:t>
      </w:r>
      <w:r w:rsidRPr="009672FC">
        <w:rPr>
          <w:rFonts w:ascii="Garamond" w:hAnsi="Garamond"/>
          <w:sz w:val="24"/>
          <w:szCs w:val="24"/>
        </w:rPr>
        <w:fldChar w:fldCharType="begin" w:fldLock="1"/>
      </w:r>
      <w:r w:rsidR="00813D37" w:rsidRPr="009672FC">
        <w:rPr>
          <w:rFonts w:ascii="Garamond" w:hAnsi="Garamond"/>
          <w:spacing w:val="-2"/>
          <w:sz w:val="24"/>
          <w:szCs w:val="24"/>
        </w:rPr>
        <w:instrText>ADDIN CSL_CITATION {"citationItems":[{"id":"ITEM-1","itemData":{"DOI":"10.1007/s11846-020-00406-z","ISBN":"0123456789","ISSN":"1863-6691","author":[{"dropping-particle":"","family":"Mas","given":"Alicia","non-dropping-particle":"","parse-names":false,"suffix":""},{"dropping-particle":"","family":"Sascha","given":"Tur","non-dropping-particle":"","parse-names":false,"suffix":""},{"dropping-particle":"","family":"Mario","given":"Kraus","non-dropping-particle":"","parse-names":false,"suffix":""},{"dropping-particle":"","family":"Ralf","given":"Brandtner","non-dropping-particle":"","parse-names":false,"suffix":""},{"dropping-particle":"","family":"Kürsten","given":"Wolfgang","non-dropping-particle":"","parse-names":false,"suffix":""}],"container-title":"Review of Managerial Science","id":"ITEM-1","issue":"0123456789","issued":{"date-parts":[["2020"]]},"publisher":"Springer Berlin Heidelberg","title":"Advances in management research : a bibliometric overview of the Review of Managerial Science","type":"article-journal"},"uris":["http://www.mendeley.com/documents/?uuid=70f57e4f-568a-47f6-8ff4-8b0a0207ff0e"]}],"mendeley":{"formattedCitation":"(Mas, Sascha, Mario, Ralf, &amp; Kürsten, 2020)","manualFormatting":"(Mas et al., 2020;","plainTextFormattedCitation":"(Mas, Sascha, Mario, Ralf, &amp; Kürsten, 2020)","previouslyFormattedCitation":"(Mas et al., 2020)"},"properties":{"noteIndex":0},"schema":"https://github.com/citation-style-language/schema/raw/master/csl-citation.json"}</w:instrText>
      </w:r>
      <w:r w:rsidRPr="009672FC">
        <w:rPr>
          <w:rFonts w:ascii="Garamond" w:hAnsi="Garamond"/>
          <w:spacing w:val="-2"/>
          <w:sz w:val="24"/>
          <w:szCs w:val="24"/>
        </w:rPr>
        <w:fldChar w:fldCharType="separate"/>
      </w:r>
      <w:r w:rsidRPr="009672FC">
        <w:rPr>
          <w:rFonts w:ascii="Garamond" w:hAnsi="Garamond"/>
          <w:noProof/>
          <w:spacing w:val="-2"/>
          <w:sz w:val="24"/>
          <w:szCs w:val="24"/>
        </w:rPr>
        <w:t xml:space="preserve">(Mas </w:t>
      </w:r>
      <w:r w:rsidRPr="009672FC">
        <w:rPr>
          <w:rFonts w:ascii="Garamond" w:hAnsi="Garamond"/>
          <w:i/>
          <w:noProof/>
          <w:spacing w:val="-2"/>
          <w:sz w:val="24"/>
          <w:szCs w:val="24"/>
        </w:rPr>
        <w:t>et al.</w:t>
      </w:r>
      <w:r w:rsidRPr="009672FC">
        <w:rPr>
          <w:rFonts w:ascii="Garamond" w:hAnsi="Garamond"/>
          <w:noProof/>
          <w:spacing w:val="-2"/>
          <w:sz w:val="24"/>
          <w:szCs w:val="24"/>
        </w:rPr>
        <w:t>, 2020;</w:t>
      </w:r>
      <w:r w:rsidRPr="009672FC">
        <w:rPr>
          <w:rFonts w:ascii="Garamond" w:hAnsi="Garamond"/>
          <w:spacing w:val="-2"/>
          <w:sz w:val="24"/>
          <w:szCs w:val="24"/>
        </w:rPr>
        <w:fldChar w:fldCharType="end"/>
      </w:r>
      <w:r w:rsidRPr="009672FC">
        <w:rPr>
          <w:rFonts w:ascii="Garamond" w:hAnsi="Garamond"/>
          <w:sz w:val="24"/>
          <w:szCs w:val="24"/>
        </w:rPr>
        <w:fldChar w:fldCharType="begin" w:fldLock="1"/>
      </w:r>
      <w:r w:rsidR="00813D37" w:rsidRPr="009672FC">
        <w:rPr>
          <w:rFonts w:ascii="Garamond" w:hAnsi="Garamond"/>
          <w:spacing w:val="-2"/>
          <w:sz w:val="24"/>
          <w:szCs w:val="24"/>
        </w:rPr>
        <w:instrText>ADDIN CSL_CITATION {"citationItems":[{"id":"ITEM-1","itemData":{"author":[{"dropping-particle":"","family":"Kraus","given":"Sascha","non-dropping-particle":"","parse-names":false,"suffix":""},{"dropping-particle":"","family":"Breier","given":"Matthias","non-dropping-particle":"","parse-names":false,"suffix":""},{"dropping-particle":"","family":"Dasí-rodríguez","given":"Sonia","non-dropping-particle":"","parse-names":false,"suffix":""}],"container-title":"International Entrepreneurship and Management Journal","id":"ITEM-1","issued":{"date-parts":[["2020"]]},"publisher":"International Entrepreneurship and Management Journal","title":"The art of crafting a systematic literature review in entrepreneurship research","type":"article-journal"},"uris":["http://www.mendeley.com/documents/?uuid=98a726ef-3411-4954-9c6e-656aec36256e"]}],"mendeley":{"formattedCitation":"(Kraus, Breier, &amp; Dasí-rodríguez, 2020)","manualFormatting":" Kraus, Breier and Dasí-rodríguez, 2020)","plainTextFormattedCitation":"(Kraus, Breier, &amp; Dasí-rodríguez, 2020)","previouslyFormattedCitation":"(Kraus, Breier, et al., 2020)"},"properties":{"noteIndex":0},"schema":"https://github.com/citation-style-language/schema/raw/master/csl-citation.json"}</w:instrText>
      </w:r>
      <w:r w:rsidRPr="009672FC">
        <w:rPr>
          <w:rFonts w:ascii="Garamond" w:hAnsi="Garamond"/>
          <w:spacing w:val="-2"/>
          <w:sz w:val="24"/>
          <w:szCs w:val="24"/>
        </w:rPr>
        <w:fldChar w:fldCharType="separate"/>
      </w:r>
      <w:r w:rsidRPr="009672FC">
        <w:rPr>
          <w:rFonts w:ascii="Garamond" w:hAnsi="Garamond"/>
          <w:noProof/>
          <w:spacing w:val="-2"/>
          <w:sz w:val="24"/>
          <w:szCs w:val="24"/>
        </w:rPr>
        <w:t xml:space="preserve"> Kraus, Breier and Dasí-rodríguez, 2020)</w:t>
      </w:r>
      <w:r w:rsidRPr="009672FC">
        <w:rPr>
          <w:rFonts w:ascii="Garamond" w:hAnsi="Garamond"/>
          <w:spacing w:val="-2"/>
          <w:sz w:val="24"/>
          <w:szCs w:val="24"/>
        </w:rPr>
        <w:fldChar w:fldCharType="end"/>
      </w:r>
      <w:r w:rsidRPr="009672FC">
        <w:rPr>
          <w:rFonts w:ascii="Garamond" w:hAnsi="Garamond"/>
          <w:spacing w:val="-2"/>
          <w:sz w:val="24"/>
          <w:szCs w:val="24"/>
        </w:rPr>
        <w:t xml:space="preserve"> was used to illustrate bibliometric techniques (e.g., co-citation and bibliometric coupling).</w:t>
      </w:r>
    </w:p>
    <w:p w14:paraId="53B68B8B" w14:textId="4213F857" w:rsidR="00CF726B" w:rsidRPr="009672FC" w:rsidRDefault="007549AA" w:rsidP="00CF726B">
      <w:pPr>
        <w:pStyle w:val="MDPI51figurecaption"/>
        <w:spacing w:line="360" w:lineRule="auto"/>
        <w:ind w:left="0"/>
        <w:jc w:val="both"/>
        <w:rPr>
          <w:rFonts w:ascii="Garamond" w:hAnsi="Garamond"/>
          <w:spacing w:val="-2"/>
          <w:sz w:val="24"/>
          <w:szCs w:val="24"/>
          <w:lang w:val="en-GB"/>
        </w:rPr>
      </w:pPr>
      <w:r w:rsidRPr="009672FC">
        <w:rPr>
          <w:rFonts w:ascii="Garamond" w:hAnsi="Garamond"/>
          <w:spacing w:val="-2"/>
          <w:sz w:val="24"/>
          <w:szCs w:val="24"/>
          <w:lang w:val="en-GB"/>
        </w:rPr>
        <w:t xml:space="preserve">Inter-organizational innovation networks are specialized inter-firm arrangements. The competitive pressure and greater uncertainties from the business environment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{"citationItems":[{"id":"ITEM-1","itemData":{"DOI":"10.1108/F-07-2015-0049","ISSN":"02632772","abstract":"This study suggests that the facility and its co-located actors tend to form a vivid network of business actors in the facility's external environment, when co-located with a large number of actors.","author":[{"dropping-particle":"","family":"Artto","given":"Karlos","non-dropping-particle":"","parse-names":false,"suffix":""},{"dropping-particle":"","family":"Ahola","given":"Tuomas","non-dropping-particle":"","parse-names":false,"suffix":""},{"dropping-particle":"","family":"Kyrö","given":"Riikka","non-dropping-particle":"","parse-names":false,"suffix":""},{"dropping-particle":"","family":"Peltokorpi","given":"Antti","non-dropping-particle":"","parse-names":false,"suffix":""}],"container-title":"Facilities","id":"ITEM-1","issue":"1-2","issued":{"date-parts":[["2017"]]},"page":"99-115","title":"Managing business networks for value creation in facilities and their external environments: A study on co-location","type":"article-journal","volume":"35"},"uris":["http://www.mendeley.com/documents/?uuid=0a109017-4c64-4e31-980e-2550cf9be13b"]}],"mendeley":{"formattedCitation":"(Artto, Ahola, Kyrö, &amp; Peltokorpi, 2017)","plainTextFormattedCitation":"(Artto, Ahola, Kyrö, &amp; Peltokorpi, 2017)","previouslyFormattedCitation":"(Artto et al., 2017)"},"properties":{"noteIndex":0},"schema":"https://github.com/citation-style-language/schema/raw/master/csl-citation.json"}</w:instrText>
      </w:r>
      <w:r w:rsidRPr="009672FC">
        <w:rPr>
          <w:rFonts w:ascii="Garamond" w:hAnsi="Garamond"/>
          <w:spacing w:val="-2"/>
          <w:sz w:val="24"/>
          <w:szCs w:val="24"/>
          <w:lang w:val="en-GB"/>
        </w:rPr>
        <w:fldChar w:fldCharType="separate"/>
      </w:r>
      <w:r w:rsidR="00813D37" w:rsidRPr="009672FC">
        <w:rPr>
          <w:rFonts w:ascii="Garamond" w:hAnsi="Garamond"/>
          <w:noProof/>
          <w:spacing w:val="-2"/>
          <w:sz w:val="24"/>
          <w:szCs w:val="24"/>
          <w:lang w:val="en-GB"/>
        </w:rPr>
        <w:t>(Artto, Ahola, Kyrö, &amp; Peltokorpi, 2017)</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and </w:t>
      </w:r>
      <w:r w:rsidR="00CF726B" w:rsidRPr="009672FC">
        <w:rPr>
          <w:rFonts w:ascii="Garamond" w:hAnsi="Garamond"/>
          <w:spacing w:val="-2"/>
          <w:sz w:val="24"/>
          <w:szCs w:val="24"/>
          <w:lang w:val="en-GB"/>
        </w:rPr>
        <w:t xml:space="preserve">the </w:t>
      </w:r>
      <w:r w:rsidRPr="009672FC">
        <w:rPr>
          <w:rFonts w:ascii="Garamond" w:hAnsi="Garamond"/>
          <w:spacing w:val="-2"/>
          <w:sz w:val="24"/>
          <w:szCs w:val="24"/>
          <w:lang w:val="en-GB"/>
        </w:rPr>
        <w:t xml:space="preserve">resources position of firms trigger the decision to form inter-organizational innovation networks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{"citationItems":[{"id":"ITEM-1","itemData":{"DOI":"10.1108/JBIM-05-2015-0097","ISSN":"08858624","abstract":"© 2016, © Emerald Group Publishing Limited. Purpose: This paper aims to propose an approach for exploring industrial marketing network environments through a social semiotic lens. Design/methodology/approach: This conceptual paper introduces social semiotic perspectives to the study of business/industrial network interaction. Findings: This paper describes how structures of meaning derived from a cultural history of signification and interpretive processes of meaning in action are co-determined in social semiosis. The meaning of environments using this social semiotic approach is emphasised, leading us to explore the idea of the “atmosemiosphere” – the most highly complex business network level, in illustrating how meaning is made through structuration between structures of meaning and their enactments in interactions between actors within living business networks. Practical Implications: Figurative language plays an important role in the structuration of mean ing. This facilitates establishing plots and, therefore, in the actors’ capability to tell a story, which starts with knowing what kind of story can be told. By implication, the effective networker must be a consummate moving “picture maker” and, to do so, she must have competence in narrative, emplotment, myth-making, storytelling and figuration in more than one discursive repertoire. Originality/value: In using a structurational discourse perspective informed by social semiotics, our original contribution is a “business networks as discursive constructions” approach, in that discursive nets, webs of narratives and stories and labyrinths of tropes are considered just as important in constituting networks as networks of actor relationships and patterns of other activities and resources.","author":[{"dropping-particle":"","family":"Lowe","given":"Sid","non-dropping-particle":"","parse-names":false,"suffix":""},{"dropping-particle":"","family":"Rod","given":"Michel","non-dropping-particle":"","parse-names":false,"suffix":""},{"dropping-particle":"","family":"Hwang","given":"Ki Soon","non-dropping-particle":"","parse-names":false,"suffix":""}],"container-title":"Journal of Business and Industrial Marketing","id":"ITEM-1","issue":"4","issued":{"date-parts":[["2016"]]},"page":"531-542","title":"Understanding structures and practices of meaning-making in industrial networks","type":"article-journal","volume":"31"},"uris":["http://www.mendeley.com/documents/?uuid=b4f3f800-ba15-4679-8f72-e4a14b141623"]}],"mendeley":{"formattedCitation":"(Lowe, Rod, &amp; Hwang, 2016)","plainTextFormattedCitation":"(Lowe, Rod, &amp; Hwang, 2016)","previouslyFormattedCitation":"(Lowe et al., 2016)"},"properties":{"noteIndex":0},"schema":"https://github.com/citation-style-language/schema/raw/master/csl-citation.json"}</w:instrText>
      </w:r>
      <w:r w:rsidRPr="009672FC">
        <w:rPr>
          <w:rFonts w:ascii="Garamond" w:hAnsi="Garamond"/>
          <w:spacing w:val="-2"/>
          <w:sz w:val="24"/>
          <w:szCs w:val="24"/>
          <w:lang w:val="en-GB"/>
        </w:rPr>
        <w:fldChar w:fldCharType="separate"/>
      </w:r>
      <w:r w:rsidR="00813D37" w:rsidRPr="009672FC">
        <w:rPr>
          <w:rFonts w:ascii="Garamond" w:hAnsi="Garamond"/>
          <w:noProof/>
          <w:spacing w:val="-2"/>
          <w:sz w:val="24"/>
          <w:szCs w:val="24"/>
          <w:lang w:val="en-GB"/>
        </w:rPr>
        <w:t>(Lowe, Rod, &amp; Hwang, 2016)</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In such arrangements, the network provides actors with common knowledge resources, capabilities and physical assets that promote innovation practices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{"citationItems":[{"id":"ITEM-1","itemData":{"DOI":"10.1086/210179","ISSN":"0002-9602","abstract":"JSTOR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Organizations enter alliances with each other to access critical re-sources, but they rely on information from the network of prior alli-ances to determine with whom to cooperate. These new alliances modify the existing network, prompting an endogenous dynamic be-tween organizational action and network structure that drives the emergence of interorganizational networks. Testing these ideas on alliances formed in three industries over nine years, this research shows that the probability of a new alliance between specific organi-zations increases with their interdependence and also with their prior mutual alliances, common third parties, and joint centrality in the alliance network. The differentiation of the emerging network structure, however, mitigates the effect of interdependence and en-hances the effect of joint centrality on new alliance formation.","author":[{"dropping-particle":"","family":"Gulati","given":"Ranjay","non-dropping-particle":"","parse-names":false,"suffix":""},{"dropping-particle":"","family":"Gargiulo","given":"Martin","non-dropping-particle":"","parse-names":false,"suffix":""}],"container-title":"American Journal of Sociology","id":"ITEM-1","issue":"5","issued":{"date-parts":[["1999"]]},"page":"1439-1493","title":"Where Do Interorganizational Networks Come From?","type":"article-journal","volume":"104"},"uris":["http://www.mendeley.com/documents/?uuid=78d2de98-ae36-492f-b2db-7ffe8ec00ba6"]}],"mendeley":{"formattedCitation":"(Ranjay Gulati &amp; Gargiulo, 1999)","plainTextFormattedCitation":"(Ranjay Gulati &amp; Gargiulo, 1999)","previouslyFormattedCitation":"(Ranjay Gulati &amp; Gargiulo, 1999)"},"properties":{"noteIndex":0},"schema":"https://github.com/citation-style-language/schema/raw/master/csl-citation.json"}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(Ranjay Gulati &amp; Gargiulo, 1999)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These resources lie outside firms’ internal idiosyncrasies. As </w:t>
      </w:r>
      <w:r w:rsidR="00CF726B" w:rsidRPr="009672FC">
        <w:rPr>
          <w:rFonts w:ascii="Garamond" w:hAnsi="Garamond"/>
          <w:spacing w:val="-2"/>
          <w:sz w:val="24"/>
          <w:szCs w:val="24"/>
          <w:lang w:val="en-GB"/>
        </w:rPr>
        <w:t xml:space="preserve">a </w:t>
      </w:r>
      <w:r w:rsidRPr="009672FC">
        <w:rPr>
          <w:rFonts w:ascii="Garamond" w:hAnsi="Garamond"/>
          <w:spacing w:val="-2"/>
          <w:sz w:val="24"/>
          <w:szCs w:val="24"/>
          <w:lang w:val="en-GB"/>
        </w:rPr>
        <w:t>locus of innovation practice, organizations leverage these resources to improve business model</w:t>
      </w:r>
      <w:r w:rsidR="00CF726B" w:rsidRPr="009672FC">
        <w:rPr>
          <w:rFonts w:ascii="Garamond" w:hAnsi="Garamond"/>
          <w:spacing w:val="-2"/>
          <w:sz w:val="24"/>
          <w:szCs w:val="24"/>
          <w:lang w:val="en-GB"/>
        </w:rPr>
        <w:t>s</w:t>
      </w:r>
      <w:r w:rsidRPr="009672FC">
        <w:rPr>
          <w:rFonts w:ascii="Garamond" w:hAnsi="Garamond"/>
          <w:spacing w:val="-2"/>
          <w:sz w:val="24"/>
          <w:szCs w:val="24"/>
          <w:lang w:val="en-GB"/>
        </w:rPr>
        <w:t>, process innovations and new product development efforts. These make knowledge exploration and sharing and co-learning amongst firms integral parts of the relationship (</w:t>
      </w:r>
      <w:r w:rsidRPr="009672FC">
        <w:rPr>
          <w:rFonts w:ascii="Garamond" w:hAnsi="Garamond"/>
          <w:sz w:val="24"/>
          <w:szCs w:val="24"/>
        </w:rPr>
        <w:fldChar w:fldCharType="begin" w:fldLock="1"/>
      </w:r>
      <w:r w:rsidR="00813D37" w:rsidRPr="009672FC">
        <w:rPr>
          <w:rFonts w:ascii="Garamond" w:hAnsi="Garamond"/>
          <w:spacing w:val="-2"/>
          <w:sz w:val="24"/>
          <w:szCs w:val="24"/>
          <w:lang w:val="en-GB"/>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Singh, &amp; Hesterly, 2018)","manualFormatting":"Dyer, Singh and Hesterly, 2018)","plainTextFormattedCitation":"(Dyer, Singh, &amp; Hesterly, 2018)","previouslyFormattedCitation":"(Dyer et al., 2018)"},"properties":{"noteIndex":0},"schema":"https://github.com/citation-style-language/schema/raw/master/csl-citation.json"}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Dyer, Singh and Hesterly, 2018)</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empowered employees’ innovation mindset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{"citationItems":[{"id":"ITEM-1","itemData":{"DOI":"10.1016/j.jik.2017.06.002","ISSN":"2444569X","abstract":"Insurers are well versed in the litany of challenging conditions facing the sector. These challenges are economic, political, regulatory, legal, social, and technological. As a result of those pressures, the industry is experiencing increasing competition, muted growth, and an excess of capital. The increased connectivity among household and workplace devices, the development of autonomous vehicle and the rising threat of cyber attacks are transforming the way people live and risk they need to mitigate with insurance products. Insurers need to adopt their business models address the changes which can be threatening to the growth of the industry (Deloitte, 2017). Innovation is widely regarded as pinnacle success factor in highly competitive and global economy. An innovation perspective draws a clear picture of future opportunities that lie ahead. The main purpose of this paper is to explore the relationship among innovations capability, innovation type and on the different aspect of firm performance including innovation, market and financial performance based on an empirical study covering insurance industry in Sri Lanka. The research framework developed in this study was tested 379 senior managers of insurance companies. The empirical verification of assumption of this model has given evidence to confirm the relationship between innovation capabilities; innovation efforts and firm performance are significant and strong. The results of this study could lead effective management of innovation capability which helps to deliver more effective innovations outcomes to generate better performance and it would be benefits for management of the insurance companies.","author":[{"dropping-particle":"","family":"Rajapathirana","given":"R. P.Jayani","non-dropping-particle":"","parse-names":false,"suffix":""},{"dropping-particle":"","family":"Hui","given":"Yan","non-dropping-particle":"","parse-names":false,"suffix":""}],"container-title":"Journal of Innovation and Knowledge","id":"ITEM-1","issue":"1","issued":{"date-parts":[["2018"]]},"page":"44-55","publisher":"Journal of Innovation &amp; Knowledge","title":"Relationship between innovation capability, innovation type, and firm performance","type":"article-journal","volume":"3"},"uris":["http://www.mendeley.com/documents/?uuid=70486037-5414-4e16-ae79-886d93b0b1d7"]}],"mendeley":{"formattedCitation":"(Rajapathirana &amp; Hui, 2018)","plainTextFormattedCitation":"(Rajapathirana &amp; Hui, 2018)","previouslyFormattedCitation":"(Rajapathirana &amp; Hui, 2018)"},"properties":{"noteIndex":0},"schema":"https://github.com/citation-style-language/schema/raw/master/csl-citation.json"}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(Rajapathirana &amp; Hui, 2018)</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improved absorptive capacity and sensemaking of actors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{"citationItems":[{"id":"ITEM-1","itemData":{"author":[{"dropping-particle":"","family":"Grant","given":"Robert M","non-dropping-particle":"","parse-names":false,"suffix":""}],"container-title":"Strategic Management Journal","id":"ITEM-1","issued":{"date-parts":[["1996"]]},"page":"109-122","title":"Toward a knowledge</w:instrText>
      </w:r>
      <w:r w:rsidRPr="009672FC">
        <w:rPr>
          <w:rFonts w:ascii="Times New Roman" w:hAnsi="Times New Roman"/>
          <w:spacing w:val="-2"/>
          <w:sz w:val="24"/>
          <w:szCs w:val="24"/>
          <w:lang w:val="en-GB"/>
        </w:rPr>
        <w:instrText>‐</w:instrText>
      </w:r>
      <w:r w:rsidRPr="009672FC">
        <w:rPr>
          <w:rFonts w:ascii="Garamond" w:hAnsi="Garamond"/>
          <w:spacing w:val="-2"/>
          <w:sz w:val="24"/>
          <w:szCs w:val="24"/>
          <w:lang w:val="en-GB"/>
        </w:rPr>
        <w:instrText>based theory of the firm","type":"article-journal","volume":"17"},"uris":["http://www.mendeley.com/documents/?uuid=c574dccb-428f-4479-9c49-692d619f6e4b"]}],"mendeley":{"formattedCitation":"(Grant, 1996)","manualFormatting":"(Grant, 1996","plainTextFormattedCitation":"(Grant, 1996)","previouslyFormattedCitation":"(Grant, 1996)"},"properties":{"noteIndex":0},"schema":"https://github.com/citation-style-language/schema/raw/master/csl-citation.json"}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(Grant, 1996</w:t>
      </w:r>
      <w:r w:rsidRPr="009672FC">
        <w:rPr>
          <w:rFonts w:ascii="Garamond" w:hAnsi="Garamond"/>
          <w:spacing w:val="-2"/>
          <w:sz w:val="24"/>
          <w:szCs w:val="24"/>
          <w:lang w:val="en-GB"/>
        </w:rPr>
        <w:fldChar w:fldCharType="end"/>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{"citationItems":[{"id":"ITEM-1","itemData":{"author":[{"dropping-particle":"","family":"Brown","given":"John Seely","non-dropping-particle":"","parse-names":false,"suffix":""},{"dropping-particle":"","family":"Duguid","given":"Paul","non-dropping-particle":"","parse-names":false,"suffix":""}],"container-title":"Organization Science","id":"ITEM-1","issue":"2","issued":{"date-parts":[["2001"]]},"page":"198-213","title":"Knowledge and Organization: A Social-Practice Perspective","type":"article-journal","volume":"12"},"uris":["http://www.mendeley.com/documents/?uuid=df0e9f48-41eb-471e-9f20-c858ffe6c8c9"]}],"mendeley":{"formattedCitation":"(Brown &amp; Duguid, 2001)","manualFormatting":"; Brown and Duguid, 2001)","plainTextFormattedCitation":"(Brown &amp; Duguid, 2001)","previouslyFormattedCitation":"(Brown &amp; Duguid, 2001)"},"properties":{"noteIndex":0},"schema":"https://github.com/citation-style-language/schema/raw/master/csl-citation.json"}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 Brown and Duguid, 2001)</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and shared R&amp;D, access </w:t>
      </w:r>
      <w:r w:rsidRPr="009672FC">
        <w:rPr>
          <w:rFonts w:ascii="Garamond" w:hAnsi="Garamond"/>
          <w:spacing w:val="-2"/>
          <w:sz w:val="24"/>
          <w:szCs w:val="24"/>
          <w:lang w:val="en-GB"/>
        </w:rPr>
        <w:lastRenderedPageBreak/>
        <w:t xml:space="preserve">to new markets and skills for collaborating firms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author":[{"dropping-particle":"","family":"Sammarra","given":"Alessia","non-dropping-particle":"","parse-names":false,"suffix":""},{"dropping-particle":"","family":"Biggiero","given":"Lucio","non-dropping-particle":"","parse-names":false,"suffix":""}],"id":"ITEM-1","issue":"June","issued":{"date-parts":[["2008"]]},"title":"Heterogeneity and Specificity of Inter-Firm Knowledge Flows in Innovation Networks Alessia Sammarra and Lucio Biggiero","type":"article-journal"},"uris":["http://www.mendeley.com/documents/?uuid=7ae02451-b256-4d98-b7cb-3984c42f7f26"]}],"mendeley":{"formattedCitation":"(Sammarra &amp; Biggiero, 2008)","manualFormatting":"(Sammarra and Biggiero, 2008;","plainTextFormattedCitation":"(Sammarra &amp; Biggiero, 2008)","previouslyFormattedCitation":"(Sammarra &amp; Biggiero, 2008)"},"properties":{"noteIndex":0},"schema":"https://github.com/citation-style-language/schema/raw/master/csl-citation.json"}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(Sammarra and Biggiero, 2008;</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 xml:space="preserve"> </w:t>
      </w:r>
      <w:r w:rsidRPr="009672FC">
        <w:rPr>
          <w:rFonts w:ascii="Garamond" w:hAnsi="Garamond"/>
          <w:sz w:val="24"/>
          <w:szCs w:val="24"/>
        </w:rPr>
        <w:fldChar w:fldCharType="begin" w:fldLock="1"/>
      </w:r>
      <w:r w:rsidRPr="009672FC">
        <w:rPr>
          <w:rFonts w:ascii="Garamond" w:hAnsi="Garamond"/>
          <w:spacing w:val="-2"/>
          <w:sz w:val="24"/>
          <w:szCs w:val="24"/>
          <w:lang w:val="en-GB"/>
        </w:rPr>
        <w:instrText>ADDIN CSL_CITATION {"citationItems":[{"id":"ITEM-1","itemData":{"author":[{"dropping-particle":"","family":"Lorenzoni","given":"Gianni","non-dropping-particle":"","parse-names":false,"suffix":""},{"dropping-particle":"","family":"Lipparini","given":"Andrea","non-dropping-particle":"","parse-names":false,"suffix":""}],"container-title":"Strategic Management Journal","id":"ITEM-1","issue":"June 1996","issued":{"date-parts":[["1999"]]},"page":"317-338","title":"THE LEVERAGING OF INTERFIRM RELATIONSHIPS AS A DISTINCTIVE ORGANIZATIONAL CAPABILITY : A LONGITUDINAL STUDY","type":"article-journal","volume":"338"},"uris":["http://www.mendeley.com/documents/?uuid=fc5ba056-16d6-43fd-a944-c53331eed86d"]}],"mendeley":{"formattedCitation":"(Lorenzoni &amp; Lipparini, 1999)","manualFormatting":"Lorenzoni and Lipparini, 1999)","plainTextFormattedCitation":"(Lorenzoni &amp; Lipparini, 1999)","previouslyFormattedCitation":"(Lorenzoni &amp; Lipparini, 1999)"},"properties":{"noteIndex":0},"schema":"https://github.com/citation-style-language/schema/raw/master/csl-citation.json"}</w:instrText>
      </w:r>
      <w:r w:rsidRPr="009672FC">
        <w:rPr>
          <w:rFonts w:ascii="Garamond" w:hAnsi="Garamond"/>
          <w:spacing w:val="-2"/>
          <w:sz w:val="24"/>
          <w:szCs w:val="24"/>
          <w:lang w:val="en-GB"/>
        </w:rPr>
        <w:fldChar w:fldCharType="separate"/>
      </w:r>
      <w:r w:rsidRPr="009672FC">
        <w:rPr>
          <w:rFonts w:ascii="Garamond" w:hAnsi="Garamond"/>
          <w:noProof/>
          <w:spacing w:val="-2"/>
          <w:sz w:val="24"/>
          <w:szCs w:val="24"/>
          <w:lang w:val="en-GB"/>
        </w:rPr>
        <w:t>Lorenzoni and Lipparini, 1999)</w:t>
      </w:r>
      <w:r w:rsidRPr="009672FC">
        <w:rPr>
          <w:rFonts w:ascii="Garamond" w:hAnsi="Garamond"/>
          <w:spacing w:val="-2"/>
          <w:sz w:val="24"/>
          <w:szCs w:val="24"/>
          <w:lang w:val="en-GB"/>
        </w:rPr>
        <w:fldChar w:fldCharType="end"/>
      </w:r>
      <w:r w:rsidRPr="009672FC">
        <w:rPr>
          <w:rFonts w:ascii="Garamond" w:hAnsi="Garamond"/>
          <w:spacing w:val="-2"/>
          <w:sz w:val="24"/>
          <w:szCs w:val="24"/>
          <w:lang w:val="en-GB"/>
        </w:rPr>
        <w:t>.</w:t>
      </w:r>
    </w:p>
    <w:p w14:paraId="1E2C634F" w14:textId="2D04D274" w:rsidR="003D5DE8" w:rsidRPr="009672FC" w:rsidRDefault="007549AA" w:rsidP="00CF726B">
      <w:pPr>
        <w:pStyle w:val="MDPI51figurecaption"/>
        <w:spacing w:line="360" w:lineRule="auto"/>
        <w:ind w:left="0"/>
        <w:jc w:val="both"/>
        <w:rPr>
          <w:rFonts w:ascii="Garamond" w:hAnsi="Garamond"/>
          <w:sz w:val="24"/>
          <w:szCs w:val="24"/>
          <w:lang w:eastAsia="zh-CN"/>
        </w:rPr>
      </w:pPr>
      <w:r w:rsidRPr="009672FC">
        <w:rPr>
          <w:rFonts w:ascii="Garamond" w:hAnsi="Garamond"/>
          <w:spacing w:val="-2"/>
          <w:sz w:val="24"/>
          <w:szCs w:val="24"/>
          <w:lang w:val="en-GB"/>
        </w:rPr>
        <w:t>The rest of the paper is organized</w:t>
      </w:r>
      <w:r w:rsidR="00200E99">
        <w:rPr>
          <w:rFonts w:ascii="Garamond" w:hAnsi="Garamond"/>
          <w:spacing w:val="-2"/>
          <w:sz w:val="24"/>
          <w:szCs w:val="24"/>
          <w:lang w:val="en-GB"/>
        </w:rPr>
        <w:t xml:space="preserve"> accordingly. F</w:t>
      </w:r>
      <w:r w:rsidRPr="009672FC">
        <w:rPr>
          <w:rFonts w:ascii="Garamond" w:hAnsi="Garamond"/>
          <w:spacing w:val="-2"/>
          <w:sz w:val="24"/>
          <w:szCs w:val="24"/>
          <w:lang w:val="en-GB"/>
        </w:rPr>
        <w:t xml:space="preserve">irst is the introduction of the paper, </w:t>
      </w:r>
      <w:r w:rsidR="00CF726B" w:rsidRPr="009672FC">
        <w:rPr>
          <w:rFonts w:ascii="Garamond" w:hAnsi="Garamond"/>
          <w:spacing w:val="-2"/>
          <w:sz w:val="24"/>
          <w:szCs w:val="24"/>
          <w:lang w:val="en-GB"/>
        </w:rPr>
        <w:t xml:space="preserve">the </w:t>
      </w:r>
      <w:r w:rsidRPr="009672FC">
        <w:rPr>
          <w:rFonts w:ascii="Garamond" w:hAnsi="Garamond"/>
          <w:spacing w:val="-2"/>
          <w:sz w:val="24"/>
          <w:szCs w:val="24"/>
          <w:lang w:val="en-GB"/>
        </w:rPr>
        <w:t xml:space="preserve">second part is the study methodology, and the third part deals with the reporting of the findings of the study, and finally, we discussed the conclusions and future agenda. </w:t>
      </w:r>
    </w:p>
    <w:p w14:paraId="27EA902A" w14:textId="2F45E67D" w:rsidR="003D5DE8" w:rsidRPr="009672FC" w:rsidRDefault="007549AA" w:rsidP="00CF726B">
      <w:pPr>
        <w:pStyle w:val="MDPI18keywords"/>
        <w:numPr>
          <w:ilvl w:val="1"/>
          <w:numId w:val="8"/>
        </w:numPr>
        <w:spacing w:line="360" w:lineRule="auto"/>
        <w:outlineLvl w:val="1"/>
        <w:rPr>
          <w:rFonts w:ascii="Garamond" w:hAnsi="Garamond"/>
          <w:i/>
          <w:sz w:val="24"/>
          <w:szCs w:val="24"/>
        </w:rPr>
      </w:pPr>
      <w:bookmarkStart w:id="22" w:name="_Toc85708702"/>
      <w:bookmarkStart w:id="23" w:name="_Toc85709716"/>
      <w:r w:rsidRPr="009672FC">
        <w:rPr>
          <w:rFonts w:ascii="Garamond" w:hAnsi="Garamond"/>
          <w:b/>
          <w:bCs/>
          <w:sz w:val="24"/>
          <w:szCs w:val="24"/>
        </w:rPr>
        <w:t>Materials and Methods</w:t>
      </w:r>
      <w:bookmarkEnd w:id="22"/>
      <w:bookmarkEnd w:id="23"/>
    </w:p>
    <w:p w14:paraId="6CA95327" w14:textId="2E38D545" w:rsidR="003D5DE8" w:rsidRPr="009672FC" w:rsidRDefault="007549AA" w:rsidP="005C5F35">
      <w:pPr>
        <w:pStyle w:val="MDPI51figurecaption"/>
        <w:numPr>
          <w:ilvl w:val="2"/>
          <w:numId w:val="8"/>
        </w:numPr>
        <w:spacing w:before="0" w:after="0" w:line="360" w:lineRule="auto"/>
        <w:jc w:val="both"/>
        <w:outlineLvl w:val="2"/>
        <w:rPr>
          <w:rFonts w:ascii="Garamond" w:hAnsi="Garamond"/>
          <w:bCs/>
          <w:i/>
          <w:sz w:val="24"/>
          <w:szCs w:val="24"/>
        </w:rPr>
      </w:pPr>
      <w:bookmarkStart w:id="24" w:name="_Toc85617724"/>
      <w:bookmarkStart w:id="25" w:name="_Toc85708703"/>
      <w:bookmarkStart w:id="26" w:name="_Toc85709717"/>
      <w:r w:rsidRPr="009672FC">
        <w:rPr>
          <w:rFonts w:ascii="Garamond" w:hAnsi="Garamond"/>
          <w:bCs/>
          <w:i/>
          <w:sz w:val="24"/>
          <w:szCs w:val="24"/>
          <w:lang w:val="en-GB"/>
        </w:rPr>
        <w:t>Systematic Review Methodology</w:t>
      </w:r>
      <w:bookmarkEnd w:id="24"/>
      <w:bookmarkEnd w:id="25"/>
      <w:bookmarkEnd w:id="26"/>
    </w:p>
    <w:p w14:paraId="7F4D7DEE" w14:textId="77777777" w:rsidR="00CF726B" w:rsidRPr="009672FC" w:rsidRDefault="007549AA" w:rsidP="005C5F35">
      <w:pPr>
        <w:pStyle w:val="MDPI18keywords"/>
        <w:spacing w:before="0" w:line="360" w:lineRule="auto"/>
        <w:ind w:left="0"/>
        <w:rPr>
          <w:rFonts w:ascii="Garamond" w:hAnsi="Garamond"/>
          <w:noProof/>
          <w:sz w:val="24"/>
          <w:szCs w:val="24"/>
        </w:rPr>
      </w:pPr>
      <w:r w:rsidRPr="009672FC">
        <w:rPr>
          <w:rFonts w:ascii="Garamond" w:hAnsi="Garamond"/>
          <w:sz w:val="24"/>
          <w:szCs w:val="24"/>
          <w:lang w:val="en-GB"/>
        </w:rPr>
        <w:t xml:space="preserve">Because innovation in inter-organizational business network cuts across various disciplines, the consolidation of </w:t>
      </w:r>
      <w:r w:rsidR="00CF726B" w:rsidRPr="009672FC">
        <w:rPr>
          <w:rFonts w:ascii="Garamond" w:hAnsi="Garamond"/>
          <w:sz w:val="24"/>
          <w:szCs w:val="24"/>
          <w:lang w:val="en-GB"/>
        </w:rPr>
        <w:t>pieces of literature</w:t>
      </w:r>
      <w:r w:rsidRPr="009672FC">
        <w:rPr>
          <w:rFonts w:ascii="Garamond" w:hAnsi="Garamond"/>
          <w:sz w:val="24"/>
          <w:szCs w:val="24"/>
          <w:lang w:val="en-GB"/>
        </w:rPr>
        <w:t xml:space="preserve"> from various domains increases the methodical robustness of the systematic review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author":[{"dropping-particle":"","family":"Kraus","given":"Sascha","non-dropping-particle":"","parse-names":false,"suffix":""},{"dropping-particle":"","family":"Breier","given":"Matthias","non-dropping-particle":"","parse-names":false,"suffix":""},{"dropping-particle":"","family":"Dasí-rodríguez","given":"Sonia","non-dropping-particle":"","parse-names":false,"suffix":""}],"container-title":"International Entrepreneurship and Management Journal","id":"ITEM-1","issued":{"date-parts":[["2020"]]},"publisher":"International Entrepreneurship and Management Journal","title":"The art of crafting a systematic literature review in entrepreneurship research","type":"article-journal"},"uris":["http://www.mendeley.com/documents/?uuid=98a726ef-3411-4954-9c6e-656aec36256e"]}],"mendeley":{"formattedCitation":"(Kraus, Breier, et al., 2020)","manualFormatting":" (Kraus, Breier and Dasí-rodríguez, 2020)","plainTextFormattedCitation":"(Kraus, Breier, et al., 2020)","previouslyFormattedCitation":"(Kraus, Breier, et al., 2020)"},"properties":{"noteIndex":0},"schema":"https://github.com/citation-style-language/schema/raw/master/csl-citation.json"}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rPr>
        <w:t xml:space="preserve"> (Kraus, Breier and Dasí-rodríguez, 2020)</w:t>
      </w:r>
      <w:r w:rsidRPr="009672FC">
        <w:rPr>
          <w:rFonts w:ascii="Garamond" w:hAnsi="Garamond"/>
          <w:sz w:val="24"/>
          <w:szCs w:val="24"/>
          <w:lang w:val="en-GB"/>
        </w:rPr>
        <w:fldChar w:fldCharType="end"/>
      </w:r>
      <w:r w:rsidRPr="009672FC">
        <w:rPr>
          <w:rFonts w:ascii="Garamond" w:hAnsi="Garamond"/>
          <w:sz w:val="24"/>
          <w:szCs w:val="24"/>
        </w:rPr>
        <w:t xml:space="preserve">. </w:t>
      </w:r>
      <w:r w:rsidRPr="009672FC">
        <w:rPr>
          <w:rFonts w:ascii="Garamond" w:hAnsi="Garamond"/>
          <w:sz w:val="24"/>
          <w:szCs w:val="24"/>
          <w:lang w:val="en-GB"/>
        </w:rPr>
        <w:t xml:space="preserve">The nature of this collaborative relationship is characterized by heterogeneity in theoretical approach and methods, and unit of analysis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ISBN":"9783319533506","author":[{"dropping-particle":"","family":"Andreini","given":"Daniela","non-dropping-particle":"","parse-names":false,"suffix":""},{"dropping-particle":"","family":"Bettinelli","given":"Cristina","non-dropping-particle":"","parse-names":false,"suffix":""}],"id":"ITEM-1","issued":{"date-parts":[["2017"]]},"number-of-pages":"1-185","title":"Business Model Innovation: From Systematic Literature Review to Future Research Directions","type":"book"},"uris":["http://www.mendeley.com/documents/?uuid=9a89ea9c-9992-4cd8-9155-7410fc858ca3"]}],"mendeley":{"formattedCitation":"(Andreini &amp; Bettinelli, 2017)","manualFormatting":"(von Danwitz 2018; Andreini and Bettinelli, 2017)","plainTextFormattedCitation":"(Andreini &amp; Bettinelli, 2017)","previouslyFormattedCitation":"(Andreini &amp; Bettinelli, 2017)"},"properties":{"noteIndex":0},"schema":"https://github.com/citation-style-language/schema/raw/master/csl-citation.json"}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{"citationItems":[{"id":"ITEM-1","itemData":{"DOI":"10.1016/j.ijproman.2017.11.004","ISSN":"02637863","abstract":"Although the management of inter-firm projects is increasingly being researched in a wide range of academic fields (project management, alliances and networks, organization studies), the findings of these studies rarely cross theoretical boundaries. In the present study, a systematic literature review of 219 contributions from 26 years of academic research on managing inter-firm projects identifies 22 key management issues underlying its contributions. Based on a two-dimensional framework (project stage and analytical sphere), a structured and integrative synthesis of relevant studies is outlined. Based on these findings, future investigations are proposed to focus on dynamic, contextual and structural aspects of the management of inter-firm projects.","author":[{"dropping-particle":"","family":"Danwitz","given":"Simon","non-dropping-particle":"von","parse-names":false,"suffix":""}],"container-title":"International Journal of Project Management","id":"ITEM-1","issue":"3","issued":{"date-parts":[["2018"]]},"page":"525-541","publisher":"Elsevier Ltd and Association for Project Management and the International Project Management Association","title":"Managing inter-firm projects: A systematic review and directions for future research","type":"article-journal","volume":"36"},"uris":["http://www.mendeley.com/documents/?uuid=31bc8ae0-9e51-4fdd-bf39-d30bfb4c481a"]}],"mendeley":{"formattedCitation":"(von Danwitz, 2018)","manualFormatting":"von Danwitz 2018; ","plainTextFormattedCitation":"(von Danwitz, 2018)","previouslyFormattedCitation":"(von Danwitz, 2018)"},"properties":{"noteIndex":0},"schema":"https://github.com/citation-style-language/schema/raw/master/csl-citation.json"}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 xml:space="preserve">von Danwitz 2018; </w:t>
      </w:r>
      <w:r w:rsidRPr="009672FC">
        <w:rPr>
          <w:rFonts w:ascii="Garamond" w:hAnsi="Garamond"/>
          <w:noProof/>
          <w:sz w:val="24"/>
          <w:szCs w:val="24"/>
          <w:lang w:val="en-GB"/>
        </w:rPr>
        <w:fldChar w:fldCharType="end"/>
      </w:r>
      <w:r w:rsidRPr="009672FC">
        <w:rPr>
          <w:rFonts w:ascii="Garamond" w:hAnsi="Garamond"/>
          <w:noProof/>
          <w:sz w:val="24"/>
          <w:szCs w:val="24"/>
          <w:lang w:val="en-GB"/>
        </w:rPr>
        <w:t>Andreini and Bettinelli, 2017)</w:t>
      </w:r>
      <w:r w:rsidRPr="009672FC">
        <w:rPr>
          <w:rFonts w:ascii="Garamond" w:hAnsi="Garamond"/>
          <w:sz w:val="24"/>
          <w:szCs w:val="24"/>
          <w:lang w:val="en-GB"/>
        </w:rPr>
        <w:fldChar w:fldCharType="end"/>
      </w:r>
      <w:r w:rsidRPr="009672FC">
        <w:rPr>
          <w:rFonts w:ascii="Garamond" w:hAnsi="Garamond"/>
          <w:sz w:val="24"/>
          <w:szCs w:val="24"/>
          <w:lang w:val="en-GB"/>
        </w:rPr>
        <w:t xml:space="preserve">, making SLR </w:t>
      </w:r>
      <w:r w:rsidR="00CF726B" w:rsidRPr="009672FC">
        <w:rPr>
          <w:rFonts w:ascii="Garamond" w:hAnsi="Garamond"/>
          <w:sz w:val="24"/>
          <w:szCs w:val="24"/>
          <w:lang w:val="en-GB"/>
        </w:rPr>
        <w:t xml:space="preserve">an </w:t>
      </w:r>
      <w:r w:rsidRPr="009672FC">
        <w:rPr>
          <w:rFonts w:ascii="Garamond" w:hAnsi="Garamond"/>
          <w:sz w:val="24"/>
          <w:szCs w:val="24"/>
          <w:lang w:val="en-GB"/>
        </w:rPr>
        <w:t>extremely useful approach for theory development, understanding historical trend</w:t>
      </w:r>
      <w:r w:rsidR="00CF726B" w:rsidRPr="009672FC">
        <w:rPr>
          <w:rFonts w:ascii="Garamond" w:hAnsi="Garamond"/>
          <w:sz w:val="24"/>
          <w:szCs w:val="24"/>
          <w:lang w:val="en-GB"/>
        </w:rPr>
        <w:t>s</w:t>
      </w:r>
      <w:r w:rsidRPr="009672FC">
        <w:rPr>
          <w:rFonts w:ascii="Garamond" w:hAnsi="Garamond"/>
          <w:sz w:val="24"/>
          <w:szCs w:val="24"/>
          <w:lang w:val="en-GB"/>
        </w:rPr>
        <w:t xml:space="preserve">, and current research directions of the field.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author":[{"dropping-particle":"","family":"Kraus","given":"Sascha","non-dropping-particle":"","parse-names":false,"suffix":""},{"dropping-particle":"","family":"Breier","given":"Matthias","non-dropping-particle":"","parse-names":false,"suffix":""},{"dropping-particle":"","family":"Dasí-rodríguez","given":"Sonia","non-dropping-particle":"","parse-names":false,"suffix":""}],"container-title":"International Entrepreneurship and Management Journal","id":"ITEM-1","issued":{"date-parts":[["2020"]]},"publisher":"International Entrepreneurship and Management Journal","title":"The art of crafting a systematic literature review in entrepreneurship research","type":"article-journal"},"uris":["http://www.mendeley.com/documents/?uuid=98a726ef-3411-4954-9c6e-656aec36256e"]}],"mendeley":{"formattedCitation":"(Kraus, Breier, et al., 2020)","manualFormatting":" \rUnlike the traditional review, Kraus, et al. (2020)","plainTextFormattedCitation":"(Kraus, Breier, et al., 2020)","previouslyFormattedCitation":"(Kraus, Breier, et al., 2020)"},"properties":{"noteIndex":0},"schema":"https://github.com/citation-style-language/schema/raw/master/csl-citation.json"}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rPr>
        <w:t xml:space="preserve"> </w:t>
      </w:r>
    </w:p>
    <w:p w14:paraId="420530A9" w14:textId="0A49CEBB" w:rsidR="00CF726B" w:rsidRPr="009672FC" w:rsidRDefault="007549AA" w:rsidP="00CF726B">
      <w:pPr>
        <w:pStyle w:val="MDPI18keywords"/>
        <w:spacing w:line="360" w:lineRule="auto"/>
        <w:ind w:left="0"/>
        <w:rPr>
          <w:rFonts w:ascii="Garamond" w:hAnsi="Garamond"/>
          <w:sz w:val="24"/>
          <w:szCs w:val="24"/>
        </w:rPr>
      </w:pPr>
      <w:r w:rsidRPr="009672FC">
        <w:rPr>
          <w:rFonts w:ascii="Garamond" w:hAnsi="Garamond"/>
          <w:noProof/>
          <w:sz w:val="24"/>
          <w:szCs w:val="24"/>
          <w:lang w:val="en-GB"/>
        </w:rPr>
        <w:t>Unlike the traditional review</w:t>
      </w:r>
      <w:r w:rsidRPr="009672FC">
        <w:rPr>
          <w:rFonts w:ascii="Garamond" w:hAnsi="Garamond"/>
          <w:noProof/>
          <w:sz w:val="24"/>
          <w:szCs w:val="24"/>
        </w:rPr>
        <w:t>, Kraus, et al. (2020)</w:t>
      </w:r>
      <w:r w:rsidRPr="009672FC">
        <w:rPr>
          <w:rFonts w:ascii="Garamond" w:hAnsi="Garamond"/>
          <w:sz w:val="24"/>
          <w:szCs w:val="24"/>
          <w:lang w:val="en-GB"/>
        </w:rPr>
        <w:fldChar w:fldCharType="end"/>
      </w:r>
      <w:r w:rsidRPr="009672FC">
        <w:rPr>
          <w:rFonts w:ascii="Garamond" w:hAnsi="Garamond"/>
          <w:sz w:val="24"/>
          <w:szCs w:val="24"/>
        </w:rPr>
        <w:t xml:space="preserve"> describe </w:t>
      </w:r>
      <w:r w:rsidR="00CF726B" w:rsidRPr="009672FC">
        <w:rPr>
          <w:rFonts w:ascii="Garamond" w:hAnsi="Garamond"/>
          <w:sz w:val="24"/>
          <w:szCs w:val="24"/>
        </w:rPr>
        <w:t xml:space="preserve">the </w:t>
      </w:r>
      <w:r w:rsidRPr="009672FC">
        <w:rPr>
          <w:rFonts w:ascii="Garamond" w:hAnsi="Garamond"/>
          <w:sz w:val="24"/>
          <w:szCs w:val="24"/>
        </w:rPr>
        <w:t>SLR approach as one involve</w:t>
      </w:r>
      <w:r w:rsidR="00CF726B" w:rsidRPr="009672FC">
        <w:rPr>
          <w:rFonts w:ascii="Garamond" w:hAnsi="Garamond"/>
          <w:sz w:val="24"/>
          <w:szCs w:val="24"/>
        </w:rPr>
        <w:t>d</w:t>
      </w:r>
      <w:r w:rsidRPr="009672FC">
        <w:rPr>
          <w:rFonts w:ascii="Garamond" w:hAnsi="Garamond"/>
          <w:sz w:val="24"/>
          <w:szCs w:val="24"/>
        </w:rPr>
        <w:t xml:space="preserve"> in reviewing “an existing body of literature that follows a transparent and reproducible methodology</w:t>
      </w:r>
      <w:r w:rsidRPr="009672FC">
        <w:rPr>
          <w:rFonts w:ascii="Garamond" w:hAnsi="Garamond"/>
          <w:sz w:val="24"/>
          <w:szCs w:val="24"/>
          <w:lang w:val="en-GB"/>
        </w:rPr>
        <w:t xml:space="preserve"> </w:t>
      </w:r>
      <w:r w:rsidRPr="009672FC">
        <w:rPr>
          <w:rFonts w:ascii="Garamond" w:hAnsi="Garamond"/>
          <w:sz w:val="24"/>
          <w:szCs w:val="24"/>
        </w:rPr>
        <w:t>in searching, assessing its quality and synthesizing it, with a high level of objectivity” (p. 4). Following several studies, objective paper selection criteria w</w:t>
      </w:r>
      <w:r w:rsidR="00CF726B" w:rsidRPr="009672FC">
        <w:rPr>
          <w:rFonts w:ascii="Garamond" w:hAnsi="Garamond"/>
          <w:sz w:val="24"/>
          <w:szCs w:val="24"/>
        </w:rPr>
        <w:t>ere</w:t>
      </w:r>
      <w:r w:rsidRPr="009672FC">
        <w:rPr>
          <w:rFonts w:ascii="Garamond" w:hAnsi="Garamond"/>
          <w:sz w:val="24"/>
          <w:szCs w:val="24"/>
        </w:rPr>
        <w:t xml:space="preserve"> used to improve the robustness of the SLR approach and minimize the exclusion bias associated with a traditional review  (e.g., Kraus, et al.,2020;</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author":[{"dropping-particle":"","family":"Tranfield","given":"David","non-dropping-particle":"","parse-names":false,"suffix":""},{"dropping-particle":"","family":"Denyer","given":"David","non-dropping-particle":"","parse-names":false,"suffix":""},{"dropping-particle":"","family":"Smart","given":"Palminder","non-dropping-particle":"","parse-names":false,"suffix":""}],"container-title":"British Journal of Management","id":"ITEM-1","issued":{"date-parts":[["2003"]]},"page":"207-222","title":"Towards a Methodology for Developing Evidence-Informed Management Knowledge by Means of Systematic Review","type":"article-journal","volume":"14"},"uris":["http://www.mendeley.com/documents/?uuid=96491f49-2b05-420c-930d-c152cde7c34b"]}],"mendeley":{"formattedCitation":"(Tranfield, Denyer, &amp; Smart, 2003)","manualFormatting":" Tranfield, Denyer and Smart, 2003)","plainTextFormattedCitation":"(Tranfield, Denyer, &amp; Smart, 2003)","previouslyFormattedCitation":"(Tranfield et al.,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Tranfield, Denyer and Smart, 2003)</w:t>
      </w:r>
      <w:r w:rsidRPr="009672FC">
        <w:rPr>
          <w:rFonts w:ascii="Garamond" w:hAnsi="Garamond"/>
          <w:sz w:val="24"/>
          <w:szCs w:val="24"/>
        </w:rPr>
        <w:fldChar w:fldCharType="end"/>
      </w:r>
      <w:r w:rsidRPr="009672FC">
        <w:rPr>
          <w:rFonts w:ascii="Garamond" w:hAnsi="Garamond"/>
          <w:sz w:val="24"/>
          <w:szCs w:val="24"/>
        </w:rPr>
        <w:t>. For instance, we follow Kraus, et al. (2020) three steps of SLR in this research:</w:t>
      </w:r>
      <w:r w:rsidRPr="009672FC">
        <w:rPr>
          <w:rFonts w:ascii="Garamond" w:hAnsi="Garamond"/>
          <w:i/>
          <w:iCs/>
          <w:sz w:val="24"/>
          <w:szCs w:val="24"/>
        </w:rPr>
        <w:t xml:space="preserve"> planning the review</w:t>
      </w:r>
      <w:r w:rsidRPr="009672FC">
        <w:rPr>
          <w:rFonts w:ascii="Garamond" w:hAnsi="Garamond"/>
          <w:sz w:val="24"/>
          <w:szCs w:val="24"/>
        </w:rPr>
        <w:t xml:space="preserve">, </w:t>
      </w:r>
      <w:r w:rsidRPr="009672FC">
        <w:rPr>
          <w:rFonts w:ascii="Garamond" w:hAnsi="Garamond"/>
          <w:i/>
          <w:iCs/>
          <w:sz w:val="24"/>
          <w:szCs w:val="24"/>
        </w:rPr>
        <w:t>conducting the review</w:t>
      </w:r>
      <w:r w:rsidRPr="009672FC">
        <w:rPr>
          <w:rFonts w:ascii="Garamond" w:hAnsi="Garamond"/>
          <w:sz w:val="24"/>
          <w:szCs w:val="24"/>
        </w:rPr>
        <w:t xml:space="preserve">, and </w:t>
      </w:r>
      <w:r w:rsidRPr="009672FC">
        <w:rPr>
          <w:rFonts w:ascii="Garamond" w:hAnsi="Garamond"/>
          <w:i/>
          <w:iCs/>
          <w:sz w:val="24"/>
          <w:szCs w:val="24"/>
        </w:rPr>
        <w:t>reporting the findings</w:t>
      </w:r>
      <w:r w:rsidRPr="009672FC">
        <w:rPr>
          <w:rFonts w:ascii="Garamond" w:hAnsi="Garamond"/>
          <w:sz w:val="24"/>
          <w:szCs w:val="24"/>
        </w:rPr>
        <w:t>.</w:t>
      </w:r>
    </w:p>
    <w:p w14:paraId="328C011B" w14:textId="15AF0C02" w:rsidR="003D5DE8" w:rsidRDefault="007549AA" w:rsidP="00CF726B">
      <w:pPr>
        <w:pStyle w:val="MDPI18keywords"/>
        <w:spacing w:line="360" w:lineRule="auto"/>
        <w:ind w:left="0"/>
        <w:rPr>
          <w:rFonts w:ascii="Garamond" w:hAnsi="Garamond"/>
          <w:sz w:val="24"/>
          <w:szCs w:val="24"/>
        </w:rPr>
      </w:pPr>
      <w:r w:rsidRPr="009672FC">
        <w:rPr>
          <w:rFonts w:ascii="Garamond" w:hAnsi="Garamond"/>
          <w:sz w:val="24"/>
          <w:szCs w:val="24"/>
          <w:lang w:val="en-GB"/>
        </w:rPr>
        <w:t xml:space="preserve">To complement SLR, </w:t>
      </w:r>
      <w:r w:rsidR="002663FA" w:rsidRPr="009672FC">
        <w:rPr>
          <w:rFonts w:ascii="Garamond" w:hAnsi="Garamond"/>
          <w:sz w:val="24"/>
          <w:szCs w:val="24"/>
          <w:lang w:val="en-GB"/>
        </w:rPr>
        <w:t xml:space="preserve">a </w:t>
      </w:r>
      <w:r w:rsidRPr="009672FC">
        <w:rPr>
          <w:rFonts w:ascii="Garamond" w:hAnsi="Garamond"/>
          <w:sz w:val="24"/>
          <w:szCs w:val="24"/>
          <w:lang w:val="en-GB"/>
        </w:rPr>
        <w:t xml:space="preserve">bibliometric analysis was employed </w:t>
      </w:r>
      <w:r w:rsidRPr="009672FC">
        <w:rPr>
          <w:rFonts w:ascii="Garamond" w:hAnsi="Garamond"/>
          <w:sz w:val="24"/>
          <w:szCs w:val="24"/>
        </w:rPr>
        <w:t xml:space="preserve">for developing trends in a research field, journal, topics, highly cited papers, authors, institutions, and countries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10.1007/s11846-020-00406-z","ISBN":"0123456789","ISSN":"1863-6691","author":[{"dropping-particle":"","family":"Mas","given":"Alicia","non-dropping-particle":"","parse-names":false,"suffix":""},{"dropping-particle":"","family":"Sascha","given":"Tur","non-dropping-particle":"","parse-names":false,"suffix":""},{"dropping-particle":"","family":"Mario","given":"Kraus","non-dropping-particle":"","parse-names":false,"suffix":""},{"dropping-particle":"","family":"Ralf","given":"Brandtner","non-dropping-particle":"","parse-names":false,"suffix":""},{"dropping-particle":"","family":"Kürsten","given":"Wolfgang","non-dropping-particle":"","parse-names":false,"suffix":""}],"container-title":"Review of Managerial Science","id":"ITEM-1","issue":"0123456789","issued":{"date-parts":[["2020"]]},"publisher":"Springer Berlin Heidelberg","title":"Advances in management research : a bibliometric overview of the Review of Managerial Science","type":"article-journal"},"uris":["http://www.mendeley.com/documents/?uuid=70f57e4f-568a-47f6-8ff4-8b0a0207ff0e"]}],"mendeley":{"formattedCitation":"(Mas et al., 2020)","plainTextFormattedCitation":"(Mas et al., 2020)","previouslyFormattedCitation":"(Mas et al.,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en-GB"/>
        </w:rPr>
        <w:t>(Mas et al., 2020)</w:t>
      </w:r>
      <w:r w:rsidRPr="009672FC">
        <w:rPr>
          <w:rFonts w:ascii="Garamond" w:hAnsi="Garamond"/>
          <w:sz w:val="24"/>
          <w:szCs w:val="24"/>
        </w:rPr>
        <w:fldChar w:fldCharType="end"/>
      </w:r>
      <w:r w:rsidRPr="009672FC">
        <w:rPr>
          <w:rFonts w:ascii="Garamond" w:hAnsi="Garamond"/>
          <w:sz w:val="24"/>
          <w:szCs w:val="24"/>
          <w:lang w:val="en-GB"/>
        </w:rPr>
        <w:t xml:space="preserve">. It also enables the identification of papers and journals in terms of the network and inter-relationships on a given research theme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{"citationItems":[{"id":"ITEM-1","itemData":{"DOI":"10.1007/s11192-009-0146-3","ISSN":"01389130","PMID":"20585380","abstract":"We present VOSviewer, a freely available computer program that we have developed for constructing and viewing bibliometric maps. Unlike most computer programs that are used for bibliometric mapping, VOSviewer pays special attention to the graphical representation of bibliometric maps. The functionality of VOSviewer is especially useful for displaying large bibliometric maps in an easy-to-interpret way. The paper consists of three parts. In the first part, an overview of VOSviewer's functionality for displaying bibliometric maps is provided. In the second part, the technical implementation of specific parts of the program is discussed. Finally, in the third part, VOSviewer's ability to handle large maps is demonstrated by using the program to construct and display a co-citation map of 5,000 major scientific journals. © 2009 The Author(s).","author":[{"dropping-particle":"","family":"Eck","given":"Nees Jan","non-dropping-particle":"van","parse-names":false,"suffix":""},{"dropping-particle":"","family":"Waltman","given":"Ludo","non-dropping-particle":"","parse-names":false,"suffix":""}],"container-title":"Scientometrics","id":"ITEM-1","issue":"2","issued":{"date-parts":[["2010"]]},"page":"523-538","title":"Software survey: VOSviewer, a computer program for bibliometric mapping","type":"article-journal","volume":"84"},"uris":["http://www.mendeley.com/documents/?uuid=36325613-afa4-4390-b2b5-919515d8a663"]}],"mendeley":{"formattedCitation":"(van Eck &amp; Waltman, 2010)","plainTextFormattedCitation":"(van Eck &amp; Waltman, 2010)","previouslyFormattedCitation":"(van Eck &amp; Waltman, 2010)"},"properties":{"noteIndex":0},"schema":"https://github.com/citation-style-language/schema/raw/master/csl-citation.json"}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rPr>
        <w:t>(van Eck &amp; Waltman, 2010)</w:t>
      </w:r>
      <w:r w:rsidRPr="009672FC">
        <w:rPr>
          <w:rFonts w:ascii="Garamond" w:hAnsi="Garamond"/>
          <w:sz w:val="24"/>
          <w:szCs w:val="24"/>
          <w:lang w:val="en-GB"/>
        </w:rPr>
        <w:fldChar w:fldCharType="end"/>
      </w:r>
      <w:r w:rsidRPr="009672FC">
        <w:rPr>
          <w:rFonts w:ascii="Garamond" w:hAnsi="Garamond"/>
          <w:sz w:val="24"/>
          <w:szCs w:val="24"/>
        </w:rPr>
        <w:t xml:space="preserve">. In that regard, researchers used VOSviewer, a popular tool for performing various bibliometric techniques used in social science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10.1007/s11846-020-00406-z","ISBN":"0123456789","ISSN":"1863-6691","author":[{"dropping-particle":"","family":"Mas","given":"Alicia","non-dropping-particle":"","parse-names":false,"suffix":""},{"dropping-particle":"","family":"Sascha","given":"Tur","non-dropping-particle":"","parse-names":false,"suffix":""},{"dropping-particle":"","family":"Mario","given":"Kraus","non-dropping-particle":"","parse-names":false,"suffix":""},{"dropping-particle":"","family":"Ralf","given":"Brandtner","non-dropping-particle":"","parse-names":false,"suffix":""},{"dropping-particle":"","family":"Kürsten","given":"Wolfgang","non-dropping-particle":"","parse-names":false,"suffix":""}],"container-title":"Review of Managerial Science","id":"ITEM-1","issue":"0123456789","issued":{"date-parts":[["2020"]]},"publisher":"Springer Berlin Heidelberg","title":"Advances in management research : a bibliometric overview of the Review of Managerial Science","type":"article-journal"},"uris":["http://www.mendeley.com/documents/?uuid=70f57e4f-568a-47f6-8ff4-8b0a0207ff0e"]}],"mendeley":{"formattedCitation":"(Mas et al., 2020)","manualFormatting":"(e.g., Mas et al., 2020; van Eck and Waltman, 2010)","plainTextFormattedCitation":"(Mas et al., 2020)","previouslyFormattedCitation":"(Mas et al.,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en-GB"/>
        </w:rPr>
        <w:t xml:space="preserve">(e.g., Mas </w:t>
      </w:r>
      <w:r w:rsidRPr="009672FC">
        <w:rPr>
          <w:rFonts w:ascii="Garamond" w:hAnsi="Garamond"/>
          <w:i/>
          <w:noProof/>
          <w:sz w:val="24"/>
          <w:szCs w:val="24"/>
          <w:lang w:val="en-GB"/>
        </w:rPr>
        <w:t>et al.</w:t>
      </w:r>
      <w:r w:rsidRPr="009672FC">
        <w:rPr>
          <w:rFonts w:ascii="Garamond" w:hAnsi="Garamond"/>
          <w:noProof/>
          <w:sz w:val="24"/>
          <w:szCs w:val="24"/>
          <w:lang w:val="en-GB"/>
        </w:rPr>
        <w:t xml:space="preserve">, 2020;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{"citationItems":[{"id":"ITEM-1","itemData":{"DOI":"10.1007/s11192-009-0146-3","ISSN":"01389130","PMID":"20585380","abstract":"We present VOSviewer, a freely available computer program that we have developed for constructing and viewing bibliometric maps. Unlike most computer programs that are used for bibliometric mapping, VOSviewer pays special attention to the graphical representation of bibliometric maps. The functionality of VOSviewer is especially useful for displaying large bibliometric maps in an easy-to-interpret way. The paper consists of three parts. In the first part, an overview of VOSviewer's functionality for displaying bibliometric maps is provided. In the second part, the technical implementation of specific parts of the program is discussed. Finally, in the third part, VOSviewer's ability to handle large maps is demonstrated by using the program to construct and display a co-citation map of 5,000 major scientific journals. © 2009 The Author(s).","author":[{"dropping-particle":"","family":"Eck","given":"Nees Jan","non-dropping-particle":"van","parse-names":false,"suffix":""},{"dropping-particle":"","family":"Waltman","given":"Ludo","non-dropping-particle":"","parse-names":false,"suffix":""}],"container-title":"Scientometrics","id":"ITEM-1","issue":"2","issued":{"date-parts":[["2010"]]},"page":"523-538","title":"Software survey: VOSviewer, a computer program for bibliometric mapping","type":"article-journal","volume":"84"},"uris":["http://www.mendeley.com/documents/?uuid=36325613-afa4-4390-b2b5-919515d8a663"]}],"mendeley":{"formattedCitation":"(van Eck &amp; Waltman, 2010)","manualFormatting":"van Eck and Waltman, 2010)","plainTextFormattedCitation":"(van Eck &amp; Waltman, 2010)","previouslyFormattedCitation":"(van Eck &amp; Waltman, 2010)"},"properties":{"noteIndex":0},"schema":"https://github.com/citation-style-language/schema/raw/master/csl-citation.json"}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rPr>
        <w:t>van Eck and Waltman, 2010)</w:t>
      </w:r>
      <w:r w:rsidRPr="009672FC">
        <w:rPr>
          <w:rFonts w:ascii="Garamond" w:hAnsi="Garamond"/>
          <w:noProof/>
          <w:sz w:val="24"/>
          <w:szCs w:val="24"/>
          <w:lang w:val="en-GB"/>
        </w:rPr>
        <w:fldChar w:fldCharType="end"/>
      </w:r>
      <w:r w:rsidRPr="009672FC">
        <w:rPr>
          <w:rFonts w:ascii="Garamond" w:hAnsi="Garamond"/>
          <w:sz w:val="24"/>
          <w:szCs w:val="24"/>
        </w:rPr>
        <w:fldChar w:fldCharType="end"/>
      </w:r>
      <w:r w:rsidRPr="009672FC">
        <w:rPr>
          <w:rFonts w:ascii="Garamond" w:hAnsi="Garamond"/>
          <w:sz w:val="24"/>
          <w:szCs w:val="24"/>
        </w:rPr>
        <w:t>.</w:t>
      </w:r>
    </w:p>
    <w:p w14:paraId="776C60FF" w14:textId="13D2004A" w:rsidR="003422C8" w:rsidRDefault="003422C8" w:rsidP="003422C8">
      <w:pPr>
        <w:rPr>
          <w:lang w:eastAsia="de-DE" w:bidi="en-US"/>
        </w:rPr>
      </w:pPr>
    </w:p>
    <w:p w14:paraId="7A61CEDA" w14:textId="77777777" w:rsidR="003422C8" w:rsidRPr="003422C8" w:rsidRDefault="003422C8" w:rsidP="003422C8">
      <w:pPr>
        <w:rPr>
          <w:lang w:eastAsia="de-DE" w:bidi="en-US"/>
        </w:rPr>
      </w:pPr>
    </w:p>
    <w:p w14:paraId="401346D8" w14:textId="21F4E8C3" w:rsidR="003D5DE8" w:rsidRPr="009672FC" w:rsidRDefault="007549AA" w:rsidP="005C5F35">
      <w:pPr>
        <w:pStyle w:val="MDPI18keywords"/>
        <w:numPr>
          <w:ilvl w:val="2"/>
          <w:numId w:val="8"/>
        </w:numPr>
        <w:spacing w:line="360" w:lineRule="auto"/>
        <w:outlineLvl w:val="2"/>
        <w:rPr>
          <w:rFonts w:ascii="Garamond" w:hAnsi="Garamond"/>
          <w:b/>
          <w:bCs/>
          <w:sz w:val="24"/>
          <w:szCs w:val="24"/>
        </w:rPr>
      </w:pPr>
      <w:bookmarkStart w:id="27" w:name="_Toc85708704"/>
      <w:bookmarkStart w:id="28" w:name="_Toc85709718"/>
      <w:r w:rsidRPr="009672FC">
        <w:rPr>
          <w:rFonts w:ascii="Garamond" w:hAnsi="Garamond"/>
          <w:b/>
          <w:bCs/>
          <w:i/>
          <w:iCs/>
          <w:sz w:val="24"/>
          <w:szCs w:val="24"/>
        </w:rPr>
        <w:lastRenderedPageBreak/>
        <w:t>Planning the Review</w:t>
      </w:r>
      <w:bookmarkEnd w:id="27"/>
      <w:bookmarkEnd w:id="28"/>
    </w:p>
    <w:p w14:paraId="68E8524E" w14:textId="77777777" w:rsidR="00CF726B" w:rsidRPr="009672FC" w:rsidRDefault="007549AA" w:rsidP="005C5F35">
      <w:pPr>
        <w:pStyle w:val="MDPI18keywords"/>
        <w:spacing w:before="0" w:line="360" w:lineRule="auto"/>
        <w:ind w:left="0"/>
        <w:rPr>
          <w:rFonts w:ascii="Garamond" w:hAnsi="Garamond"/>
          <w:sz w:val="24"/>
          <w:szCs w:val="24"/>
          <w:lang w:val="en-GB"/>
        </w:rPr>
      </w:pPr>
      <w:r w:rsidRPr="009672FC">
        <w:rPr>
          <w:rFonts w:ascii="Garamond" w:hAnsi="Garamond"/>
          <w:sz w:val="24"/>
          <w:szCs w:val="24"/>
        </w:rPr>
        <w:t xml:space="preserve">The identification of the selected search keywords was the first step of </w:t>
      </w:r>
      <w:r w:rsidR="00CF726B" w:rsidRPr="009672FC">
        <w:rPr>
          <w:rFonts w:ascii="Garamond" w:hAnsi="Garamond"/>
          <w:sz w:val="24"/>
          <w:szCs w:val="24"/>
        </w:rPr>
        <w:t xml:space="preserve">the </w:t>
      </w:r>
      <w:r w:rsidRPr="009672FC">
        <w:rPr>
          <w:rFonts w:ascii="Garamond" w:hAnsi="Garamond"/>
          <w:sz w:val="24"/>
          <w:szCs w:val="24"/>
        </w:rPr>
        <w:t xml:space="preserve">SLR process. Because innovation in inter-organizational business network is a multidimensional construct </w:t>
      </w:r>
      <w:r w:rsidRPr="009672FC">
        <w:rPr>
          <w:rFonts w:ascii="Garamond" w:hAnsi="Garamond"/>
          <w:sz w:val="20"/>
        </w:rPr>
        <w:fldChar w:fldCharType="begin" w:fldLock="1"/>
      </w:r>
      <w:r w:rsidRPr="009672FC">
        <w:rPr>
          <w:rFonts w:ascii="Garamond" w:hAnsi="Garamond"/>
          <w:sz w:val="24"/>
          <w:szCs w:val="24"/>
        </w:rPr>
        <w:instrText>ADDIN CSL_CITATION {"citationItems":[{"id":"ITEM-1","itemData":{"ISBN":"9783319533506","author":[{"dropping-particle":"","family":"Andreini","given":"Daniela","non-dropping-particle":"","parse-names":false,"suffix":""},{"dropping-particle":"","family":"Bettinelli","given":"Cristina","non-dropping-particle":"","parse-names":false,"suffix":""}],"id":"ITEM-1","issued":{"date-parts":[["2017"]]},"number-of-pages":"1-185","title":"Business Model Innovation: From Systematic Literature Review to Future Research Directions","type":"book"},"uris":["http://www.mendeley.com/documents/?uuid=9a89ea9c-9992-4cd8-9155-7410fc858ca3"]}],"mendeley":{"formattedCitation":"(Andreini &amp; Bettinelli, 2017)","manualFormatting":"(","plainTextFormattedCitation":"(Andreini &amp; Bettinelli, 2017)","previouslyFormattedCitation":"(Andreini &amp; Bettinelli,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en-GB"/>
        </w:rPr>
        <w:t>(</w:t>
      </w:r>
      <w:r w:rsidRPr="009672FC">
        <w:rPr>
          <w:rFonts w:ascii="Garamond" w:hAnsi="Garamond"/>
          <w:sz w:val="24"/>
          <w:szCs w:val="24"/>
        </w:rPr>
        <w:fldChar w:fldCharType="end"/>
      </w:r>
      <w:r w:rsidRPr="009672FC">
        <w:rPr>
          <w:rFonts w:ascii="Garamond" w:hAnsi="Garamond"/>
          <w:sz w:val="20"/>
        </w:rPr>
        <w:fldChar w:fldCharType="begin" w:fldLock="1"/>
      </w:r>
      <w:r w:rsidRPr="009672FC">
        <w:rPr>
          <w:rFonts w:ascii="Garamond" w:hAnsi="Garamond"/>
          <w:sz w:val="24"/>
          <w:szCs w:val="24"/>
        </w:rPr>
        <w:instrText>ADDIN CSL_CITATION {"citationItems":[{"id":"ITEM-1","itemData":{"author":[{"dropping-particle":"","family":"Tranfield","given":"David","non-dropping-particle":"","parse-names":false,"suffix":""},{"dropping-particle":"","family":"Denyer","given":"David","non-dropping-particle":"","parse-names":false,"suffix":""},{"dropping-particle":"","family":"Smart","given":"Palminder","non-dropping-particle":"","parse-names":false,"suffix":""}],"container-title":"British Journal of Management","id":"ITEM-1","issued":{"date-parts":[["2003"]]},"page":"207-222","title":"Towards a Methodology for Developing Evidence-Informed Management Knowledge by Means of Systematic Review","type":"article-journal","volume":"14"},"uris":["http://www.mendeley.com/documents/?uuid=96491f49-2b05-420c-930d-c152cde7c34b"]}],"mendeley":{"formattedCitation":"(Tranfield et al., 2003)","manualFormatting":"Andreini and Bettinelli, 2017)","plainTextFormattedCitation":"(Tranfield et al., 2003)","previouslyFormattedCitation":"(Tranfield et al.,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ISBN":"9783319533506","author":[{"dropping-particle":"","family":"Andreini","given":"Daniela","non-dropping-particle":"","parse-names":false,"suffix":""},{"dropping-particle":"","family":"Bettinelli","given":"Cristina","non-dropping-particle":"","parse-names":false,"suffix":""}],"id":"ITEM-1","issued":{"date-parts":[["2017"]]},"number-of-pages":"1-185","title":"Business Model Innovation: From Systematic Literature Review to Future Research Directions","type":"book"},"uris":["http://www.mendeley.com/documents/?uuid=9a89ea9c-9992-4cd8-9155-7410fc858ca3"]}],"mendeley":{"formattedCitation":"(Andreini &amp; Bettinelli, 2017)","manualFormatting":"Andreini and Bettinelli, 2017","plainTextFormattedCitation":"(Andreini &amp; Bettinelli, 2017)","previouslyFormattedCitation":"(Andreini &amp; Bettinelli, 2017)"},"properties":{"noteIndex":0},"schema":"https://github.com/citation-style-language/schema/raw/master/csl-citation.json"}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lang w:val="en-GB"/>
        </w:rPr>
        <w:t>Andreini and Bettinelli, 2017</w:t>
      </w:r>
      <w:r w:rsidRPr="009672FC">
        <w:rPr>
          <w:rFonts w:ascii="Garamond" w:hAnsi="Garamond"/>
          <w:noProof/>
          <w:sz w:val="24"/>
          <w:szCs w:val="24"/>
        </w:rPr>
        <w:fldChar w:fldCharType="end"/>
      </w:r>
      <w:r w:rsidRPr="009672FC">
        <w:rPr>
          <w:rFonts w:ascii="Garamond" w:hAnsi="Garamond"/>
          <w:noProof/>
          <w:sz w:val="24"/>
          <w:szCs w:val="24"/>
          <w:lang w:val="en-GB"/>
        </w:rPr>
        <w:t>)</w:t>
      </w:r>
      <w:r w:rsidRPr="009672FC">
        <w:rPr>
          <w:rFonts w:ascii="Garamond" w:hAnsi="Garamond"/>
          <w:sz w:val="24"/>
          <w:szCs w:val="24"/>
        </w:rPr>
        <w:fldChar w:fldCharType="end"/>
      </w:r>
      <w:r w:rsidRPr="009672FC">
        <w:rPr>
          <w:rFonts w:ascii="Garamond" w:hAnsi="Garamond"/>
          <w:sz w:val="24"/>
          <w:szCs w:val="24"/>
          <w:lang w:val="en-GB"/>
        </w:rPr>
        <w:t xml:space="preserve"> which </w:t>
      </w:r>
      <w:r w:rsidRPr="009672FC">
        <w:rPr>
          <w:rFonts w:ascii="Garamond" w:hAnsi="Garamond"/>
          <w:sz w:val="24"/>
          <w:szCs w:val="24"/>
        </w:rPr>
        <w:t>characterizes keywords such as “</w:t>
      </w:r>
      <w:r w:rsidRPr="009672FC">
        <w:rPr>
          <w:rFonts w:ascii="Garamond" w:hAnsi="Garamond"/>
          <w:sz w:val="24"/>
          <w:szCs w:val="24"/>
          <w:lang w:val="en-GB"/>
        </w:rPr>
        <w:t xml:space="preserve">inter-firm network”, “inter-organizational network”, “inter-firm business network”, “inter-organizational innovation network.” </w:t>
      </w:r>
    </w:p>
    <w:p w14:paraId="0D434C59" w14:textId="4F96F168" w:rsidR="00EB5D6B" w:rsidRPr="003422C8" w:rsidRDefault="007549AA" w:rsidP="003422C8">
      <w:pPr>
        <w:pStyle w:val="MDPI18keywords"/>
        <w:spacing w:line="360" w:lineRule="auto"/>
        <w:ind w:left="0"/>
        <w:rPr>
          <w:rFonts w:ascii="Garamond" w:hAnsi="Garamond"/>
          <w:sz w:val="24"/>
          <w:szCs w:val="24"/>
        </w:rPr>
      </w:pPr>
      <w:r w:rsidRPr="009672FC">
        <w:rPr>
          <w:rFonts w:ascii="Garamond" w:hAnsi="Garamond"/>
          <w:sz w:val="24"/>
          <w:szCs w:val="24"/>
          <w:lang w:val="en-GB"/>
        </w:rPr>
        <w:t xml:space="preserve">These are terms interchangeably used in several prior research from various fields of engineering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{"citationItems":[{"id":"ITEM-1","itemData":{"DOI":"10.1016/j.sbspro.2014.10.041","ISSN":"18770428","abstract":"Critical success factors (CSFs) are inputs to project management practice which can lead directly or indirectly to project success. It encompasses many elements, which have to be synchronized to ensure the project delivery on time. The purpose of this study is to identify the extent of the relationship between CSFs and project performance. The research findings will be expected to assist the organization in evaluating the performance of project management. Finally, the conceptual framework was developed by identifying five (5) variables for project success namely Project Management Action, Project Procedures, Human Factors, External Issues and Project Related Factors.","author":[{"dropping-particle":"","family":"Alias","given":"Zarina","non-dropping-particle":"","parse-names":false,"suffix":""},{"dropping-particle":"","family":"Zawawi","given":"E.M.A.","non-dropping-particle":"","parse-names":false,"suffix":""},{"dropping-particle":"","family":"Yusof","given":"Khalid","non-dropping-particle":"","parse-names":false,"suffix":""},{"dropping-particle":"","family":"Aris","given":"N.M.","non-dropping-particle":"","parse-names":false,"suffix":""}],"container-title":"Procedia - Social and Behavioral Sciences","id":"ITEM-1","issued":{"date-parts":[["2014"]]},"page":"61-69","publisher":"Elsevier B.V.","title":"Determining Critical Success Factors of Project Management Practice: A Conceptual Framework","type":"article-journal","volume":"153"},"uris":["http://www.mendeley.com/documents/?uuid=f5a6267c-47bf-488c-aec5-92fafcd15543"]}],"mendeley":{"formattedCitation":"(Alias, Zawawi, Yusof, &amp; Aris, 2014)","manualFormatting":"(Alias et al., 2014; Shenhar and Dvir, 1996)","plainTextFormattedCitation":"(Alias, Zawawi, Yusof, &amp; Aris, 2014)","previouslyFormattedCitation":"(Alias et al., 2014)"},"properties":{"noteIndex":0},"schema":"https://github.com/citation-style-language/schema/raw/master/csl-citation.json"}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(Alias </w:t>
      </w:r>
      <w:r w:rsidRPr="009672FC">
        <w:rPr>
          <w:rFonts w:ascii="Garamond" w:hAnsi="Garamond"/>
          <w:i/>
          <w:noProof/>
          <w:sz w:val="24"/>
          <w:szCs w:val="24"/>
          <w:lang w:val="en-GB"/>
        </w:rPr>
        <w:t>et al.</w:t>
      </w:r>
      <w:r w:rsidRPr="009672FC">
        <w:rPr>
          <w:rFonts w:ascii="Garamond" w:hAnsi="Garamond"/>
          <w:noProof/>
          <w:sz w:val="24"/>
          <w:szCs w:val="24"/>
          <w:lang w:val="en-GB"/>
        </w:rPr>
        <w:t xml:space="preserve">, 2014;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{"citationItems":[{"id":"ITEM-1","itemData":{"DOI":"10.1016/0048-7333(95)00877-2","ISSN":"00487333","abstract":"A traditional categorization of innovation as either incremental or radical has often been mentioned in the theoretical literature of innovation. A similar distinction has not become standard, however, in the project management literature and many publications on the management of projects tend to assume that all projects are fundamentally similar. In reality, however, projects exhibit considerable variation, and their specific management styles seem anything but universal. As a step towards the development of a project management theory, we present here a two-dimensional typology to define the wide spectrum of today's projects and their various management styles. Using a combination of qualitative and quantitative methods and two data sets, we identify a set of 'ideal types' and real-world variants of these types. We show that the framework of this research can be subjected to quantitative modeling and rigorous empirical testing, and that it meets most of the criteria of a developed typological theory. Furthermore, such theory will particularly be useful in predicting the dependent variable - i.e. project effectiveness.","author":[{"dropping-particle":"","family":"Shenhar","given":"Aaron J.","non-dropping-particle":"","parse-names":false,"suffix":""},{"dropping-particle":"","family":"Dvir","given":"Dov","non-dropping-particle":"","parse-names":false,"suffix":""}],"container-title":"Research Policy","id":"ITEM-1","issue":"4","issued":{"date-parts":[["1996"]]},"page":"607-632","title":"Toward a typological theory of project management","type":"article-journal","volume":"25"},"uris":["http://www.mendeley.com/documents/?uuid=10e8d786-4e68-44e1-9473-66b48dc6156c"]}],"mendeley":{"formattedCitation":"(Shenhar &amp; Dvir, 1996)","manualFormatting":"Shenhar and Dvir, 1996)","plainTextFormattedCitation":"(Shenhar &amp; Dvir, 1996)","previouslyFormattedCitation":"(Shenhar &amp; Dvir, 1996)"},"properties":{"noteIndex":0},"schema":"https://github.com/citation-style-language/schema/raw/master/csl-citation.json"}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Shenhar and Dvir, 1996)</w:t>
      </w:r>
      <w:r w:rsidRPr="009672FC">
        <w:rPr>
          <w:rFonts w:ascii="Garamond" w:hAnsi="Garamond"/>
          <w:noProof/>
          <w:sz w:val="24"/>
          <w:szCs w:val="24"/>
          <w:lang w:val="en-GB"/>
        </w:rPr>
        <w:fldChar w:fldCharType="end"/>
      </w:r>
      <w:r w:rsidRPr="009672FC">
        <w:rPr>
          <w:rFonts w:ascii="Garamond" w:hAnsi="Garamond"/>
          <w:sz w:val="24"/>
          <w:szCs w:val="24"/>
          <w:lang w:val="en-GB"/>
        </w:rPr>
        <w:fldChar w:fldCharType="end"/>
      </w:r>
      <w:r w:rsidRPr="009672FC">
        <w:rPr>
          <w:rFonts w:ascii="Garamond" w:hAnsi="Garamond"/>
          <w:sz w:val="24"/>
          <w:szCs w:val="24"/>
          <w:lang w:val="en-GB"/>
        </w:rPr>
        <w:t xml:space="preserve">, construction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{"citationItems":[{"id":"ITEM-1","itemData":{"DOI":"10.1016/s0048-7333(00)00115-3","ISSN":"00487333","abstract":"Concern about the poor performance of the construction industry, in the UK and elsewhere, is coming at a time when its customers are demanding more and projects are becoming increasingly complex. Many of the industry's performance problems stem from inadequate inter-organisational co-operation. The paper explores the problems and solutions in aligning the construction industry more closely to its customers in CoPS-type projects. Using the example of a high value, high complexity offshore oilfield construction project, the paper examines the use of 'partnering' as a tool for stimulating performance gains at the project level and innovation and learning benefits at the organisational level. © 2000 Elsevier Science B.V.","author":[{"dropping-particle":"","family":"Barlow","given":"James","non-dropping-particle":"","parse-names":false,"suffix":""}],"container-title":"Research Policy","id":"ITEM-1","issue":"7-8","issued":{"date-parts":[["2000"]]},"page":"973-989","title":"Innovation and learning in complex offshore construction projects","type":"article-journal","volume":"29"},"uris":["http://www.mendeley.com/documents/?uuid=a2359463-151c-4809-b894-2382a6c76884"]}],"mendeley":{"formattedCitation":"(Barlow, 2000)","manualFormatting":"(Barlow, 2000;","plainTextFormattedCitation":"(Barlow, 2000)","previouslyFormattedCitation":"(Barlow, 2000)"},"properties":{"noteIndex":0},"schema":"https://github.com/citation-style-language/schema/raw/master/csl-citation.json"}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(Barlow, 2000;</w:t>
      </w:r>
      <w:r w:rsidRPr="009672FC">
        <w:rPr>
          <w:rFonts w:ascii="Garamond" w:hAnsi="Garamond"/>
          <w:sz w:val="24"/>
          <w:szCs w:val="24"/>
          <w:lang w:val="en-GB"/>
        </w:rPr>
        <w:fldChar w:fldCharType="end"/>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{"citationItems":[{"id":"ITEM-1","itemData":{"DOI":"10.1080/0144619032000056144","ISBN":"0144619032","ISSN":"01446193","abstract":"This paper examines the individual firm's motivation to adopt innovation in a construction project, and the inter-organizational interactions of relevant parties involved in innovation. Based on the theory of organizational motivation and inter-organizational relationships, seven hypotheses are set out. These hypotheses are tested using a structured questionnaire, and data were collected via a postal survey. From the results, it is concluded that an innovative proposal may be successfully implemented in the project if effort is put into carrying the innovation through, and there are high expected goals, favourable results and high commitment. Firms need to be motivated to adopt the innovation, be optimistic about the results and exert additional effort. Incentives for the supporting parties need to be substantial to persuade them to participate in the innovation. In addition, the innovation should be designed such that it could draw all upstream and downstream parties together, and all their interests are looked after in the project.","author":[{"dropping-particle":"","family":"Dulaimi","given":"Mohammed Fadhil","non-dropping-particle":"","parse-names":false,"suffix":""},{"dropping-particle":"","family":"Ling","given":"Florence Y.Y.","non-dropping-particle":"","parse-names":false,"suffix":""},{"dropping-particle":"","family":"Bajracharya","given":"Arun","non-dropping-particle":"","parse-names":false,"suffix":""}],"container-title":"Construction Management and Economics","id":"ITEM-1","issue":"3","issued":{"date-parts":[["2003"]]},"page":"307-318","title":"Organizational motivation and inter-organizational interaction in construction innovation in Singapore","type":"article-journal","volume":"21"},"uris":["http://www.mendeley.com/documents/?uuid=53b35b92-411a-49b1-a98e-5a1a82adeb1c"]}],"mendeley":{"formattedCitation":"(Dulaimi, Ling, &amp; Bajracharya, 2003)","manualFormatting":" Dulaimi, Ling and Bajracharya, 2003)","plainTextFormattedCitation":"(Dulaimi, Ling, &amp; Bajracharya, 2003)","previouslyFormattedCitation":"(Dulaimi et al., 2003)"},"properties":{"noteIndex":0},"schema":"https://github.com/citation-style-language/schema/raw/master/csl-citation.json"}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 Dulaimi, Ling and Bajracharya, 2003)</w:t>
      </w:r>
      <w:r w:rsidRPr="009672FC">
        <w:rPr>
          <w:rFonts w:ascii="Garamond" w:hAnsi="Garamond"/>
          <w:sz w:val="24"/>
          <w:szCs w:val="24"/>
          <w:lang w:val="en-GB"/>
        </w:rPr>
        <w:fldChar w:fldCharType="end"/>
      </w:r>
      <w:r w:rsidRPr="009672FC">
        <w:rPr>
          <w:rFonts w:ascii="Garamond" w:hAnsi="Garamond"/>
          <w:sz w:val="24"/>
          <w:szCs w:val="24"/>
          <w:lang w:val="en-GB"/>
        </w:rPr>
        <w:t xml:space="preserve">, biotechnology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{"citationItems":[{"id":"ITEM-1","itemData":{"DOI":"10.1080/19420862.2017.1356527","ISSN":"19420870","abstract":"© 2017 Taylor &amp; Francis Group, LLC. We investigated the evolution process of collaborative inter-organizational network of the research and development (R&amp;D) on monoclonal antibody (mAb) over the past 30 y. The annual detection of the collaboration network provides dynamics on network structures and relationship changes among different organizations. Our research showed continuous growth of the network's scale and complexity due to the constant entry of new organizations and the forging of new partnering relationships. The evolving topological features reveal a core-periphery structure that became clearer over time and an increasing heterogeneity within the collaborative mAb R&amp;D network. As measured by the number of network participants, dedicated biotechnology firms (DBFs) were the dominant organization form in the field of mAb development, but their average centrality was reduced during the period of 2004–2009, when pharmaceutical companies took over the positions of DBFs. Along with the network evolution, 2 waves of substitution on the leading positions were driven by technological innovations and mergers and acquisitions (M&amp;A). In addition, this study analyzed organizational-level behaviors to help understand the evolution of network structures over the field of mAb development across the different technologically innovative or economic contexts.","author":[{"dropping-particle":"","family":"Kong","given":"Xiangjun","non-dropping-particle":"","parse-names":false,"suffix":""},{"dropping-particle":"","family":"Wan","given":"Jian bo","non-dropping-particle":"","parse-names":false,"suffix":""},{"dropping-particle":"","family":"Hu","given":"Hao","non-dropping-particle":"","parse-names":false,"suffix":""},{"dropping-particle":"","family":"Su","given":"Shibing","non-dropping-particle":"","parse-names":false,"suffix":""},{"dropping-particle":"","family":"Hu","given":"Yuanjia","non-dropping-particle":"","parse-names":false,"suffix":""}],"container-title":"MABS","id":"ITEM-1","issue":"7","issued":{"date-parts":[["2017"]]},"page":"1041-1051","publisher":"Taylor &amp; Francis","title":"Evolving patterns in a collaboration network of global R&amp;D on monoclonal antibodies","type":"article-journal","volume":"9"},"uris":["http://www.mendeley.com/documents/?uuid=86543542-361b-484b-bdfe-7bf9ead3cb07"]}],"mendeley":{"formattedCitation":"(Kong, Wan, Hu, Su, &amp; Hu, 2017)","plainTextFormattedCitation":"(Kong, Wan, Hu, Su, &amp; Hu, 2017)","previouslyFormattedCitation":"(Kong et al., 2017)"},"properties":{"noteIndex":0},"schema":"https://github.com/citation-style-language/schema/raw/master/csl-citation.json"}</w:instrText>
      </w:r>
      <w:r w:rsidRPr="009672FC">
        <w:rPr>
          <w:rFonts w:ascii="Garamond" w:hAnsi="Garamond"/>
          <w:sz w:val="24"/>
          <w:szCs w:val="24"/>
          <w:lang w:val="en-GB"/>
        </w:rPr>
        <w:fldChar w:fldCharType="separate"/>
      </w:r>
      <w:r w:rsidR="00813D37" w:rsidRPr="009672FC">
        <w:rPr>
          <w:rFonts w:ascii="Garamond" w:hAnsi="Garamond"/>
          <w:noProof/>
          <w:sz w:val="24"/>
          <w:szCs w:val="24"/>
          <w:lang w:val="en-GB"/>
        </w:rPr>
        <w:t>(Kong, Wan, Hu, Su, &amp; Hu, 2017)</w:t>
      </w:r>
      <w:r w:rsidRPr="009672FC">
        <w:rPr>
          <w:rFonts w:ascii="Garamond" w:hAnsi="Garamond"/>
          <w:sz w:val="24"/>
          <w:szCs w:val="24"/>
          <w:lang w:val="en-GB"/>
        </w:rPr>
        <w:fldChar w:fldCharType="end"/>
      </w:r>
      <w:r w:rsidRPr="009672FC">
        <w:rPr>
          <w:rFonts w:ascii="Garamond" w:hAnsi="Garamond"/>
          <w:sz w:val="24"/>
          <w:szCs w:val="24"/>
          <w:lang w:val="en-GB"/>
        </w:rPr>
        <w:t xml:space="preserve">, creative industry like film making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{"citationItems":[{"id":"ITEM-1","itemData":{"DOI":"10.1287/orsc.1050.0149","ISSN":"10477039","abstract":"Temporary organizations are known to provide flexibility for industries that rely on them, but we know little about their implications for how work is accomplished and coordinated. In this paper, I propose that common portrayals of temporary organizations as ephemeral and unstable are inaccurate: Temporary organizations are in fact organized around structured role systems whose nuances are negotiated in situ. This paper analyzes one type of temporary organization, film projects, exploring the way in which roles both organize immediate work and maintain continuity across different projects. On each film set, role expectations are communicated through practices of enthusiastic thanking, polite admonishing, and role-oriented joking, which enable crew members to learn and negotiate role structures. Two important structural characteristics of film projects provide the organizational context within which coordination takes place: interorganizational career progression and projects as temporary total institutions. By showing how these structural elements and role enactments support one another, this work generates a more complete understanding of the conditions that affect coordination, including role duration, expectations of future interaction, and visibility of work. © 2006 INFORMS.","author":[{"dropping-particle":"","family":"Bechky","given":"Beth A.","non-dropping-particle":"","parse-names":false,"suffix":""}],"container-title":"Organization Science","id":"ITEM-1","issue":"1","issued":{"date-parts":[["2006"]]},"page":"3-21","title":"Gaffers, Gofers, and Grips: Role-Based Coordination in Temporary Organizations","type":"article-journal","volume":"17"},"uris":["http://www.mendeley.com/documents/?uuid=7c9a81f4-44b2-4f4f-8ef1-b04542e63457"]}],"mendeley":{"formattedCitation":"(Bechky, 2006)","manualFormatting":"(Bechky, 2006;","plainTextFormattedCitation":"(Bechky, 2006)","previouslyFormattedCitation":"(Bechky, 2006)"},"properties":{"noteIndex":0},"schema":"https://github.com/citation-style-language/schema/raw/master/csl-citation.json"}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(Bechky, 2006;</w:t>
      </w:r>
      <w:r w:rsidRPr="009672FC">
        <w:rPr>
          <w:rFonts w:ascii="Garamond" w:hAnsi="Garamond"/>
          <w:sz w:val="24"/>
          <w:szCs w:val="24"/>
          <w:lang w:val="en-GB"/>
        </w:rPr>
        <w:fldChar w:fldCharType="end"/>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{"citationItems":[{"id":"ITEM-1","itemData":{"DOI":"10.1080/13662710802373833","ISSN":"13662716","abstract":"The main aim of the paper is to contribute to the literature on project-based organizations (PBOs), concerning how temporary organizations are nested in an organizational setting that involves interpersonal and inter-organizational networks. Special attention is paid to the performing arts. A PBO is defined here as an organization that uses a one-shot method of organizing transactions, created by the ability of a permanent organization to design an organizational setting using the existing social and productive net. This may be considered a latent, informal network, based on reputation-driven interpersonal relationships. The paper also attempts to explore the relationship between the organizational capabilities to deploy latent networks and their economic performance. The empirical context is live music performances in the Veneto region. The analysis relates to the population of singers who have worked with an organization at least once in 2003, performing at an artistic event within this region. Using statistical techniques and network analysis tools, the analysis reveals the existence of a network of creativity, where the ability of the organizations to deploy latent networks supports their economic performance.","author":[{"dropping-particle":"","family":"Sedita","given":"Silvia R.","non-dropping-particle":"","parse-names":false,"suffix":""}],"container-title":"Industry and Innovation","id":"ITEM-1","issue":"5","issued":{"date-parts":[["2008"]]},"page":"493-511","title":"Interpersonal and inter-organizational networks in the performing arts: The case of project-based organizations in the live music industry","type":"article-journal","volume":"15"},"uris":["http://www.mendeley.com/documents/?uuid=7d3a810d-0b1b-46c9-b44b-52a67666644c"]}],"mendeley":{"formattedCitation":"(Sedita, 2008)","manualFormatting":" Sedita, 2008)","plainTextFormattedCitation":"(Sedita, 2008)","previouslyFormattedCitation":"(Sedita, 2008)"},"properties":{"noteIndex":0},"schema":"https://github.com/citation-style-language/schema/raw/master/csl-citation.json"}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 Sedita, 2008)</w:t>
      </w:r>
      <w:r w:rsidRPr="009672FC">
        <w:rPr>
          <w:rFonts w:ascii="Garamond" w:hAnsi="Garamond"/>
          <w:sz w:val="24"/>
          <w:szCs w:val="24"/>
          <w:lang w:val="en-GB"/>
        </w:rPr>
        <w:fldChar w:fldCharType="end"/>
      </w:r>
      <w:r w:rsidRPr="009672FC">
        <w:rPr>
          <w:rFonts w:ascii="Garamond" w:hAnsi="Garamond"/>
          <w:sz w:val="24"/>
          <w:szCs w:val="24"/>
          <w:lang w:val="en-GB"/>
        </w:rPr>
        <w:t xml:space="preserve">, etc. These keywords were first used in a pilot search using </w:t>
      </w:r>
      <w:r w:rsidR="005C5F35" w:rsidRPr="009672FC">
        <w:rPr>
          <w:rFonts w:ascii="Garamond" w:hAnsi="Garamond"/>
          <w:sz w:val="24"/>
          <w:szCs w:val="24"/>
          <w:lang w:val="en-GB"/>
        </w:rPr>
        <w:t>Web of Science and ScienceDirect</w:t>
      </w:r>
      <w:r w:rsidRPr="009672FC">
        <w:rPr>
          <w:rFonts w:ascii="Garamond" w:hAnsi="Garamond"/>
          <w:sz w:val="24"/>
          <w:szCs w:val="24"/>
          <w:lang w:val="en-GB"/>
        </w:rPr>
        <w:t xml:space="preserve"> scholarly database</w:t>
      </w:r>
      <w:r w:rsidR="005C5F35" w:rsidRPr="009672FC">
        <w:rPr>
          <w:rFonts w:ascii="Garamond" w:hAnsi="Garamond"/>
          <w:sz w:val="24"/>
          <w:szCs w:val="24"/>
          <w:lang w:val="en-GB"/>
        </w:rPr>
        <w:t>s</w:t>
      </w:r>
      <w:r w:rsidRPr="009672FC">
        <w:rPr>
          <w:rFonts w:ascii="Garamond" w:hAnsi="Garamond"/>
          <w:sz w:val="24"/>
          <w:szCs w:val="24"/>
          <w:lang w:val="en-GB"/>
        </w:rPr>
        <w:t>. The expert review of the terms results in the adoption of the terms such as “inter-firm network”, “inter-organizational business network”, “inter-firm business network”</w:t>
      </w:r>
      <w:r w:rsidR="005C5F35" w:rsidRPr="009672FC">
        <w:rPr>
          <w:rFonts w:ascii="Garamond" w:hAnsi="Garamond"/>
          <w:sz w:val="24"/>
          <w:szCs w:val="24"/>
          <w:lang w:val="en-GB"/>
        </w:rPr>
        <w:t xml:space="preserve"> “innovation ecosystem”</w:t>
      </w:r>
      <w:r w:rsidRPr="009672FC">
        <w:rPr>
          <w:rFonts w:ascii="Garamond" w:hAnsi="Garamond"/>
          <w:sz w:val="24"/>
          <w:szCs w:val="24"/>
          <w:lang w:val="en-GB"/>
        </w:rPr>
        <w:t xml:space="preserve">, separated by a Boolean operator (AND) “innovation” as the final list of selected search terms used in this research. </w:t>
      </w:r>
      <w:r w:rsidRPr="009672FC">
        <w:rPr>
          <w:rFonts w:ascii="Garamond" w:hAnsi="Garamond"/>
          <w:sz w:val="24"/>
          <w:szCs w:val="24"/>
        </w:rPr>
        <w:t xml:space="preserve">This combination of search terms helps this research to scoop out all papers relevant to this study. </w:t>
      </w:r>
    </w:p>
    <w:p w14:paraId="6B77E849" w14:textId="0A4A79E8" w:rsidR="005C5F35" w:rsidRPr="003422C8" w:rsidRDefault="00EB5D6B" w:rsidP="003422C8">
      <w:pPr>
        <w:pStyle w:val="Caption"/>
        <w:keepNext/>
        <w:spacing w:before="240"/>
        <w:jc w:val="center"/>
        <w:rPr>
          <w:rFonts w:ascii="Garamond" w:hAnsi="Garamond"/>
          <w:sz w:val="22"/>
          <w:szCs w:val="22"/>
        </w:rPr>
      </w:pPr>
      <w:bookmarkStart w:id="29" w:name="_Toc85711309"/>
      <w:r w:rsidRPr="003422C8">
        <w:rPr>
          <w:rFonts w:ascii="Garamond" w:hAnsi="Garamond"/>
          <w:sz w:val="22"/>
          <w:szCs w:val="22"/>
        </w:rPr>
        <w:t xml:space="preserve">Table </w:t>
      </w:r>
      <w:r w:rsidR="00C10BC3" w:rsidRPr="003422C8">
        <w:rPr>
          <w:rFonts w:ascii="Garamond" w:hAnsi="Garamond"/>
          <w:sz w:val="22"/>
          <w:szCs w:val="22"/>
        </w:rPr>
        <w:fldChar w:fldCharType="begin"/>
      </w:r>
      <w:r w:rsidR="00C10BC3" w:rsidRPr="003422C8">
        <w:rPr>
          <w:rFonts w:ascii="Garamond" w:hAnsi="Garamond"/>
          <w:sz w:val="22"/>
          <w:szCs w:val="22"/>
        </w:rPr>
        <w:instrText xml:space="preserve"> SEQ Table \* ARABIC </w:instrText>
      </w:r>
      <w:r w:rsidR="00C10BC3" w:rsidRPr="003422C8">
        <w:rPr>
          <w:rFonts w:ascii="Garamond" w:hAnsi="Garamond"/>
          <w:sz w:val="22"/>
          <w:szCs w:val="22"/>
        </w:rPr>
        <w:fldChar w:fldCharType="separate"/>
      </w:r>
      <w:r w:rsidR="001C1648">
        <w:rPr>
          <w:rFonts w:ascii="Garamond" w:hAnsi="Garamond"/>
          <w:noProof/>
          <w:sz w:val="22"/>
          <w:szCs w:val="22"/>
        </w:rPr>
        <w:t>2</w:t>
      </w:r>
      <w:r w:rsidR="00C10BC3" w:rsidRPr="003422C8">
        <w:rPr>
          <w:rFonts w:ascii="Garamond" w:hAnsi="Garamond"/>
          <w:noProof/>
          <w:sz w:val="22"/>
          <w:szCs w:val="22"/>
        </w:rPr>
        <w:fldChar w:fldCharType="end"/>
      </w:r>
      <w:r w:rsidRPr="003422C8">
        <w:rPr>
          <w:rFonts w:ascii="Garamond" w:hAnsi="Garamond"/>
          <w:sz w:val="22"/>
          <w:szCs w:val="22"/>
        </w:rPr>
        <w:t xml:space="preserve">. Material </w:t>
      </w:r>
      <w:r w:rsidR="00852A0F">
        <w:rPr>
          <w:rFonts w:ascii="Garamond" w:hAnsi="Garamond"/>
          <w:sz w:val="22"/>
          <w:szCs w:val="22"/>
        </w:rPr>
        <w:t>S</w:t>
      </w:r>
      <w:r w:rsidRPr="003422C8">
        <w:rPr>
          <w:rFonts w:ascii="Garamond" w:hAnsi="Garamond"/>
          <w:sz w:val="22"/>
          <w:szCs w:val="22"/>
        </w:rPr>
        <w:t>earch</w:t>
      </w:r>
      <w:bookmarkEnd w:id="29"/>
    </w:p>
    <w:tbl>
      <w:tblPr>
        <w:tblStyle w:val="TableGrid"/>
        <w:tblW w:w="7554" w:type="dxa"/>
        <w:jc w:val="center"/>
        <w:tblLook w:val="04A0" w:firstRow="1" w:lastRow="0" w:firstColumn="1" w:lastColumn="0" w:noHBand="0" w:noVBand="1"/>
      </w:tblPr>
      <w:tblGrid>
        <w:gridCol w:w="2680"/>
        <w:gridCol w:w="4874"/>
      </w:tblGrid>
      <w:tr w:rsidR="005C5F35" w:rsidRPr="009672FC" w14:paraId="2BAADA41" w14:textId="77777777" w:rsidTr="005C5F35">
        <w:trPr>
          <w:trHeight w:val="684"/>
          <w:jc w:val="center"/>
        </w:trPr>
        <w:tc>
          <w:tcPr>
            <w:tcW w:w="2680" w:type="dxa"/>
            <w:tcBorders>
              <w:left w:val="nil"/>
              <w:bottom w:val="single" w:sz="4" w:space="0" w:color="auto"/>
              <w:right w:val="nil"/>
            </w:tcBorders>
          </w:tcPr>
          <w:p w14:paraId="721728D6" w14:textId="77777777" w:rsidR="005C5F35" w:rsidRPr="009672FC" w:rsidRDefault="005C5F35" w:rsidP="00EC14F7">
            <w:pPr>
              <w:spacing w:line="276" w:lineRule="auto"/>
              <w:jc w:val="center"/>
              <w:rPr>
                <w:rFonts w:ascii="Garamond" w:hAnsi="Garamond"/>
              </w:rPr>
            </w:pPr>
            <w:r w:rsidRPr="009672FC">
              <w:rPr>
                <w:rFonts w:ascii="Garamond" w:hAnsi="Garamond"/>
              </w:rPr>
              <w:t xml:space="preserve"> </w:t>
            </w:r>
            <w:r w:rsidRPr="009672FC">
              <w:rPr>
                <w:rFonts w:ascii="Garamond" w:hAnsi="Garamond"/>
                <w:b/>
                <w:i/>
              </w:rPr>
              <w:t>Search keywords used</w:t>
            </w:r>
          </w:p>
        </w:tc>
        <w:tc>
          <w:tcPr>
            <w:tcW w:w="4874" w:type="dxa"/>
            <w:tcBorders>
              <w:left w:val="nil"/>
              <w:bottom w:val="single" w:sz="4" w:space="0" w:color="auto"/>
              <w:right w:val="nil"/>
            </w:tcBorders>
          </w:tcPr>
          <w:p w14:paraId="7D867E5E" w14:textId="5C044C07" w:rsidR="005C5F35" w:rsidRPr="009672FC" w:rsidRDefault="005C5F35" w:rsidP="00EC14F7">
            <w:pPr>
              <w:spacing w:line="276" w:lineRule="auto"/>
              <w:jc w:val="center"/>
              <w:rPr>
                <w:rFonts w:ascii="Garamond" w:hAnsi="Garamond"/>
              </w:rPr>
            </w:pPr>
            <w:r w:rsidRPr="009672FC">
              <w:rPr>
                <w:rFonts w:ascii="Garamond" w:hAnsi="Garamond"/>
                <w:b/>
                <w:i/>
              </w:rPr>
              <w:t xml:space="preserve">(“innovation project” AND “inter-firm network” OR “inter-organizational relationship” OR </w:t>
            </w:r>
            <w:r w:rsidRPr="009672FC">
              <w:rPr>
                <w:rFonts w:ascii="Garamond" w:hAnsi="Garamond"/>
                <w:b/>
                <w:bCs/>
                <w:i/>
                <w:iCs/>
                <w:lang w:val="en-GB"/>
              </w:rPr>
              <w:t>“innovation ecosystem”</w:t>
            </w:r>
            <w:r w:rsidRPr="009672FC">
              <w:rPr>
                <w:rFonts w:ascii="Garamond" w:hAnsi="Garamond"/>
                <w:b/>
                <w:i/>
              </w:rPr>
              <w:t xml:space="preserve"> “business network”)</w:t>
            </w:r>
          </w:p>
        </w:tc>
      </w:tr>
      <w:tr w:rsidR="005C5F35" w:rsidRPr="009672FC" w14:paraId="14C57D93" w14:textId="77777777" w:rsidTr="005C5F35">
        <w:trPr>
          <w:trHeight w:val="370"/>
          <w:jc w:val="center"/>
        </w:trPr>
        <w:tc>
          <w:tcPr>
            <w:tcW w:w="2680" w:type="dxa"/>
            <w:tcBorders>
              <w:left w:val="nil"/>
              <w:bottom w:val="single" w:sz="4" w:space="0" w:color="auto"/>
              <w:right w:val="nil"/>
            </w:tcBorders>
          </w:tcPr>
          <w:p w14:paraId="5483BE10" w14:textId="77777777" w:rsidR="005C5F35" w:rsidRPr="009672FC" w:rsidRDefault="005C5F35" w:rsidP="00EC14F7">
            <w:pPr>
              <w:spacing w:line="276" w:lineRule="auto"/>
              <w:rPr>
                <w:rFonts w:ascii="Garamond" w:hAnsi="Garamond"/>
              </w:rPr>
            </w:pPr>
            <w:r w:rsidRPr="009672FC">
              <w:rPr>
                <w:rFonts w:ascii="Garamond" w:hAnsi="Garamond"/>
              </w:rPr>
              <w:t>Date range</w:t>
            </w:r>
          </w:p>
        </w:tc>
        <w:tc>
          <w:tcPr>
            <w:tcW w:w="4874" w:type="dxa"/>
            <w:tcBorders>
              <w:left w:val="nil"/>
              <w:bottom w:val="single" w:sz="4" w:space="0" w:color="auto"/>
              <w:right w:val="nil"/>
            </w:tcBorders>
          </w:tcPr>
          <w:p w14:paraId="5D1F4C78" w14:textId="68644169" w:rsidR="005C5F35" w:rsidRPr="009672FC" w:rsidRDefault="005C5F35" w:rsidP="00EC14F7">
            <w:pPr>
              <w:spacing w:line="276" w:lineRule="auto"/>
              <w:jc w:val="both"/>
              <w:rPr>
                <w:rFonts w:ascii="Garamond" w:hAnsi="Garamond"/>
              </w:rPr>
            </w:pPr>
            <w:r w:rsidRPr="009672FC">
              <w:rPr>
                <w:rFonts w:ascii="Garamond" w:hAnsi="Garamond"/>
              </w:rPr>
              <w:t>Papers published from 1992-July 2021</w:t>
            </w:r>
          </w:p>
        </w:tc>
      </w:tr>
      <w:tr w:rsidR="005C5F35" w:rsidRPr="009672FC" w14:paraId="476EEBB1" w14:textId="77777777" w:rsidTr="005C5F35">
        <w:trPr>
          <w:trHeight w:val="354"/>
          <w:jc w:val="center"/>
        </w:trPr>
        <w:tc>
          <w:tcPr>
            <w:tcW w:w="2680" w:type="dxa"/>
            <w:tcBorders>
              <w:left w:val="nil"/>
              <w:right w:val="nil"/>
            </w:tcBorders>
          </w:tcPr>
          <w:p w14:paraId="776F2C0B" w14:textId="77777777" w:rsidR="005C5F35" w:rsidRPr="009672FC" w:rsidRDefault="005C5F35" w:rsidP="00EC14F7">
            <w:pPr>
              <w:spacing w:line="276" w:lineRule="auto"/>
              <w:rPr>
                <w:rFonts w:ascii="Garamond" w:hAnsi="Garamond"/>
              </w:rPr>
            </w:pPr>
            <w:r w:rsidRPr="009672FC">
              <w:rPr>
                <w:rFonts w:ascii="Garamond" w:hAnsi="Garamond"/>
              </w:rPr>
              <w:t>ScienceDirect database</w:t>
            </w:r>
          </w:p>
        </w:tc>
        <w:tc>
          <w:tcPr>
            <w:tcW w:w="4874" w:type="dxa"/>
            <w:tcBorders>
              <w:left w:val="nil"/>
              <w:right w:val="nil"/>
            </w:tcBorders>
          </w:tcPr>
          <w:p w14:paraId="7EF9924F" w14:textId="77777777" w:rsidR="005C5F35" w:rsidRPr="009672FC" w:rsidRDefault="005C5F35" w:rsidP="00EC14F7">
            <w:pPr>
              <w:spacing w:line="276" w:lineRule="auto"/>
              <w:jc w:val="center"/>
              <w:rPr>
                <w:rFonts w:ascii="Garamond" w:hAnsi="Garamond"/>
              </w:rPr>
            </w:pPr>
            <w:r w:rsidRPr="009672FC">
              <w:rPr>
                <w:rFonts w:ascii="Garamond" w:hAnsi="Garamond"/>
              </w:rPr>
              <w:t>651 hits</w:t>
            </w:r>
          </w:p>
        </w:tc>
      </w:tr>
      <w:tr w:rsidR="005C5F35" w:rsidRPr="009672FC" w14:paraId="56A49F33" w14:textId="77777777" w:rsidTr="005C5F35">
        <w:trPr>
          <w:trHeight w:val="338"/>
          <w:jc w:val="center"/>
        </w:trPr>
        <w:tc>
          <w:tcPr>
            <w:tcW w:w="2680" w:type="dxa"/>
            <w:tcBorders>
              <w:left w:val="nil"/>
              <w:right w:val="nil"/>
            </w:tcBorders>
          </w:tcPr>
          <w:p w14:paraId="0554BD0C" w14:textId="77777777" w:rsidR="005C5F35" w:rsidRPr="009672FC" w:rsidRDefault="005C5F35" w:rsidP="00EC14F7">
            <w:pPr>
              <w:spacing w:line="276" w:lineRule="auto"/>
              <w:rPr>
                <w:rFonts w:ascii="Garamond" w:hAnsi="Garamond"/>
              </w:rPr>
            </w:pPr>
            <w:r w:rsidRPr="009672FC">
              <w:rPr>
                <w:rFonts w:ascii="Garamond" w:hAnsi="Garamond"/>
              </w:rPr>
              <w:t>Web of Science database</w:t>
            </w:r>
          </w:p>
        </w:tc>
        <w:tc>
          <w:tcPr>
            <w:tcW w:w="4874" w:type="dxa"/>
            <w:tcBorders>
              <w:left w:val="nil"/>
              <w:right w:val="nil"/>
            </w:tcBorders>
          </w:tcPr>
          <w:p w14:paraId="1EE51D60" w14:textId="77777777" w:rsidR="005C5F35" w:rsidRPr="009672FC" w:rsidRDefault="005C5F35" w:rsidP="00EC14F7">
            <w:pPr>
              <w:spacing w:line="276" w:lineRule="auto"/>
              <w:jc w:val="center"/>
              <w:rPr>
                <w:rFonts w:ascii="Garamond" w:hAnsi="Garamond"/>
              </w:rPr>
            </w:pPr>
            <w:r w:rsidRPr="009672FC">
              <w:rPr>
                <w:rFonts w:ascii="Garamond" w:hAnsi="Garamond"/>
              </w:rPr>
              <w:t>478 hits</w:t>
            </w:r>
          </w:p>
        </w:tc>
      </w:tr>
      <w:tr w:rsidR="005C5F35" w:rsidRPr="009672FC" w14:paraId="2C7807F4" w14:textId="77777777" w:rsidTr="005C5F35">
        <w:trPr>
          <w:trHeight w:val="354"/>
          <w:jc w:val="center"/>
        </w:trPr>
        <w:tc>
          <w:tcPr>
            <w:tcW w:w="2680" w:type="dxa"/>
            <w:tcBorders>
              <w:left w:val="nil"/>
              <w:right w:val="nil"/>
            </w:tcBorders>
          </w:tcPr>
          <w:p w14:paraId="047C51A1" w14:textId="77777777" w:rsidR="005C5F35" w:rsidRPr="009672FC" w:rsidRDefault="005C5F35" w:rsidP="00EC14F7">
            <w:pPr>
              <w:spacing w:line="276" w:lineRule="auto"/>
              <w:rPr>
                <w:rFonts w:ascii="Garamond" w:hAnsi="Garamond"/>
              </w:rPr>
            </w:pPr>
            <w:r w:rsidRPr="009672FC">
              <w:rPr>
                <w:rFonts w:ascii="Garamond" w:hAnsi="Garamond"/>
              </w:rPr>
              <w:t>Total hits retrieved in two databases</w:t>
            </w:r>
          </w:p>
        </w:tc>
        <w:tc>
          <w:tcPr>
            <w:tcW w:w="4874" w:type="dxa"/>
            <w:tcBorders>
              <w:left w:val="nil"/>
              <w:right w:val="nil"/>
            </w:tcBorders>
          </w:tcPr>
          <w:p w14:paraId="305448C2" w14:textId="77777777" w:rsidR="005C5F35" w:rsidRPr="009672FC" w:rsidRDefault="005C5F35" w:rsidP="00EC14F7">
            <w:pPr>
              <w:spacing w:line="276" w:lineRule="auto"/>
              <w:jc w:val="center"/>
              <w:rPr>
                <w:rFonts w:ascii="Garamond" w:hAnsi="Garamond"/>
              </w:rPr>
            </w:pPr>
            <w:r w:rsidRPr="009672FC">
              <w:rPr>
                <w:rFonts w:ascii="Garamond" w:hAnsi="Garamond"/>
              </w:rPr>
              <w:t>1,129</w:t>
            </w:r>
          </w:p>
        </w:tc>
      </w:tr>
      <w:tr w:rsidR="005C5F35" w:rsidRPr="009672FC" w14:paraId="6EF837B9" w14:textId="77777777" w:rsidTr="005C5F35">
        <w:trPr>
          <w:trHeight w:val="159"/>
          <w:jc w:val="center"/>
        </w:trPr>
        <w:tc>
          <w:tcPr>
            <w:tcW w:w="2680" w:type="dxa"/>
            <w:tcBorders>
              <w:left w:val="nil"/>
              <w:right w:val="nil"/>
            </w:tcBorders>
          </w:tcPr>
          <w:p w14:paraId="13D5EE70" w14:textId="77777777" w:rsidR="005C5F35" w:rsidRPr="009672FC" w:rsidRDefault="005C5F35" w:rsidP="00EC14F7">
            <w:pPr>
              <w:spacing w:line="276" w:lineRule="auto"/>
              <w:rPr>
                <w:rFonts w:ascii="Garamond" w:hAnsi="Garamond"/>
              </w:rPr>
            </w:pPr>
            <w:r w:rsidRPr="009672FC">
              <w:rPr>
                <w:rFonts w:ascii="Garamond" w:hAnsi="Garamond"/>
              </w:rPr>
              <w:t>Duplicates</w:t>
            </w:r>
          </w:p>
        </w:tc>
        <w:tc>
          <w:tcPr>
            <w:tcW w:w="4874" w:type="dxa"/>
            <w:tcBorders>
              <w:left w:val="nil"/>
              <w:right w:val="nil"/>
            </w:tcBorders>
          </w:tcPr>
          <w:p w14:paraId="11290D84" w14:textId="77777777" w:rsidR="005C5F35" w:rsidRPr="009672FC" w:rsidRDefault="005C5F35" w:rsidP="00EC14F7">
            <w:pPr>
              <w:spacing w:line="276" w:lineRule="auto"/>
              <w:jc w:val="center"/>
              <w:rPr>
                <w:rFonts w:ascii="Garamond" w:hAnsi="Garamond"/>
              </w:rPr>
            </w:pPr>
            <w:r w:rsidRPr="009672FC">
              <w:rPr>
                <w:rFonts w:ascii="Garamond" w:hAnsi="Garamond"/>
              </w:rPr>
              <w:t>415</w:t>
            </w:r>
          </w:p>
        </w:tc>
      </w:tr>
      <w:tr w:rsidR="005C5F35" w:rsidRPr="009672FC" w14:paraId="59C9BA69" w14:textId="77777777" w:rsidTr="005C5F35">
        <w:trPr>
          <w:trHeight w:val="338"/>
          <w:jc w:val="center"/>
        </w:trPr>
        <w:tc>
          <w:tcPr>
            <w:tcW w:w="2680" w:type="dxa"/>
            <w:tcBorders>
              <w:left w:val="nil"/>
              <w:right w:val="nil"/>
            </w:tcBorders>
          </w:tcPr>
          <w:p w14:paraId="437EABF1" w14:textId="77777777" w:rsidR="005C5F35" w:rsidRPr="009672FC" w:rsidRDefault="005C5F35" w:rsidP="00EC14F7">
            <w:pPr>
              <w:spacing w:line="276" w:lineRule="auto"/>
              <w:rPr>
                <w:rFonts w:ascii="Garamond" w:hAnsi="Garamond"/>
              </w:rPr>
            </w:pPr>
            <w:r w:rsidRPr="009672FC">
              <w:rPr>
                <w:rFonts w:ascii="Garamond" w:hAnsi="Garamond"/>
              </w:rPr>
              <w:t>Number of hits excluding duplicates</w:t>
            </w:r>
          </w:p>
        </w:tc>
        <w:tc>
          <w:tcPr>
            <w:tcW w:w="4874" w:type="dxa"/>
            <w:tcBorders>
              <w:left w:val="nil"/>
              <w:right w:val="nil"/>
            </w:tcBorders>
          </w:tcPr>
          <w:p w14:paraId="6D972094" w14:textId="77777777" w:rsidR="005C5F35" w:rsidRPr="009672FC" w:rsidRDefault="005C5F35" w:rsidP="00EC14F7">
            <w:pPr>
              <w:spacing w:line="276" w:lineRule="auto"/>
              <w:jc w:val="center"/>
              <w:rPr>
                <w:rFonts w:ascii="Garamond" w:hAnsi="Garamond"/>
              </w:rPr>
            </w:pPr>
            <w:r w:rsidRPr="009672FC">
              <w:rPr>
                <w:rFonts w:ascii="Garamond" w:hAnsi="Garamond"/>
              </w:rPr>
              <w:t>714</w:t>
            </w:r>
          </w:p>
        </w:tc>
      </w:tr>
    </w:tbl>
    <w:p w14:paraId="1222C433" w14:textId="36086BB6" w:rsidR="003D5DE8" w:rsidRPr="009672FC" w:rsidRDefault="007549AA">
      <w:pPr>
        <w:pStyle w:val="MDPI18keywords"/>
        <w:numPr>
          <w:ilvl w:val="2"/>
          <w:numId w:val="8"/>
        </w:numPr>
        <w:spacing w:line="360" w:lineRule="auto"/>
        <w:outlineLvl w:val="2"/>
        <w:rPr>
          <w:rFonts w:ascii="Garamond" w:hAnsi="Garamond"/>
          <w:sz w:val="24"/>
          <w:szCs w:val="24"/>
        </w:rPr>
      </w:pPr>
      <w:bookmarkStart w:id="30" w:name="_Toc85708705"/>
      <w:bookmarkStart w:id="31" w:name="_Toc85709719"/>
      <w:r w:rsidRPr="009672FC">
        <w:rPr>
          <w:rFonts w:ascii="Garamond" w:hAnsi="Garamond"/>
          <w:b/>
          <w:bCs/>
          <w:i/>
          <w:iCs/>
          <w:sz w:val="24"/>
          <w:szCs w:val="24"/>
        </w:rPr>
        <w:t>Conducting the Review</w:t>
      </w:r>
      <w:bookmarkEnd w:id="30"/>
      <w:bookmarkEnd w:id="31"/>
    </w:p>
    <w:p w14:paraId="4C634E5F" w14:textId="6658B3E6" w:rsidR="00CF726B" w:rsidRPr="009672FC" w:rsidRDefault="005C5F35" w:rsidP="002663FA">
      <w:pPr>
        <w:spacing w:line="360" w:lineRule="auto"/>
        <w:jc w:val="both"/>
        <w:rPr>
          <w:rFonts w:ascii="Garamond" w:hAnsi="Garamond"/>
        </w:rPr>
      </w:pPr>
      <w:r w:rsidRPr="009672FC">
        <w:rPr>
          <w:rFonts w:ascii="Garamond" w:hAnsi="Garamond"/>
        </w:rPr>
        <w:t>Web of Science and ScienceDirect</w:t>
      </w:r>
      <w:r w:rsidR="007549AA" w:rsidRPr="009672FC">
        <w:rPr>
          <w:rFonts w:ascii="Garamond" w:hAnsi="Garamond"/>
        </w:rPr>
        <w:t xml:space="preserve"> scholarly database</w:t>
      </w:r>
      <w:r w:rsidRPr="009672FC">
        <w:rPr>
          <w:rFonts w:ascii="Garamond" w:hAnsi="Garamond"/>
        </w:rPr>
        <w:t>s</w:t>
      </w:r>
      <w:r w:rsidR="007549AA" w:rsidRPr="009672FC">
        <w:rPr>
          <w:rFonts w:ascii="Garamond" w:hAnsi="Garamond"/>
        </w:rPr>
        <w:t xml:space="preserve"> w</w:t>
      </w:r>
      <w:r w:rsidRPr="009672FC">
        <w:rPr>
          <w:rFonts w:ascii="Garamond" w:hAnsi="Garamond"/>
        </w:rPr>
        <w:t>ere</w:t>
      </w:r>
      <w:r w:rsidR="007549AA" w:rsidRPr="009672FC">
        <w:rPr>
          <w:rFonts w:ascii="Garamond" w:hAnsi="Garamond"/>
        </w:rPr>
        <w:t xml:space="preserve"> used to search papers, as common database</w:t>
      </w:r>
      <w:r w:rsidRPr="009672FC">
        <w:rPr>
          <w:rFonts w:ascii="Garamond" w:hAnsi="Garamond"/>
        </w:rPr>
        <w:t>s</w:t>
      </w:r>
      <w:r w:rsidR="007549AA" w:rsidRPr="009672FC">
        <w:rPr>
          <w:rFonts w:ascii="Garamond" w:hAnsi="Garamond"/>
        </w:rPr>
        <w:t xml:space="preserve"> for scholarly articles in the social sciences domain </w:t>
      </w:r>
      <w:r w:rsidR="007549AA" w:rsidRPr="009672FC">
        <w:rPr>
          <w:rFonts w:ascii="Garamond" w:hAnsi="Garamond"/>
        </w:rPr>
        <w:fldChar w:fldCharType="begin" w:fldLock="1"/>
      </w:r>
      <w:r w:rsidR="007549AA" w:rsidRPr="009672FC">
        <w:rPr>
          <w:rFonts w:ascii="Garamond" w:hAnsi="Garamond"/>
        </w:rPr>
        <w:instrText>ADDIN CSL_CITATION {"citationItems":[{"id":"ITEM-1","itemData":{"DOI":"10.1016/j.joi.2018.03.006","ISBN":"2017082012195","ISSN":"1751-1577","author":[{"dropping-particle":"","family":"Thelwall","given":"Mike","non-dropping-particle":"","parse-names":false,"suffix":""}],"container-title":"Journal of Informetrics","id":"ITEM-1","issue":"2","issued":{"date-parts":[["2018"]]},"page":"430-435","publisher":"Elsevier Ltd","title":"Dimensions : A competitor to Scopus and the Web of Science ?","type":"article-journal","volume":"12"},"uris":["http://www.mendeley.com/documents/?uuid=9435f3c3-2b93-4fdb-957e-208358a316c3"]}],"mendeley":{"formattedCitation":"(Thelwall, 2018)","plainTextFormattedCitation":"(Thelwall, 2018)","previouslyFormattedCitation":"(Thelwall, 2018)"},"properties":{"noteIndex":0},"schema":"https://github.com/citation-style-language/schema/raw/master/csl-citation.json"}</w:instrText>
      </w:r>
      <w:r w:rsidR="007549AA" w:rsidRPr="009672FC">
        <w:rPr>
          <w:rFonts w:ascii="Garamond" w:hAnsi="Garamond"/>
        </w:rPr>
        <w:fldChar w:fldCharType="separate"/>
      </w:r>
      <w:r w:rsidR="007549AA" w:rsidRPr="009672FC">
        <w:rPr>
          <w:rFonts w:ascii="Garamond" w:hAnsi="Garamond"/>
          <w:noProof/>
          <w:lang w:val="en-GB"/>
        </w:rPr>
        <w:t>(Thelwall, 2018)</w:t>
      </w:r>
      <w:r w:rsidR="007549AA" w:rsidRPr="009672FC">
        <w:rPr>
          <w:rFonts w:ascii="Garamond" w:hAnsi="Garamond"/>
        </w:rPr>
        <w:fldChar w:fldCharType="end"/>
      </w:r>
      <w:r w:rsidR="007549AA" w:rsidRPr="009672FC">
        <w:rPr>
          <w:rFonts w:ascii="Garamond" w:hAnsi="Garamond"/>
          <w:lang w:val="en-GB"/>
        </w:rPr>
        <w:t xml:space="preserve">. In fact, researchers suggest that the scholarly database component of </w:t>
      </w:r>
      <w:r w:rsidRPr="009672FC">
        <w:rPr>
          <w:rFonts w:ascii="Garamond" w:hAnsi="Garamond"/>
          <w:lang w:val="en-GB"/>
        </w:rPr>
        <w:t>Web of Science and ScienceDirect</w:t>
      </w:r>
      <w:r w:rsidR="007549AA" w:rsidRPr="009672FC">
        <w:rPr>
          <w:rFonts w:ascii="Garamond" w:hAnsi="Garamond"/>
          <w:lang w:val="en-GB"/>
        </w:rPr>
        <w:t xml:space="preserve"> seems </w:t>
      </w:r>
      <w:r w:rsidR="00CF726B" w:rsidRPr="009672FC">
        <w:rPr>
          <w:rFonts w:ascii="Garamond" w:hAnsi="Garamond"/>
          <w:lang w:val="en-GB"/>
        </w:rPr>
        <w:t>to be</w:t>
      </w:r>
      <w:r w:rsidR="007549AA" w:rsidRPr="009672FC">
        <w:rPr>
          <w:rFonts w:ascii="Garamond" w:hAnsi="Garamond"/>
          <w:lang w:val="en-GB"/>
        </w:rPr>
        <w:t xml:space="preserve"> more “plausible alternative</w:t>
      </w:r>
      <w:r w:rsidRPr="009672FC">
        <w:rPr>
          <w:rFonts w:ascii="Garamond" w:hAnsi="Garamond"/>
          <w:lang w:val="en-GB"/>
        </w:rPr>
        <w:t>s</w:t>
      </w:r>
      <w:r w:rsidR="007549AA" w:rsidRPr="009672FC">
        <w:rPr>
          <w:rFonts w:ascii="Garamond" w:hAnsi="Garamond"/>
          <w:lang w:val="en-GB"/>
        </w:rPr>
        <w:t xml:space="preserve"> to Scopus </w:t>
      </w:r>
      <w:r w:rsidRPr="009672FC">
        <w:rPr>
          <w:rFonts w:ascii="Garamond" w:hAnsi="Garamond"/>
          <w:lang w:val="en-GB"/>
        </w:rPr>
        <w:t xml:space="preserve">database </w:t>
      </w:r>
      <w:r w:rsidR="007549AA" w:rsidRPr="009672FC">
        <w:rPr>
          <w:rFonts w:ascii="Garamond" w:hAnsi="Garamond"/>
          <w:lang w:val="en-GB"/>
        </w:rPr>
        <w:t xml:space="preserve">for general citation analyses” </w:t>
      </w:r>
      <w:r w:rsidR="007549AA" w:rsidRPr="009672FC">
        <w:rPr>
          <w:rFonts w:ascii="Garamond" w:hAnsi="Garamond"/>
        </w:rPr>
        <w:fldChar w:fldCharType="begin" w:fldLock="1"/>
      </w:r>
      <w:r w:rsidR="007549AA" w:rsidRPr="009672FC">
        <w:rPr>
          <w:rFonts w:ascii="Garamond" w:hAnsi="Garamond"/>
          <w:lang w:val="en-GB"/>
        </w:rPr>
        <w:instrText>ADDIN CSL_CITATION {"citationItems":[{"id":"ITEM-1","itemData":{"DOI":"10.1016/j.joi.2018.03.006","ISBN":"2017082012195","ISSN":"1751-1577","author":[{"dropping-particle":"","family":"Thelwall","given":"Mike","non-dropping-particle":"","parse-names":false,"suffix":""}],"container-title":"Journal of Informetrics","id":"ITEM-1","issue":"2","issued":{"date-parts":[["2018"]]},"page":"430-435","publisher":"Elsevier Ltd","title":"Dimensions : A competitor to Scopus and the Web of Science ?","type":"article-journal","volume":"12"},"uris":["http://www.mendeley.com/documents/?uuid=9435f3c3-2b93-4fdb-957e-208358a316c3"]}],"mendeley":{"formattedCitation":"(Thelwall, 2018)","manualFormatting":"(Thelwall, 2018, p.1)","plainTextFormattedCitation":"(Thelwall, 2018)","previouslyFormattedCitation":"(Thelwall, 2018)"},"properties":{"noteIndex":0},"schema":"https://github.com/citation-style-language/schema/raw/master/csl-citation.json"}</w:instrText>
      </w:r>
      <w:r w:rsidR="007549AA" w:rsidRPr="009672FC">
        <w:rPr>
          <w:rFonts w:ascii="Garamond" w:hAnsi="Garamond"/>
          <w:lang w:val="en-GB"/>
        </w:rPr>
        <w:fldChar w:fldCharType="separate"/>
      </w:r>
      <w:r w:rsidR="007549AA" w:rsidRPr="009672FC">
        <w:rPr>
          <w:rFonts w:ascii="Garamond" w:hAnsi="Garamond"/>
          <w:noProof/>
          <w:lang w:val="en-GB"/>
        </w:rPr>
        <w:t>(Thelwall, 2018, p.1)</w:t>
      </w:r>
      <w:r w:rsidR="007549AA" w:rsidRPr="009672FC">
        <w:rPr>
          <w:rFonts w:ascii="Garamond" w:hAnsi="Garamond"/>
          <w:lang w:val="en-GB"/>
        </w:rPr>
        <w:fldChar w:fldCharType="end"/>
      </w:r>
      <w:r w:rsidR="007549AA" w:rsidRPr="009672FC">
        <w:rPr>
          <w:rFonts w:ascii="Garamond" w:hAnsi="Garamond"/>
          <w:lang w:val="en-GB"/>
        </w:rPr>
        <w:t>.</w:t>
      </w:r>
      <w:r w:rsidRPr="009672FC">
        <w:rPr>
          <w:rFonts w:ascii="Garamond" w:hAnsi="Garamond"/>
        </w:rPr>
        <w:t xml:space="preserve"> These databases have become increasingly popular, particularly among researchers in the </w:t>
      </w:r>
      <w:r w:rsidRPr="009672FC">
        <w:rPr>
          <w:rFonts w:ascii="Garamond" w:hAnsi="Garamond"/>
        </w:rPr>
        <w:lastRenderedPageBreak/>
        <w:t xml:space="preserve">Management and Organization science disciplines (e.g., </w:t>
      </w:r>
      <w:r w:rsidRPr="009672FC">
        <w:rPr>
          <w:rFonts w:ascii="Garamond" w:hAnsi="Garamond"/>
        </w:rPr>
        <w:fldChar w:fldCharType="begin" w:fldLock="1"/>
      </w:r>
      <w:r w:rsidR="00813D37" w:rsidRPr="009672FC">
        <w:rPr>
          <w:rFonts w:ascii="Garamond" w:hAnsi="Garamond"/>
        </w:rPr>
        <w:instrText>ADDIN CSL_CITATION {"citationItems":[{"id":"ITEM-1","itemData":{"ISBN":"9783319533506","author":[{"dropping-particle":"","family":"Andreini","given":"Daniela","non-dropping-particle":"","parse-names":false,"suffix":""},{"dropping-particle":"","family":"Bettinelli","given":"Cristina","non-dropping-particle":"","parse-names":false,"suffix":""}],"id":"ITEM-1","issued":{"date-parts":[["2017"]]},"number-of-pages":"1-185","title":"Business Model Innovation: From Systematic Literature Review to Future Research Directions","type":"book"},"uris":["http://www.mendeley.com/documents/?uuid=9a89ea9c-9992-4cd8-9155-7410fc858ca3"]}],"mendeley":{"formattedCitation":"(Andreini &amp; Bettinelli, 2017)","manualFormatting":"Andreini and Bettinelli, 2017;","plainTextFormattedCitation":"(Andreini &amp; Bettinelli, 2017)","previouslyFormattedCitation":"(Andreini and Bettinelli,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Andreini and Bettinelli, 2017;</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{"citationItems":[{"id":"ITEM-1","itemData":{"DOI":"10.3390/su9030361","ISBN":"3908176824","ISSN":"20711050","abstract":"© 2017 by the authors. This paper conducts a systematic literature review on knowledge management (KM) in the context of startups in order to analyze the state of the art, identify research gaps and define a future research agenda. The main findings highlight that, even though there is an increasing number of papers on the topic of KM in startups, several issues are still neglected. Specifically, the paper identifies four main gaps in the body of literature. The first gap deals with the environmental and socio-political factors influencing the adoption of KM in startups. The second gap regards the lack of a comprehensive taxonomy of knowledge management systems (KMSs) that may support the processes of knowledge creation, acquisition, storage, transfer, sharing and application. This second gap allows us to identify a third gap concerning the level of alignment between startup's strategies and technologies adopted. Finally, the fourth gap deals with the issue of the impact of KM on startup's performances with regard to economic, financial, market, technical, technological, organizational, human and relational performance. From these four gaps, six research questions (RQs) have been proposed. These RQs allow us to identify possible areas of analysis to define a future research agenda. Neglecting these issues means underestimating all the possible advantages of KM adoption for a startup to achieve efficiency, effectiveness and scalability goals.","author":[{"dropping-particle":"","family":"Centobelli","given":"Piera","non-dropping-particle":"","parse-names":false,"suffix":""},{"dropping-particle":"","family":"Cerchione","given":"Roberto","non-dropping-particle":"","parse-names":false,"suffix":""},{"dropping-particle":"","family":"Esposito","given":"Emilio","non-dropping-particle":"","parse-names":false,"suffix":""}],"container-title":"Sustainability (Switzerland)","id":"ITEM-1","issue":"3","issued":{"date-parts":[["2017"]]},"page":"1-19","title":"Knowledge management in startups: Systematic literature review and future research agenda","type":"article-journal","volume":"9"},"uris":["http://www.mendeley.com/documents/?uuid=c43eaac5-f9a9-478c-aae4-bfb30a1fca73"]}],"mendeley":{"formattedCitation":"(Centobelli, Cerchione, &amp; Esposito, 2017)","manualFormatting":"Centobelli, Cerchione and Esposito, 2017; Swanson et al., 2018)","plainTextFormattedCitation":"(Centobelli, Cerchione, &amp; Esposito, 2017)","previouslyFormattedCitation":"(Centobelli, Cerchione and Esposito,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Centobelli, Cerchione and Esposito, 2017; </w:t>
      </w:r>
      <w:r w:rsidRPr="009672FC">
        <w:rPr>
          <w:rFonts w:ascii="Garamond" w:hAnsi="Garamond"/>
          <w:noProof/>
        </w:rPr>
        <w:fldChar w:fldCharType="begin" w:fldLock="1"/>
      </w:r>
      <w:r w:rsidR="00813D37" w:rsidRPr="009672FC">
        <w:rPr>
          <w:rFonts w:ascii="Garamond" w:hAnsi="Garamond"/>
          <w:noProof/>
        </w:rPr>
        <w:instrText>ADDIN CSL_CITATION {"citationItems":[{"id":"ITEM-1","itemData":{"DOI":"10.1108/SCM-05-2017-0166","author":[{"dropping-particle":"","family":"Swanson","given":"David","non-dropping-particle":"","parse-names":false,"suffix":""},{"dropping-particle":"","family":"Goel","given":"Lakshmi","non-dropping-particle":"","parse-names":false,"suffix":""},{"dropping-particle":"","family":"Francisco","given":"Kristoffer","non-dropping-particle":"","parse-names":false,"suffix":""},{"dropping-particle":"","family":"Stock","given":"James","non-dropping-particle":"","parse-names":false,"suffix":""}],"container-title":"Supply Chain Management: An International Journal","id":"ITEM-1","issued":{"date-parts":[["2018"]]},"page":"1359-8546","title":"An analysis of supply chain management research by topic","type":"article-journal"},"uris":["http://www.mendeley.com/documents/?uuid=3d810e39-da32-47d1-b25d-c02dc032c1b9"]}],"mendeley":{"formattedCitation":"(Swanson, Goel, Francisco, &amp; Stock, 2018)","manualFormatting":"Swanson et al., 2018","plainTextFormattedCitation":"(Swanson, Goel, Francisco, &amp; Stock, 2018)","previouslyFormattedCitation":"(Swanson &lt;i&gt;et al.&lt;/i&gt;, 2018)"},"properties":{"noteIndex":0},"schema":"https://github.com/citation-style-language/schema/raw/master/csl-citation.json"}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Swanson et al., 2018</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xml:space="preserve">. Because of the interdisciplinary nature of inter-organizational innovation projects, these databases complement each other and increase the soundness of article searches. </w:t>
      </w:r>
      <w:r w:rsidR="007549AA" w:rsidRPr="009672FC">
        <w:rPr>
          <w:rFonts w:ascii="Garamond" w:hAnsi="Garamond"/>
        </w:rPr>
        <w:t xml:space="preserve"> The database</w:t>
      </w:r>
      <w:r w:rsidRPr="009672FC">
        <w:rPr>
          <w:rFonts w:ascii="Garamond" w:hAnsi="Garamond"/>
        </w:rPr>
        <w:t>s</w:t>
      </w:r>
      <w:r w:rsidR="007549AA" w:rsidRPr="009672FC">
        <w:rPr>
          <w:rFonts w:ascii="Garamond" w:hAnsi="Garamond"/>
        </w:rPr>
        <w:t xml:space="preserve"> focus on broader sets of analytics including authors, research category/fields, publication years, publication type</w:t>
      </w:r>
      <w:r w:rsidR="007549AA" w:rsidRPr="009672FC">
        <w:rPr>
          <w:rFonts w:ascii="Garamond" w:hAnsi="Garamond"/>
          <w:lang w:val="en-GB"/>
        </w:rPr>
        <w:t>, etc, researchers use these filters to generate precise search results in line with the selection criteria.</w:t>
      </w:r>
    </w:p>
    <w:p w14:paraId="5CC8E18B" w14:textId="1FB8EC60" w:rsidR="00EB5D6B" w:rsidRPr="003422C8" w:rsidRDefault="007549AA" w:rsidP="003422C8">
      <w:pPr>
        <w:pStyle w:val="MDPI18keywords"/>
        <w:spacing w:line="360" w:lineRule="auto"/>
        <w:ind w:left="0"/>
        <w:rPr>
          <w:rFonts w:ascii="Garamond" w:hAnsi="Garamond"/>
          <w:sz w:val="24"/>
          <w:szCs w:val="24"/>
        </w:rPr>
      </w:pPr>
      <w:r w:rsidRPr="009672FC">
        <w:rPr>
          <w:rFonts w:ascii="Garamond" w:hAnsi="Garamond"/>
          <w:sz w:val="24"/>
          <w:szCs w:val="24"/>
          <w:lang w:val="en-GB"/>
        </w:rPr>
        <w:t xml:space="preserve">Following the convention, </w:t>
      </w:r>
      <w:r w:rsidR="00CF726B" w:rsidRPr="009672FC">
        <w:rPr>
          <w:rFonts w:ascii="Garamond" w:hAnsi="Garamond"/>
          <w:sz w:val="24"/>
          <w:szCs w:val="24"/>
          <w:lang w:val="en-GB"/>
        </w:rPr>
        <w:t xml:space="preserve">the </w:t>
      </w:r>
      <w:r w:rsidRPr="009672FC">
        <w:rPr>
          <w:rFonts w:ascii="Garamond" w:hAnsi="Garamond"/>
          <w:sz w:val="24"/>
          <w:szCs w:val="24"/>
          <w:lang w:val="en-GB"/>
        </w:rPr>
        <w:t xml:space="preserve">paper selection was based on the inclusion and exclusion criteria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{"citationItems":[{"id":"ITEM-1","itemData":{"DOI":"10.4337/9781849809245.00014","ISBN":"9781849809245","abstract":"This chapter explains a method new to entrepreneurship inquiry and a recent introduction to management inquiry, the systematic literature review (SLR). It discusses the current status of entrepreneurship research and shows that it has been criticised for being fragmented when drawing evidence from its wide disciplinary base. The chapter argues for greater reflection in entrepreneurship research and the SLR is introduced as one method by which both reflection and integration can be achieved. It progresses by introducing the method using examples from four previous studies and it outlines the basic principles. The conclusions highlight how the method can be of value within the field of entrepreneurship and outline its limitations.","author":[{"dropping-particle":"","family":"Pittaway","given":"Luke","non-dropping-particle":"","parse-names":false,"suffix":""},{"dropping-particle":"","family":"Holt","given":"Robin","non-dropping-particle":"","parse-names":false,"suffix":""},{"dropping-particle":"","family":"Broad","given":"Jean","non-dropping-particle":"","parse-names":false,"suffix":""}],"container-title":"Handbook of Research on Small Business and Entrepreneurship","id":"ITEM-1","issued":{"date-parts":[["2014"]]},"page":"83-105","title":"Synthesising knowledge in entrepreneurship research - the role of systematic literature reviews","type":"article-journal"},"uris":["http://www.mendeley.com/documents/?uuid=aa9ea571-c21c-4922-bc99-4b86b0c5f955"]}],"mendeley":{"formattedCitation":"(Pittaway, Holt, &amp; Broad, 2014)","plainTextFormattedCitation":"(Pittaway, Holt, &amp; Broad, 2014)","previouslyFormattedCitation":"(Pittaway et al., 2014)"},"properties":{"noteIndex":0},"schema":"https://github.com/citation-style-language/schema/raw/master/csl-citation.json"}</w:instrText>
      </w:r>
      <w:r w:rsidRPr="009672FC">
        <w:rPr>
          <w:rFonts w:ascii="Garamond" w:hAnsi="Garamond"/>
          <w:sz w:val="24"/>
          <w:szCs w:val="24"/>
          <w:lang w:val="en-GB"/>
        </w:rPr>
        <w:fldChar w:fldCharType="separate"/>
      </w:r>
      <w:r w:rsidR="00813D37" w:rsidRPr="009672FC">
        <w:rPr>
          <w:rFonts w:ascii="Garamond" w:hAnsi="Garamond"/>
          <w:noProof/>
          <w:sz w:val="24"/>
          <w:szCs w:val="24"/>
          <w:lang w:val="en-GB"/>
        </w:rPr>
        <w:t>(Pittaway, Holt, &amp; Broad, 2014)</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4"/>
          <w:szCs w:val="24"/>
        </w:rPr>
        <w:t xml:space="preserve">Inclusion criteria </w:t>
      </w:r>
      <w:r w:rsidR="005C5F35" w:rsidRPr="009672FC">
        <w:rPr>
          <w:rFonts w:ascii="Garamond" w:hAnsi="Garamond"/>
          <w:sz w:val="24"/>
          <w:szCs w:val="24"/>
          <w:lang w:val="en-GB"/>
        </w:rPr>
        <w:t xml:space="preserve">(See Table </w:t>
      </w:r>
      <w:r w:rsidR="002663FA" w:rsidRPr="009672FC">
        <w:rPr>
          <w:rFonts w:ascii="Garamond" w:hAnsi="Garamond"/>
          <w:sz w:val="24"/>
          <w:szCs w:val="24"/>
          <w:lang w:val="en-GB"/>
        </w:rPr>
        <w:t>3</w:t>
      </w:r>
      <w:r w:rsidR="005C5F35" w:rsidRPr="009672FC">
        <w:rPr>
          <w:rFonts w:ascii="Garamond" w:hAnsi="Garamond"/>
          <w:sz w:val="24"/>
          <w:szCs w:val="24"/>
          <w:lang w:val="en-GB"/>
        </w:rPr>
        <w:t xml:space="preserve">) </w:t>
      </w:r>
      <w:r w:rsidRPr="009672FC">
        <w:rPr>
          <w:rFonts w:ascii="Garamond" w:hAnsi="Garamond"/>
          <w:sz w:val="24"/>
          <w:szCs w:val="24"/>
        </w:rPr>
        <w:t>w</w:t>
      </w:r>
      <w:r w:rsidR="00CF726B" w:rsidRPr="009672FC">
        <w:rPr>
          <w:rFonts w:ascii="Garamond" w:hAnsi="Garamond"/>
          <w:sz w:val="24"/>
          <w:szCs w:val="24"/>
        </w:rPr>
        <w:t>ere</w:t>
      </w:r>
      <w:r w:rsidRPr="009672FC">
        <w:rPr>
          <w:rFonts w:ascii="Garamond" w:hAnsi="Garamond"/>
          <w:sz w:val="24"/>
          <w:szCs w:val="24"/>
        </w:rPr>
        <w:t xml:space="preserve"> used to generate papers that focus specifically on Innovation</w:t>
      </w:r>
      <w:r w:rsidR="005C5F35" w:rsidRPr="009672FC">
        <w:rPr>
          <w:rFonts w:ascii="Garamond" w:hAnsi="Garamond"/>
          <w:sz w:val="24"/>
          <w:szCs w:val="24"/>
        </w:rPr>
        <w:t xml:space="preserve"> ecosystem</w:t>
      </w:r>
      <w:r w:rsidRPr="009672FC">
        <w:rPr>
          <w:rFonts w:ascii="Garamond" w:hAnsi="Garamond"/>
          <w:sz w:val="24"/>
          <w:szCs w:val="24"/>
        </w:rPr>
        <w:t xml:space="preserve">” and the specified form of </w:t>
      </w:r>
      <w:r w:rsidR="00CF726B" w:rsidRPr="009672FC">
        <w:rPr>
          <w:rFonts w:ascii="Garamond" w:hAnsi="Garamond"/>
          <w:sz w:val="24"/>
          <w:szCs w:val="24"/>
        </w:rPr>
        <w:t xml:space="preserve">an </w:t>
      </w:r>
      <w:r w:rsidRPr="009672FC">
        <w:rPr>
          <w:rFonts w:ascii="Garamond" w:hAnsi="Garamond"/>
          <w:sz w:val="24"/>
          <w:szCs w:val="24"/>
        </w:rPr>
        <w:t xml:space="preserve">inter-organizational business network arrangement, using papers available in the </w:t>
      </w:r>
      <w:r w:rsidR="005C5F35" w:rsidRPr="009672FC">
        <w:rPr>
          <w:rFonts w:ascii="Garamond" w:hAnsi="Garamond"/>
          <w:sz w:val="24"/>
          <w:szCs w:val="24"/>
        </w:rPr>
        <w:t>Web of Science and ScienceDirect</w:t>
      </w:r>
      <w:r w:rsidRPr="009672FC">
        <w:rPr>
          <w:rFonts w:ascii="Garamond" w:hAnsi="Garamond"/>
          <w:sz w:val="24"/>
          <w:szCs w:val="24"/>
        </w:rPr>
        <w:t xml:space="preserve"> scholarly database</w:t>
      </w:r>
      <w:r w:rsidR="005C5F35" w:rsidRPr="009672FC">
        <w:rPr>
          <w:rFonts w:ascii="Garamond" w:hAnsi="Garamond"/>
          <w:sz w:val="24"/>
          <w:szCs w:val="24"/>
        </w:rPr>
        <w:t>s</w:t>
      </w:r>
      <w:r w:rsidRPr="009672FC">
        <w:rPr>
          <w:rFonts w:ascii="Garamond" w:hAnsi="Garamond"/>
          <w:sz w:val="24"/>
          <w:szCs w:val="24"/>
        </w:rPr>
        <w:t xml:space="preserve">, published between 1992-July 2021, from the related fields (business, economics, management, information systems, and tourism). </w:t>
      </w:r>
    </w:p>
    <w:p w14:paraId="320CB874" w14:textId="1B4B88D7" w:rsidR="005C5F35" w:rsidRPr="003422C8" w:rsidRDefault="00EB5D6B" w:rsidP="003422C8">
      <w:pPr>
        <w:pStyle w:val="Caption"/>
        <w:keepNext/>
        <w:jc w:val="center"/>
        <w:rPr>
          <w:rFonts w:ascii="Garamond" w:hAnsi="Garamond"/>
          <w:sz w:val="22"/>
          <w:szCs w:val="22"/>
        </w:rPr>
      </w:pPr>
      <w:bookmarkStart w:id="32" w:name="_Toc85711310"/>
      <w:r w:rsidRPr="003422C8">
        <w:rPr>
          <w:rFonts w:ascii="Garamond" w:hAnsi="Garamond"/>
          <w:sz w:val="22"/>
          <w:szCs w:val="22"/>
        </w:rPr>
        <w:t xml:space="preserve">Table </w:t>
      </w:r>
      <w:r w:rsidR="00C10BC3" w:rsidRPr="003422C8">
        <w:rPr>
          <w:rFonts w:ascii="Garamond" w:hAnsi="Garamond"/>
          <w:sz w:val="22"/>
          <w:szCs w:val="22"/>
        </w:rPr>
        <w:fldChar w:fldCharType="begin"/>
      </w:r>
      <w:r w:rsidR="00C10BC3" w:rsidRPr="003422C8">
        <w:rPr>
          <w:rFonts w:ascii="Garamond" w:hAnsi="Garamond"/>
          <w:sz w:val="22"/>
          <w:szCs w:val="22"/>
        </w:rPr>
        <w:instrText xml:space="preserve"> SEQ Table \* ARABIC </w:instrText>
      </w:r>
      <w:r w:rsidR="00C10BC3" w:rsidRPr="003422C8">
        <w:rPr>
          <w:rFonts w:ascii="Garamond" w:hAnsi="Garamond"/>
          <w:sz w:val="22"/>
          <w:szCs w:val="22"/>
        </w:rPr>
        <w:fldChar w:fldCharType="separate"/>
      </w:r>
      <w:r w:rsidR="001C1648">
        <w:rPr>
          <w:rFonts w:ascii="Garamond" w:hAnsi="Garamond"/>
          <w:noProof/>
          <w:sz w:val="22"/>
          <w:szCs w:val="22"/>
        </w:rPr>
        <w:t>3</w:t>
      </w:r>
      <w:r w:rsidR="00C10BC3" w:rsidRPr="003422C8">
        <w:rPr>
          <w:rFonts w:ascii="Garamond" w:hAnsi="Garamond"/>
          <w:noProof/>
          <w:sz w:val="22"/>
          <w:szCs w:val="22"/>
        </w:rPr>
        <w:fldChar w:fldCharType="end"/>
      </w:r>
      <w:r w:rsidRPr="003422C8">
        <w:rPr>
          <w:rFonts w:ascii="Garamond" w:hAnsi="Garamond"/>
          <w:sz w:val="22"/>
          <w:szCs w:val="22"/>
        </w:rPr>
        <w:t>. Paper Inclusion and Exclusion Criteria</w:t>
      </w:r>
      <w:bookmarkEnd w:id="32"/>
    </w:p>
    <w:tbl>
      <w:tblPr>
        <w:tblStyle w:val="TableGrid"/>
        <w:tblW w:w="7658" w:type="dxa"/>
        <w:jc w:val="center"/>
        <w:tblLook w:val="04A0" w:firstRow="1" w:lastRow="0" w:firstColumn="1" w:lastColumn="0" w:noHBand="0" w:noVBand="1"/>
      </w:tblPr>
      <w:tblGrid>
        <w:gridCol w:w="2610"/>
        <w:gridCol w:w="13"/>
        <w:gridCol w:w="4771"/>
        <w:gridCol w:w="264"/>
      </w:tblGrid>
      <w:tr w:rsidR="005C5F35" w:rsidRPr="00852A0F" w14:paraId="427FB5EF" w14:textId="77777777" w:rsidTr="005C5F35">
        <w:trPr>
          <w:gridAfter w:val="1"/>
          <w:wAfter w:w="264" w:type="dxa"/>
          <w:trHeight w:val="242"/>
          <w:jc w:val="center"/>
        </w:trPr>
        <w:tc>
          <w:tcPr>
            <w:tcW w:w="2623" w:type="dxa"/>
            <w:gridSpan w:val="2"/>
            <w:tcBorders>
              <w:left w:val="nil"/>
              <w:bottom w:val="single" w:sz="4" w:space="0" w:color="auto"/>
              <w:right w:val="nil"/>
            </w:tcBorders>
          </w:tcPr>
          <w:p w14:paraId="2D0CF735" w14:textId="2817DF6C" w:rsidR="005C5F35" w:rsidRPr="00852A0F" w:rsidRDefault="005C5F35" w:rsidP="005C5F35">
            <w:pPr>
              <w:spacing w:line="276" w:lineRule="auto"/>
              <w:rPr>
                <w:rFonts w:ascii="Garamond" w:hAnsi="Garamond"/>
                <w:bCs/>
                <w:szCs w:val="36"/>
              </w:rPr>
            </w:pPr>
            <w:r w:rsidRPr="00852A0F">
              <w:rPr>
                <w:rFonts w:ascii="Garamond" w:hAnsi="Garamond"/>
                <w:bCs/>
                <w:szCs w:val="36"/>
              </w:rPr>
              <w:t>Inclusion Criteria</w:t>
            </w:r>
          </w:p>
        </w:tc>
        <w:tc>
          <w:tcPr>
            <w:tcW w:w="4771" w:type="dxa"/>
            <w:tcBorders>
              <w:left w:val="nil"/>
              <w:bottom w:val="single" w:sz="4" w:space="0" w:color="auto"/>
              <w:right w:val="nil"/>
            </w:tcBorders>
          </w:tcPr>
          <w:p w14:paraId="65748784" w14:textId="77777777" w:rsidR="005C5F35" w:rsidRPr="00852A0F" w:rsidRDefault="005C5F35" w:rsidP="005C5F35">
            <w:pPr>
              <w:spacing w:line="276" w:lineRule="auto"/>
              <w:rPr>
                <w:rFonts w:ascii="Garamond" w:hAnsi="Garamond"/>
                <w:bCs/>
                <w:szCs w:val="36"/>
              </w:rPr>
            </w:pPr>
            <w:r w:rsidRPr="00852A0F">
              <w:rPr>
                <w:rFonts w:ascii="Garamond" w:hAnsi="Garamond"/>
                <w:bCs/>
                <w:szCs w:val="36"/>
              </w:rPr>
              <w:t>Definition</w:t>
            </w:r>
          </w:p>
        </w:tc>
      </w:tr>
      <w:tr w:rsidR="005C5F35" w:rsidRPr="00852A0F" w14:paraId="63596C4D" w14:textId="77777777" w:rsidTr="005C5F35">
        <w:trPr>
          <w:gridAfter w:val="1"/>
          <w:wAfter w:w="264" w:type="dxa"/>
          <w:trHeight w:val="676"/>
          <w:jc w:val="center"/>
        </w:trPr>
        <w:tc>
          <w:tcPr>
            <w:tcW w:w="2623" w:type="dxa"/>
            <w:gridSpan w:val="2"/>
            <w:tcBorders>
              <w:left w:val="nil"/>
              <w:bottom w:val="single" w:sz="4" w:space="0" w:color="auto"/>
              <w:right w:val="nil"/>
            </w:tcBorders>
          </w:tcPr>
          <w:p w14:paraId="387369A4" w14:textId="77777777" w:rsidR="005C5F35" w:rsidRPr="00852A0F" w:rsidRDefault="005C5F35" w:rsidP="00EC14F7">
            <w:pPr>
              <w:spacing w:line="276" w:lineRule="auto"/>
              <w:jc w:val="both"/>
              <w:rPr>
                <w:rFonts w:ascii="Garamond" w:hAnsi="Garamond"/>
                <w:i/>
                <w:iCs/>
                <w:szCs w:val="36"/>
              </w:rPr>
            </w:pPr>
            <w:r w:rsidRPr="00852A0F">
              <w:rPr>
                <w:rFonts w:ascii="Garamond" w:hAnsi="Garamond"/>
                <w:i/>
                <w:iCs/>
                <w:szCs w:val="36"/>
              </w:rPr>
              <w:t>The focus of the abstract, introduction</w:t>
            </w:r>
          </w:p>
        </w:tc>
        <w:tc>
          <w:tcPr>
            <w:tcW w:w="4771" w:type="dxa"/>
            <w:tcBorders>
              <w:left w:val="nil"/>
              <w:bottom w:val="single" w:sz="4" w:space="0" w:color="auto"/>
              <w:right w:val="nil"/>
            </w:tcBorders>
          </w:tcPr>
          <w:p w14:paraId="3EA88DEC" w14:textId="1FDE8DEB" w:rsidR="005C5F35" w:rsidRPr="00852A0F" w:rsidRDefault="005C5F35" w:rsidP="00EC14F7">
            <w:pPr>
              <w:spacing w:line="276" w:lineRule="auto"/>
              <w:jc w:val="both"/>
              <w:rPr>
                <w:rFonts w:ascii="Garamond" w:hAnsi="Garamond"/>
                <w:szCs w:val="36"/>
              </w:rPr>
            </w:pPr>
            <w:r w:rsidRPr="00852A0F">
              <w:rPr>
                <w:rFonts w:ascii="Garamond" w:hAnsi="Garamond"/>
                <w:szCs w:val="36"/>
              </w:rPr>
              <w:t>Papers whose abstracts and introductions were found to be precisely focused on inter</w:t>
            </w:r>
            <w:r w:rsidR="002663FA" w:rsidRPr="00852A0F">
              <w:rPr>
                <w:rFonts w:ascii="Garamond" w:hAnsi="Garamond"/>
                <w:szCs w:val="36"/>
              </w:rPr>
              <w:t>-</w:t>
            </w:r>
            <w:r w:rsidRPr="00852A0F">
              <w:rPr>
                <w:rFonts w:ascii="Garamond" w:hAnsi="Garamond"/>
                <w:szCs w:val="36"/>
              </w:rPr>
              <w:t>organizational innovation projects were included.</w:t>
            </w:r>
          </w:p>
        </w:tc>
      </w:tr>
      <w:tr w:rsidR="005C5F35" w:rsidRPr="00852A0F" w14:paraId="180A6AEB" w14:textId="77777777" w:rsidTr="005C5F35">
        <w:trPr>
          <w:gridAfter w:val="1"/>
          <w:wAfter w:w="264" w:type="dxa"/>
          <w:trHeight w:val="752"/>
          <w:jc w:val="center"/>
        </w:trPr>
        <w:tc>
          <w:tcPr>
            <w:tcW w:w="2623" w:type="dxa"/>
            <w:gridSpan w:val="2"/>
            <w:tcBorders>
              <w:left w:val="nil"/>
              <w:right w:val="nil"/>
            </w:tcBorders>
          </w:tcPr>
          <w:p w14:paraId="789CB071" w14:textId="77777777" w:rsidR="005C5F35" w:rsidRPr="00852A0F" w:rsidRDefault="005C5F35" w:rsidP="00EC14F7">
            <w:pPr>
              <w:spacing w:line="276" w:lineRule="auto"/>
              <w:jc w:val="both"/>
              <w:rPr>
                <w:rFonts w:ascii="Garamond" w:hAnsi="Garamond"/>
                <w:i/>
                <w:iCs/>
                <w:szCs w:val="36"/>
              </w:rPr>
            </w:pPr>
            <w:r w:rsidRPr="00852A0F">
              <w:rPr>
                <w:rFonts w:ascii="Garamond" w:hAnsi="Garamond"/>
                <w:i/>
                <w:iCs/>
                <w:szCs w:val="36"/>
              </w:rPr>
              <w:t>The focus of the entire paper</w:t>
            </w:r>
          </w:p>
        </w:tc>
        <w:tc>
          <w:tcPr>
            <w:tcW w:w="4771" w:type="dxa"/>
            <w:tcBorders>
              <w:left w:val="nil"/>
              <w:right w:val="nil"/>
            </w:tcBorders>
          </w:tcPr>
          <w:p w14:paraId="2E29E387" w14:textId="77777777" w:rsidR="005C5F35" w:rsidRPr="00852A0F" w:rsidRDefault="005C5F35" w:rsidP="00EC14F7">
            <w:pPr>
              <w:spacing w:line="276" w:lineRule="auto"/>
              <w:jc w:val="both"/>
              <w:rPr>
                <w:rFonts w:ascii="Garamond" w:hAnsi="Garamond"/>
                <w:szCs w:val="36"/>
              </w:rPr>
            </w:pPr>
            <w:r w:rsidRPr="00852A0F">
              <w:rPr>
                <w:rFonts w:ascii="Garamond" w:hAnsi="Garamond"/>
                <w:szCs w:val="36"/>
              </w:rPr>
              <w:t>A more detailed reading of papers was done to determine paper precision on the topic beyond poorly written abstracts and introductions, for inclusion.</w:t>
            </w:r>
          </w:p>
        </w:tc>
      </w:tr>
      <w:tr w:rsidR="005C5F35" w:rsidRPr="00852A0F" w14:paraId="63B26E65" w14:textId="77777777" w:rsidTr="002663FA">
        <w:trPr>
          <w:trHeight w:val="201"/>
          <w:jc w:val="center"/>
        </w:trPr>
        <w:tc>
          <w:tcPr>
            <w:tcW w:w="2610" w:type="dxa"/>
            <w:tcBorders>
              <w:left w:val="nil"/>
              <w:bottom w:val="single" w:sz="4" w:space="0" w:color="auto"/>
              <w:right w:val="nil"/>
            </w:tcBorders>
          </w:tcPr>
          <w:p w14:paraId="43C6ADCC" w14:textId="38BB08B8" w:rsidR="005C5F35" w:rsidRPr="00852A0F" w:rsidRDefault="005C5F35" w:rsidP="005C5F35">
            <w:pPr>
              <w:spacing w:line="276" w:lineRule="auto"/>
              <w:rPr>
                <w:rFonts w:ascii="Garamond" w:hAnsi="Garamond"/>
                <w:bCs/>
                <w:szCs w:val="36"/>
              </w:rPr>
            </w:pPr>
            <w:r w:rsidRPr="00852A0F">
              <w:rPr>
                <w:rFonts w:ascii="Garamond" w:hAnsi="Garamond"/>
                <w:bCs/>
                <w:szCs w:val="36"/>
              </w:rPr>
              <w:t>Exclusion Criteria</w:t>
            </w:r>
          </w:p>
        </w:tc>
        <w:tc>
          <w:tcPr>
            <w:tcW w:w="5048" w:type="dxa"/>
            <w:gridSpan w:val="3"/>
            <w:tcBorders>
              <w:left w:val="nil"/>
              <w:bottom w:val="single" w:sz="4" w:space="0" w:color="auto"/>
              <w:right w:val="nil"/>
            </w:tcBorders>
          </w:tcPr>
          <w:p w14:paraId="380645D9" w14:textId="77777777" w:rsidR="005C5F35" w:rsidRPr="00852A0F" w:rsidRDefault="005C5F35" w:rsidP="005C5F35">
            <w:pPr>
              <w:spacing w:line="276" w:lineRule="auto"/>
              <w:rPr>
                <w:rFonts w:ascii="Garamond" w:hAnsi="Garamond"/>
                <w:bCs/>
                <w:szCs w:val="36"/>
              </w:rPr>
            </w:pPr>
            <w:r w:rsidRPr="00852A0F">
              <w:rPr>
                <w:rFonts w:ascii="Garamond" w:hAnsi="Garamond"/>
                <w:bCs/>
                <w:szCs w:val="36"/>
              </w:rPr>
              <w:t>Definition</w:t>
            </w:r>
          </w:p>
        </w:tc>
      </w:tr>
      <w:tr w:rsidR="005C5F35" w:rsidRPr="00852A0F" w14:paraId="129A7684" w14:textId="77777777" w:rsidTr="002663FA">
        <w:trPr>
          <w:trHeight w:val="468"/>
          <w:jc w:val="center"/>
        </w:trPr>
        <w:tc>
          <w:tcPr>
            <w:tcW w:w="2610" w:type="dxa"/>
            <w:tcBorders>
              <w:left w:val="nil"/>
              <w:bottom w:val="single" w:sz="4" w:space="0" w:color="auto"/>
              <w:right w:val="nil"/>
            </w:tcBorders>
          </w:tcPr>
          <w:p w14:paraId="4F420D5B" w14:textId="77777777" w:rsidR="005C5F35" w:rsidRPr="00852A0F" w:rsidRDefault="005C5F35" w:rsidP="00EC14F7">
            <w:pPr>
              <w:spacing w:line="276" w:lineRule="auto"/>
              <w:rPr>
                <w:rFonts w:ascii="Garamond" w:hAnsi="Garamond"/>
                <w:i/>
                <w:iCs/>
                <w:szCs w:val="36"/>
              </w:rPr>
            </w:pPr>
            <w:r w:rsidRPr="00852A0F">
              <w:rPr>
                <w:rFonts w:ascii="Garamond" w:hAnsi="Garamond"/>
                <w:i/>
                <w:iCs/>
                <w:szCs w:val="36"/>
              </w:rPr>
              <w:t>Papers with a lack of focus</w:t>
            </w:r>
          </w:p>
        </w:tc>
        <w:tc>
          <w:tcPr>
            <w:tcW w:w="5048" w:type="dxa"/>
            <w:gridSpan w:val="3"/>
            <w:tcBorders>
              <w:left w:val="nil"/>
              <w:bottom w:val="single" w:sz="4" w:space="0" w:color="auto"/>
              <w:right w:val="nil"/>
            </w:tcBorders>
          </w:tcPr>
          <w:p w14:paraId="34072EC8" w14:textId="1FCDDD02" w:rsidR="005C5F35" w:rsidRPr="00852A0F" w:rsidRDefault="005C5F35" w:rsidP="00EC14F7">
            <w:pPr>
              <w:spacing w:line="276" w:lineRule="auto"/>
              <w:jc w:val="both"/>
              <w:rPr>
                <w:rFonts w:ascii="Garamond" w:hAnsi="Garamond"/>
                <w:szCs w:val="36"/>
              </w:rPr>
            </w:pPr>
            <w:r w:rsidRPr="00852A0F">
              <w:rPr>
                <w:rFonts w:ascii="Garamond" w:hAnsi="Garamond"/>
                <w:szCs w:val="36"/>
              </w:rPr>
              <w:t>Studies declaring inter</w:t>
            </w:r>
            <w:r w:rsidR="002663FA" w:rsidRPr="00852A0F">
              <w:rPr>
                <w:rFonts w:ascii="Garamond" w:hAnsi="Garamond"/>
                <w:szCs w:val="36"/>
              </w:rPr>
              <w:t>-</w:t>
            </w:r>
            <w:r w:rsidRPr="00852A0F">
              <w:rPr>
                <w:rFonts w:ascii="Garamond" w:hAnsi="Garamond"/>
                <w:szCs w:val="36"/>
              </w:rPr>
              <w:t xml:space="preserve">organizational innovation in the title and abstract without </w:t>
            </w:r>
            <w:r w:rsidR="002663FA" w:rsidRPr="00852A0F">
              <w:rPr>
                <w:rFonts w:ascii="Garamond" w:hAnsi="Garamond"/>
                <w:szCs w:val="36"/>
              </w:rPr>
              <w:t xml:space="preserve">a </w:t>
            </w:r>
            <w:r w:rsidRPr="00852A0F">
              <w:rPr>
                <w:rFonts w:ascii="Garamond" w:hAnsi="Garamond"/>
                <w:szCs w:val="36"/>
              </w:rPr>
              <w:t>primary focus on the topic were excluded.</w:t>
            </w:r>
          </w:p>
        </w:tc>
      </w:tr>
      <w:tr w:rsidR="005C5F35" w:rsidRPr="00852A0F" w14:paraId="4AF6ED6B" w14:textId="77777777" w:rsidTr="002663FA">
        <w:trPr>
          <w:trHeight w:val="523"/>
          <w:jc w:val="center"/>
        </w:trPr>
        <w:tc>
          <w:tcPr>
            <w:tcW w:w="2610" w:type="dxa"/>
            <w:tcBorders>
              <w:left w:val="nil"/>
              <w:right w:val="nil"/>
            </w:tcBorders>
          </w:tcPr>
          <w:p w14:paraId="4AC160D9" w14:textId="77777777" w:rsidR="005C5F35" w:rsidRPr="00852A0F" w:rsidRDefault="005C5F35" w:rsidP="00EC14F7">
            <w:pPr>
              <w:spacing w:line="276" w:lineRule="auto"/>
              <w:rPr>
                <w:rFonts w:ascii="Garamond" w:hAnsi="Garamond"/>
                <w:i/>
                <w:iCs/>
                <w:szCs w:val="36"/>
              </w:rPr>
            </w:pPr>
            <w:r w:rsidRPr="00852A0F">
              <w:rPr>
                <w:rFonts w:ascii="Garamond" w:hAnsi="Garamond"/>
                <w:i/>
                <w:iCs/>
                <w:szCs w:val="36"/>
              </w:rPr>
              <w:t>Published papers outside the study time frame</w:t>
            </w:r>
          </w:p>
        </w:tc>
        <w:tc>
          <w:tcPr>
            <w:tcW w:w="5048" w:type="dxa"/>
            <w:gridSpan w:val="3"/>
            <w:tcBorders>
              <w:left w:val="nil"/>
              <w:right w:val="nil"/>
            </w:tcBorders>
          </w:tcPr>
          <w:p w14:paraId="77AD35D4" w14:textId="7C9F340B" w:rsidR="005C5F35" w:rsidRPr="00852A0F" w:rsidRDefault="005C5F35" w:rsidP="00EC14F7">
            <w:pPr>
              <w:spacing w:line="276" w:lineRule="auto"/>
              <w:jc w:val="both"/>
              <w:rPr>
                <w:rFonts w:ascii="Garamond" w:hAnsi="Garamond"/>
                <w:szCs w:val="36"/>
              </w:rPr>
            </w:pPr>
            <w:r w:rsidRPr="00852A0F">
              <w:rPr>
                <w:rFonts w:ascii="Garamond" w:hAnsi="Garamond"/>
                <w:szCs w:val="36"/>
              </w:rPr>
              <w:t xml:space="preserve">Papers published before </w:t>
            </w:r>
            <w:r w:rsidR="002663FA" w:rsidRPr="00852A0F">
              <w:rPr>
                <w:rFonts w:ascii="Garamond" w:hAnsi="Garamond"/>
                <w:szCs w:val="36"/>
              </w:rPr>
              <w:t xml:space="preserve">1992-July and after 2021 </w:t>
            </w:r>
            <w:r w:rsidRPr="00852A0F">
              <w:rPr>
                <w:rFonts w:ascii="Garamond" w:hAnsi="Garamond"/>
                <w:szCs w:val="36"/>
              </w:rPr>
              <w:t xml:space="preserve">were </w:t>
            </w:r>
            <w:r w:rsidR="002663FA" w:rsidRPr="00852A0F">
              <w:rPr>
                <w:rFonts w:ascii="Garamond" w:hAnsi="Garamond"/>
                <w:szCs w:val="36"/>
              </w:rPr>
              <w:t>not inc</w:t>
            </w:r>
            <w:r w:rsidRPr="00852A0F">
              <w:rPr>
                <w:rFonts w:ascii="Garamond" w:hAnsi="Garamond"/>
                <w:szCs w:val="36"/>
              </w:rPr>
              <w:t>luded.</w:t>
            </w:r>
          </w:p>
        </w:tc>
      </w:tr>
      <w:tr w:rsidR="005C5F35" w:rsidRPr="00852A0F" w14:paraId="465867BA" w14:textId="77777777" w:rsidTr="002663FA">
        <w:trPr>
          <w:trHeight w:val="394"/>
          <w:jc w:val="center"/>
        </w:trPr>
        <w:tc>
          <w:tcPr>
            <w:tcW w:w="2610" w:type="dxa"/>
            <w:tcBorders>
              <w:left w:val="nil"/>
              <w:right w:val="nil"/>
            </w:tcBorders>
          </w:tcPr>
          <w:p w14:paraId="7DFEEED2" w14:textId="77777777" w:rsidR="005C5F35" w:rsidRPr="00852A0F" w:rsidRDefault="005C5F35" w:rsidP="00EC14F7">
            <w:pPr>
              <w:spacing w:line="276" w:lineRule="auto"/>
              <w:rPr>
                <w:rFonts w:ascii="Garamond" w:hAnsi="Garamond"/>
                <w:i/>
                <w:iCs/>
                <w:szCs w:val="36"/>
              </w:rPr>
            </w:pPr>
            <w:r w:rsidRPr="00852A0F">
              <w:rPr>
                <w:rFonts w:ascii="Garamond" w:hAnsi="Garamond"/>
                <w:i/>
                <w:iCs/>
                <w:szCs w:val="36"/>
              </w:rPr>
              <w:t>Language of publication</w:t>
            </w:r>
          </w:p>
        </w:tc>
        <w:tc>
          <w:tcPr>
            <w:tcW w:w="5048" w:type="dxa"/>
            <w:gridSpan w:val="3"/>
            <w:tcBorders>
              <w:left w:val="nil"/>
              <w:right w:val="nil"/>
            </w:tcBorders>
          </w:tcPr>
          <w:p w14:paraId="381CDD09" w14:textId="77777777" w:rsidR="005C5F35" w:rsidRPr="00852A0F" w:rsidRDefault="005C5F35" w:rsidP="00EC14F7">
            <w:pPr>
              <w:spacing w:line="276" w:lineRule="auto"/>
              <w:jc w:val="both"/>
              <w:rPr>
                <w:rFonts w:ascii="Garamond" w:hAnsi="Garamond"/>
                <w:szCs w:val="36"/>
              </w:rPr>
            </w:pPr>
            <w:r w:rsidRPr="00852A0F">
              <w:rPr>
                <w:rFonts w:ascii="Garamond" w:hAnsi="Garamond"/>
                <w:szCs w:val="36"/>
              </w:rPr>
              <w:t>Papers published in languages other than English were excluded.</w:t>
            </w:r>
          </w:p>
        </w:tc>
      </w:tr>
      <w:tr w:rsidR="005C5F35" w:rsidRPr="00852A0F" w14:paraId="70DC50FE" w14:textId="77777777" w:rsidTr="002663FA">
        <w:trPr>
          <w:trHeight w:val="413"/>
          <w:jc w:val="center"/>
        </w:trPr>
        <w:tc>
          <w:tcPr>
            <w:tcW w:w="2610" w:type="dxa"/>
            <w:tcBorders>
              <w:left w:val="nil"/>
              <w:right w:val="nil"/>
            </w:tcBorders>
          </w:tcPr>
          <w:p w14:paraId="48903305" w14:textId="77777777" w:rsidR="005C5F35" w:rsidRPr="00852A0F" w:rsidRDefault="005C5F35" w:rsidP="00EC14F7">
            <w:pPr>
              <w:spacing w:line="276" w:lineRule="auto"/>
              <w:rPr>
                <w:rFonts w:ascii="Garamond" w:hAnsi="Garamond"/>
                <w:i/>
                <w:iCs/>
                <w:szCs w:val="36"/>
              </w:rPr>
            </w:pPr>
            <w:r w:rsidRPr="00852A0F">
              <w:rPr>
                <w:rFonts w:ascii="Garamond" w:hAnsi="Garamond"/>
                <w:i/>
                <w:iCs/>
                <w:szCs w:val="36"/>
              </w:rPr>
              <w:t>Databases</w:t>
            </w:r>
          </w:p>
        </w:tc>
        <w:tc>
          <w:tcPr>
            <w:tcW w:w="5048" w:type="dxa"/>
            <w:gridSpan w:val="3"/>
            <w:tcBorders>
              <w:left w:val="nil"/>
              <w:right w:val="nil"/>
            </w:tcBorders>
          </w:tcPr>
          <w:p w14:paraId="5F022899" w14:textId="77777777" w:rsidR="005C5F35" w:rsidRPr="00852A0F" w:rsidRDefault="005C5F35" w:rsidP="00EC14F7">
            <w:pPr>
              <w:spacing w:line="276" w:lineRule="auto"/>
              <w:jc w:val="both"/>
              <w:rPr>
                <w:rFonts w:ascii="Garamond" w:hAnsi="Garamond"/>
                <w:szCs w:val="36"/>
              </w:rPr>
            </w:pPr>
            <w:r w:rsidRPr="00852A0F">
              <w:rPr>
                <w:rFonts w:ascii="Garamond" w:hAnsi="Garamond"/>
                <w:szCs w:val="36"/>
              </w:rPr>
              <w:t xml:space="preserve">Papers unavailable in either </w:t>
            </w:r>
            <w:r w:rsidRPr="00852A0F">
              <w:rPr>
                <w:rFonts w:ascii="Garamond" w:hAnsi="Garamond"/>
                <w:i/>
                <w:szCs w:val="36"/>
              </w:rPr>
              <w:t>ScienceDirect</w:t>
            </w:r>
            <w:r w:rsidRPr="00852A0F">
              <w:rPr>
                <w:rFonts w:ascii="Garamond" w:hAnsi="Garamond"/>
                <w:szCs w:val="36"/>
              </w:rPr>
              <w:t xml:space="preserve"> or </w:t>
            </w:r>
            <w:r w:rsidRPr="00852A0F">
              <w:rPr>
                <w:rFonts w:ascii="Garamond" w:hAnsi="Garamond"/>
                <w:i/>
                <w:szCs w:val="36"/>
              </w:rPr>
              <w:t>Web of Science</w:t>
            </w:r>
            <w:r w:rsidRPr="00852A0F">
              <w:rPr>
                <w:rFonts w:ascii="Garamond" w:hAnsi="Garamond"/>
                <w:szCs w:val="36"/>
              </w:rPr>
              <w:t xml:space="preserve"> databases were excluded.</w:t>
            </w:r>
          </w:p>
        </w:tc>
      </w:tr>
      <w:tr w:rsidR="005C5F35" w:rsidRPr="00852A0F" w14:paraId="73D09CD6" w14:textId="77777777" w:rsidTr="002663FA">
        <w:trPr>
          <w:trHeight w:val="229"/>
          <w:jc w:val="center"/>
        </w:trPr>
        <w:tc>
          <w:tcPr>
            <w:tcW w:w="2610" w:type="dxa"/>
            <w:tcBorders>
              <w:left w:val="nil"/>
              <w:right w:val="nil"/>
            </w:tcBorders>
          </w:tcPr>
          <w:p w14:paraId="4F1C1131" w14:textId="77777777" w:rsidR="005C5F35" w:rsidRPr="00852A0F" w:rsidRDefault="005C5F35" w:rsidP="00EC14F7">
            <w:pPr>
              <w:spacing w:line="276" w:lineRule="auto"/>
              <w:rPr>
                <w:rFonts w:ascii="Garamond" w:hAnsi="Garamond"/>
                <w:i/>
                <w:iCs/>
                <w:szCs w:val="36"/>
              </w:rPr>
            </w:pPr>
            <w:r w:rsidRPr="00852A0F">
              <w:rPr>
                <w:rFonts w:ascii="Garamond" w:hAnsi="Garamond"/>
                <w:i/>
                <w:iCs/>
                <w:szCs w:val="36"/>
              </w:rPr>
              <w:t xml:space="preserve">Editorials, </w:t>
            </w:r>
            <w:proofErr w:type="gramStart"/>
            <w:r w:rsidRPr="00852A0F">
              <w:rPr>
                <w:rFonts w:ascii="Garamond" w:hAnsi="Garamond"/>
                <w:i/>
                <w:iCs/>
                <w:szCs w:val="36"/>
              </w:rPr>
              <w:t>books</w:t>
            </w:r>
            <w:proofErr w:type="gramEnd"/>
            <w:r w:rsidRPr="00852A0F">
              <w:rPr>
                <w:rFonts w:ascii="Garamond" w:hAnsi="Garamond"/>
                <w:i/>
                <w:iCs/>
                <w:szCs w:val="36"/>
              </w:rPr>
              <w:t xml:space="preserve"> and conference papers</w:t>
            </w:r>
          </w:p>
        </w:tc>
        <w:tc>
          <w:tcPr>
            <w:tcW w:w="5048" w:type="dxa"/>
            <w:gridSpan w:val="3"/>
            <w:tcBorders>
              <w:left w:val="nil"/>
              <w:right w:val="nil"/>
            </w:tcBorders>
          </w:tcPr>
          <w:p w14:paraId="02CC5474" w14:textId="77777777" w:rsidR="005C5F35" w:rsidRPr="00852A0F" w:rsidRDefault="005C5F35" w:rsidP="00EC14F7">
            <w:pPr>
              <w:spacing w:line="276" w:lineRule="auto"/>
              <w:jc w:val="both"/>
              <w:rPr>
                <w:rFonts w:ascii="Garamond" w:hAnsi="Garamond"/>
                <w:szCs w:val="36"/>
              </w:rPr>
            </w:pPr>
            <w:r w:rsidRPr="00852A0F">
              <w:rPr>
                <w:rFonts w:ascii="Garamond" w:hAnsi="Garamond"/>
                <w:szCs w:val="36"/>
              </w:rPr>
              <w:t>All papers other than published peer-reviewed articles were excluded.</w:t>
            </w:r>
          </w:p>
        </w:tc>
      </w:tr>
    </w:tbl>
    <w:p w14:paraId="00A77E90" w14:textId="0D5B3303" w:rsidR="003422C8" w:rsidRPr="003422C8" w:rsidRDefault="003422C8" w:rsidP="003422C8">
      <w:pPr>
        <w:pStyle w:val="MDPI18keywords"/>
        <w:spacing w:line="360" w:lineRule="auto"/>
        <w:ind w:left="0"/>
        <w:rPr>
          <w:rFonts w:ascii="Garamond" w:hAnsi="Garamond"/>
          <w:sz w:val="24"/>
          <w:szCs w:val="24"/>
        </w:rPr>
      </w:pPr>
      <w:bookmarkStart w:id="33" w:name="_Toc85708706"/>
      <w:bookmarkStart w:id="34" w:name="_Toc85709720"/>
      <w:r w:rsidRPr="009672FC">
        <w:rPr>
          <w:rFonts w:ascii="Garamond" w:hAnsi="Garamond"/>
          <w:sz w:val="24"/>
          <w:szCs w:val="24"/>
        </w:rPr>
        <w:t xml:space="preserve">Our exclusion criteria </w:t>
      </w:r>
      <w:r w:rsidRPr="009672FC">
        <w:rPr>
          <w:rFonts w:ascii="Garamond" w:hAnsi="Garamond"/>
          <w:sz w:val="24"/>
          <w:szCs w:val="24"/>
          <w:lang w:val="en-GB"/>
        </w:rPr>
        <w:t>(See Table 3)</w:t>
      </w:r>
      <w:r w:rsidRPr="009672FC">
        <w:rPr>
          <w:rFonts w:ascii="Garamond" w:hAnsi="Garamond"/>
          <w:sz w:val="24"/>
          <w:szCs w:val="24"/>
        </w:rPr>
        <w:t xml:space="preserve">, on the other hand, exclude papers that such as those in languages other than English, all grey literature (working papers, conference proceedings) and papers other than peer-review articles, books, book chapters and monographs. A total of 134 papers were generated. After applying these criteria, a total of 100 papers were finally constituted </w:t>
      </w:r>
      <w:r w:rsidRPr="009672FC">
        <w:rPr>
          <w:rFonts w:ascii="Garamond" w:hAnsi="Garamond"/>
          <w:sz w:val="24"/>
          <w:szCs w:val="24"/>
        </w:rPr>
        <w:lastRenderedPageBreak/>
        <w:t>the dataset for this study. These papers were further organized and assigned codes based on the research questions. Each paper was briefly reviewed to ascertain whether a paper meets the criteria outlined above by reading the Paper abstracts and introductions. In the end, a total of 32 papers were excluded, and a final list of 89 was used for further analysis.</w:t>
      </w:r>
    </w:p>
    <w:p w14:paraId="68A3731B" w14:textId="1450F3D9" w:rsidR="003D5DE8" w:rsidRPr="009672FC" w:rsidRDefault="007549AA" w:rsidP="005C5F35">
      <w:pPr>
        <w:pStyle w:val="MDPI18keywords"/>
        <w:numPr>
          <w:ilvl w:val="2"/>
          <w:numId w:val="8"/>
        </w:numPr>
        <w:spacing w:line="360" w:lineRule="auto"/>
        <w:outlineLvl w:val="2"/>
        <w:rPr>
          <w:rFonts w:ascii="Garamond" w:hAnsi="Garamond"/>
          <w:b/>
          <w:bCs/>
          <w:sz w:val="24"/>
          <w:szCs w:val="24"/>
          <w:lang w:val="en-GB"/>
        </w:rPr>
      </w:pPr>
      <w:r w:rsidRPr="009672FC">
        <w:rPr>
          <w:rFonts w:ascii="Garamond" w:hAnsi="Garamond"/>
          <w:b/>
          <w:bCs/>
          <w:i/>
          <w:iCs/>
          <w:sz w:val="24"/>
          <w:szCs w:val="24"/>
        </w:rPr>
        <w:t>Reporting the Findings</w:t>
      </w:r>
      <w:bookmarkEnd w:id="33"/>
      <w:bookmarkEnd w:id="34"/>
    </w:p>
    <w:p w14:paraId="6183B2B7" w14:textId="43A677EC" w:rsidR="003D5DE8" w:rsidRPr="009672FC" w:rsidRDefault="007549AA" w:rsidP="005C5F35">
      <w:pPr>
        <w:pStyle w:val="MDPI18keywords"/>
        <w:spacing w:before="0" w:line="360" w:lineRule="auto"/>
        <w:ind w:left="0"/>
        <w:rPr>
          <w:rFonts w:ascii="Garamond" w:hAnsi="Garamond"/>
          <w:sz w:val="24"/>
          <w:szCs w:val="24"/>
        </w:rPr>
      </w:pPr>
      <w:r w:rsidRPr="009672FC">
        <w:rPr>
          <w:rFonts w:ascii="Garamond" w:hAnsi="Garamond"/>
          <w:sz w:val="24"/>
          <w:szCs w:val="24"/>
        </w:rPr>
        <w:t>The findings of the study were reported first based on descriptive analysis, outlining the publications based on (a) paper methodology, (b) year of publication, (c) journal outlet, and (d) authors,</w:t>
      </w:r>
      <w:r w:rsidR="005C02A2" w:rsidRPr="009672FC">
        <w:rPr>
          <w:rFonts w:ascii="Garamond" w:hAnsi="Garamond"/>
          <w:sz w:val="24"/>
          <w:szCs w:val="24"/>
        </w:rPr>
        <w:t xml:space="preserve"> and</w:t>
      </w:r>
      <w:r w:rsidRPr="009672FC">
        <w:rPr>
          <w:rFonts w:ascii="Garamond" w:hAnsi="Garamond"/>
          <w:sz w:val="24"/>
          <w:szCs w:val="24"/>
        </w:rPr>
        <w:t xml:space="preserve"> (e) country of authors. This provides a description of the trends of the research in the field, and an illustration of the influential authors and journals that dominate discussions in the field. Second, a content review of the main themes in terms of the RQs related to </w:t>
      </w:r>
      <w:r w:rsidRPr="009672FC">
        <w:rPr>
          <w:rFonts w:ascii="Garamond" w:hAnsi="Garamond"/>
          <w:sz w:val="24"/>
          <w:szCs w:val="24"/>
          <w:lang w:val="en-GB"/>
        </w:rPr>
        <w:t xml:space="preserve">(1) what the nature of </w:t>
      </w:r>
      <w:r w:rsidR="00CF726B" w:rsidRPr="009672FC">
        <w:rPr>
          <w:rFonts w:ascii="Garamond" w:hAnsi="Garamond"/>
          <w:sz w:val="24"/>
          <w:szCs w:val="24"/>
          <w:lang w:val="en-GB"/>
        </w:rPr>
        <w:t xml:space="preserve">the </w:t>
      </w:r>
      <w:r w:rsidRPr="009672FC">
        <w:rPr>
          <w:rFonts w:ascii="Garamond" w:hAnsi="Garamond"/>
          <w:sz w:val="24"/>
          <w:szCs w:val="24"/>
          <w:lang w:val="en-GB"/>
        </w:rPr>
        <w:t xml:space="preserve">evolution of the field is, (2) which countries are dominating research in the field, </w:t>
      </w:r>
      <w:r w:rsidR="005C02A2" w:rsidRPr="009672FC">
        <w:rPr>
          <w:rFonts w:ascii="Garamond" w:hAnsi="Garamond"/>
          <w:sz w:val="24"/>
          <w:szCs w:val="24"/>
          <w:lang w:val="en-GB"/>
        </w:rPr>
        <w:t xml:space="preserve">and </w:t>
      </w:r>
      <w:r w:rsidRPr="009672FC">
        <w:rPr>
          <w:rFonts w:ascii="Garamond" w:hAnsi="Garamond"/>
          <w:sz w:val="24"/>
          <w:szCs w:val="24"/>
          <w:lang w:val="en-GB"/>
        </w:rPr>
        <w:t xml:space="preserve">(3) what are the content areas shaping the </w:t>
      </w:r>
      <w:r w:rsidR="005C02A2" w:rsidRPr="009672FC">
        <w:rPr>
          <w:rFonts w:ascii="Garamond" w:hAnsi="Garamond"/>
          <w:sz w:val="24"/>
          <w:szCs w:val="24"/>
          <w:lang w:val="en-GB"/>
        </w:rPr>
        <w:t xml:space="preserve">research </w:t>
      </w:r>
      <w:r w:rsidRPr="009672FC">
        <w:rPr>
          <w:rFonts w:ascii="Garamond" w:hAnsi="Garamond"/>
          <w:sz w:val="24"/>
          <w:szCs w:val="24"/>
          <w:lang w:val="en-GB"/>
        </w:rPr>
        <w:t xml:space="preserve">phenomenon in inter-organizational innovation ecosystem? </w:t>
      </w:r>
      <w:r w:rsidRPr="009672FC">
        <w:rPr>
          <w:rFonts w:ascii="Garamond" w:hAnsi="Garamond"/>
          <w:sz w:val="24"/>
          <w:szCs w:val="24"/>
        </w:rPr>
        <w:t>For each paper, we read the entire content and synthesize findings based on the content areas of the RQs.</w:t>
      </w:r>
    </w:p>
    <w:p w14:paraId="146C0381" w14:textId="0BF907F5" w:rsidR="003D5DE8" w:rsidRPr="009672FC" w:rsidRDefault="007549AA">
      <w:pPr>
        <w:pStyle w:val="MDPI18keywords"/>
        <w:numPr>
          <w:ilvl w:val="1"/>
          <w:numId w:val="8"/>
        </w:numPr>
        <w:spacing w:line="360" w:lineRule="auto"/>
        <w:outlineLvl w:val="1"/>
        <w:rPr>
          <w:rFonts w:ascii="Garamond" w:hAnsi="Garamond"/>
          <w:b/>
          <w:sz w:val="24"/>
          <w:szCs w:val="24"/>
        </w:rPr>
      </w:pPr>
      <w:bookmarkStart w:id="35" w:name="_Toc85617725"/>
      <w:bookmarkStart w:id="36" w:name="_Toc85708707"/>
      <w:bookmarkStart w:id="37" w:name="_Toc85709721"/>
      <w:r w:rsidRPr="009672FC">
        <w:rPr>
          <w:rFonts w:ascii="Garamond" w:hAnsi="Garamond"/>
          <w:b/>
          <w:sz w:val="24"/>
          <w:szCs w:val="24"/>
        </w:rPr>
        <w:t>Results</w:t>
      </w:r>
      <w:bookmarkEnd w:id="35"/>
      <w:bookmarkEnd w:id="36"/>
      <w:bookmarkEnd w:id="37"/>
    </w:p>
    <w:p w14:paraId="0ECF2A5B" w14:textId="2F12DB2F" w:rsidR="003D5DE8" w:rsidRPr="009672FC" w:rsidRDefault="007549AA" w:rsidP="002663FA">
      <w:pPr>
        <w:pStyle w:val="MDPI18keywords"/>
        <w:numPr>
          <w:ilvl w:val="2"/>
          <w:numId w:val="8"/>
        </w:numPr>
        <w:spacing w:before="0" w:line="360" w:lineRule="auto"/>
        <w:outlineLvl w:val="2"/>
        <w:rPr>
          <w:rFonts w:ascii="Garamond" w:hAnsi="Garamond"/>
          <w:b/>
          <w:sz w:val="24"/>
          <w:szCs w:val="24"/>
        </w:rPr>
      </w:pPr>
      <w:bookmarkStart w:id="38" w:name="_Toc85617726"/>
      <w:bookmarkStart w:id="39" w:name="_Toc85708708"/>
      <w:bookmarkStart w:id="40" w:name="_Toc85709722"/>
      <w:r w:rsidRPr="009672FC">
        <w:rPr>
          <w:rFonts w:ascii="Garamond" w:hAnsi="Garamond"/>
          <w:b/>
          <w:i/>
          <w:sz w:val="24"/>
          <w:szCs w:val="24"/>
          <w:lang w:val="en-GB"/>
        </w:rPr>
        <w:t xml:space="preserve">The Number of Publications </w:t>
      </w:r>
      <w:r w:rsidR="009672FC" w:rsidRPr="009672FC">
        <w:rPr>
          <w:rFonts w:ascii="Garamond" w:hAnsi="Garamond"/>
          <w:b/>
          <w:i/>
          <w:sz w:val="24"/>
          <w:szCs w:val="24"/>
          <w:lang w:val="en-GB"/>
        </w:rPr>
        <w:t>O</w:t>
      </w:r>
      <w:r w:rsidRPr="009672FC">
        <w:rPr>
          <w:rFonts w:ascii="Garamond" w:hAnsi="Garamond"/>
          <w:b/>
          <w:i/>
          <w:sz w:val="24"/>
          <w:szCs w:val="24"/>
          <w:lang w:val="en-GB"/>
        </w:rPr>
        <w:t xml:space="preserve">ver </w:t>
      </w:r>
      <w:r w:rsidR="009672FC" w:rsidRPr="009672FC">
        <w:rPr>
          <w:rFonts w:ascii="Garamond" w:hAnsi="Garamond"/>
          <w:b/>
          <w:i/>
          <w:sz w:val="24"/>
          <w:szCs w:val="24"/>
          <w:lang w:val="en-GB"/>
        </w:rPr>
        <w:t>T</w:t>
      </w:r>
      <w:r w:rsidRPr="009672FC">
        <w:rPr>
          <w:rFonts w:ascii="Garamond" w:hAnsi="Garamond"/>
          <w:b/>
          <w:i/>
          <w:sz w:val="24"/>
          <w:szCs w:val="24"/>
          <w:lang w:val="en-GB"/>
        </w:rPr>
        <w:t>ime</w:t>
      </w:r>
      <w:bookmarkEnd w:id="38"/>
      <w:bookmarkEnd w:id="39"/>
      <w:bookmarkEnd w:id="40"/>
    </w:p>
    <w:p w14:paraId="088B799B" w14:textId="4D1EAFAC" w:rsidR="00CF726B" w:rsidRPr="009672FC" w:rsidRDefault="007549AA" w:rsidP="002663FA">
      <w:pPr>
        <w:pStyle w:val="MDPI18keywords"/>
        <w:spacing w:before="0" w:line="360" w:lineRule="auto"/>
        <w:ind w:left="0"/>
        <w:rPr>
          <w:rFonts w:ascii="Garamond" w:hAnsi="Garamond"/>
          <w:sz w:val="24"/>
          <w:szCs w:val="24"/>
        </w:rPr>
      </w:pPr>
      <w:r w:rsidRPr="009672FC">
        <w:rPr>
          <w:rFonts w:ascii="Garamond" w:hAnsi="Garamond"/>
          <w:sz w:val="24"/>
          <w:szCs w:val="24"/>
        </w:rPr>
        <w:t xml:space="preserve">During the period under review (1996 to July 2021), a total publication of 109 indexed in </w:t>
      </w:r>
      <w:r w:rsidR="00CF726B" w:rsidRPr="009672FC">
        <w:rPr>
          <w:rFonts w:ascii="Garamond" w:hAnsi="Garamond"/>
          <w:sz w:val="24"/>
          <w:szCs w:val="24"/>
        </w:rPr>
        <w:t xml:space="preserve">the </w:t>
      </w:r>
      <w:r w:rsidR="005C5F35" w:rsidRPr="009672FC">
        <w:rPr>
          <w:rFonts w:ascii="Garamond" w:hAnsi="Garamond"/>
          <w:sz w:val="24"/>
          <w:szCs w:val="24"/>
        </w:rPr>
        <w:t>Web of Science and ScienceDirect</w:t>
      </w:r>
      <w:r w:rsidRPr="009672FC">
        <w:rPr>
          <w:rFonts w:ascii="Garamond" w:hAnsi="Garamond"/>
          <w:sz w:val="24"/>
          <w:szCs w:val="24"/>
        </w:rPr>
        <w:t xml:space="preserve"> database was retrieved. The publications comprise 79 original papers, 9 review papers, 5 edited books, and 2 other items such as conference proceedings, and monographs. 16 articles were found to be preprint documents – meaning these documents were first published online between March and July 2021 but had not been assigned to any regular publication issue at the time of this research. These papers were excluded from the analysis. In this bibliometric analysis, 89 documents were considered. For example, 2019, 2020 marked the years with the highest publications (9 documents) while 2000, 2007 showed </w:t>
      </w:r>
      <w:r w:rsidR="002A5F6B">
        <w:rPr>
          <w:rFonts w:ascii="Garamond" w:hAnsi="Garamond"/>
          <w:sz w:val="24"/>
          <w:szCs w:val="24"/>
        </w:rPr>
        <w:t xml:space="preserve">a </w:t>
      </w:r>
      <w:r w:rsidR="00357674" w:rsidRPr="009672FC">
        <w:rPr>
          <w:rFonts w:ascii="Garamond" w:hAnsi="Garamond"/>
          <w:sz w:val="24"/>
          <w:szCs w:val="24"/>
        </w:rPr>
        <w:t>relatively small number of</w:t>
      </w:r>
      <w:r w:rsidRPr="009672FC">
        <w:rPr>
          <w:rFonts w:ascii="Garamond" w:hAnsi="Garamond"/>
          <w:sz w:val="24"/>
          <w:szCs w:val="24"/>
        </w:rPr>
        <w:t xml:space="preserve"> publication</w:t>
      </w:r>
      <w:r w:rsidR="00357674" w:rsidRPr="009672FC">
        <w:rPr>
          <w:rFonts w:ascii="Garamond" w:hAnsi="Garamond"/>
          <w:sz w:val="24"/>
          <w:szCs w:val="24"/>
        </w:rPr>
        <w:t>s</w:t>
      </w:r>
      <w:r w:rsidRPr="009672FC">
        <w:rPr>
          <w:rFonts w:ascii="Garamond" w:hAnsi="Garamond"/>
          <w:sz w:val="24"/>
          <w:szCs w:val="24"/>
        </w:rPr>
        <w:t>.</w:t>
      </w:r>
    </w:p>
    <w:p w14:paraId="2C267B3A" w14:textId="2A836437" w:rsidR="00CF726B" w:rsidRDefault="007549AA" w:rsidP="00CF726B">
      <w:pPr>
        <w:pStyle w:val="MDPI18keywords"/>
        <w:spacing w:line="360" w:lineRule="auto"/>
        <w:ind w:left="0"/>
        <w:rPr>
          <w:rFonts w:ascii="Garamond" w:hAnsi="Garamond"/>
          <w:sz w:val="24"/>
          <w:szCs w:val="24"/>
        </w:rPr>
      </w:pPr>
      <w:r w:rsidRPr="009672FC">
        <w:rPr>
          <w:rFonts w:ascii="Garamond" w:hAnsi="Garamond"/>
          <w:sz w:val="24"/>
          <w:szCs w:val="24"/>
        </w:rPr>
        <w:t>Figure 1 presents the annual number of citations of inter-organizational business network research publications, as well as the number of publications meeting a certain number of citations. Based on the data, the total publications in the field have increased over time. Simultaneously, there was a sporadic increase and decline in the number of citations in the period. For instance, the number of citations has increased significantly over the past.</w:t>
      </w:r>
    </w:p>
    <w:p w14:paraId="0DA86A53" w14:textId="47211B7E" w:rsidR="003422C8" w:rsidRPr="003422C8" w:rsidRDefault="003422C8" w:rsidP="003422C8">
      <w:pPr>
        <w:pStyle w:val="MDPI18keywords"/>
        <w:spacing w:line="360" w:lineRule="auto"/>
        <w:ind w:left="0"/>
        <w:rPr>
          <w:rFonts w:ascii="Garamond" w:hAnsi="Garamond"/>
          <w:sz w:val="24"/>
          <w:szCs w:val="24"/>
          <w:lang w:val="en-GB"/>
        </w:rPr>
      </w:pPr>
      <w:r w:rsidRPr="009672FC">
        <w:rPr>
          <w:rFonts w:ascii="Garamond" w:hAnsi="Garamond"/>
          <w:sz w:val="24"/>
          <w:szCs w:val="24"/>
        </w:rPr>
        <w:lastRenderedPageBreak/>
        <w:t xml:space="preserve">Based on the document’s total citation, the top SIX most cited documents in the field were reported: the 2004 paper by </w:t>
      </w:r>
      <w:r w:rsidRPr="009672FC">
        <w:rPr>
          <w:rFonts w:ascii="Garamond" w:hAnsi="Garamond"/>
          <w:sz w:val="24"/>
          <w:szCs w:val="24"/>
          <w:lang w:val="en-GB"/>
        </w:rPr>
        <w:t xml:space="preserve">Pittaway, et al. </w:t>
      </w:r>
      <w:r w:rsidRPr="009672FC">
        <w:rPr>
          <w:rFonts w:ascii="Garamond" w:hAnsi="Garamond"/>
          <w:sz w:val="24"/>
          <w:szCs w:val="24"/>
        </w:rPr>
        <w:t>entitled “</w:t>
      </w:r>
      <w:r w:rsidRPr="009672FC">
        <w:rPr>
          <w:rFonts w:ascii="Garamond" w:hAnsi="Garamond"/>
          <w:sz w:val="24"/>
          <w:szCs w:val="24"/>
          <w:lang w:val="en-GB"/>
        </w:rPr>
        <w:t xml:space="preserve">Networking and innovation: a systematic review of the evidence”, the Newell and Swan 2000 paper entitled “Trust and inter-organizational networking”, a paper by Mouzas, </w:t>
      </w:r>
      <w:proofErr w:type="spellStart"/>
      <w:r w:rsidRPr="009672FC">
        <w:rPr>
          <w:rFonts w:ascii="Garamond" w:hAnsi="Garamond"/>
          <w:sz w:val="24"/>
          <w:szCs w:val="24"/>
          <w:lang w:val="en-GB"/>
        </w:rPr>
        <w:t>Henneberg</w:t>
      </w:r>
      <w:proofErr w:type="spellEnd"/>
      <w:r w:rsidRPr="009672FC">
        <w:rPr>
          <w:rFonts w:ascii="Garamond" w:hAnsi="Garamond"/>
          <w:sz w:val="24"/>
          <w:szCs w:val="24"/>
          <w:lang w:val="en-GB"/>
        </w:rPr>
        <w:t xml:space="preserve">, and </w:t>
      </w:r>
      <w:proofErr w:type="spellStart"/>
      <w:r w:rsidRPr="009672FC">
        <w:rPr>
          <w:rFonts w:ascii="Garamond" w:hAnsi="Garamond"/>
          <w:sz w:val="24"/>
          <w:szCs w:val="24"/>
          <w:lang w:val="en-GB"/>
        </w:rPr>
        <w:t>Naudé</w:t>
      </w:r>
      <w:proofErr w:type="spellEnd"/>
      <w:r w:rsidRPr="009672FC">
        <w:rPr>
          <w:rFonts w:ascii="Garamond" w:hAnsi="Garamond"/>
          <w:sz w:val="24"/>
          <w:szCs w:val="24"/>
          <w:lang w:val="en-GB"/>
        </w:rPr>
        <w:t xml:space="preserve"> (2008) entitled “Developing network insight”, Hong, Kwon, and </w:t>
      </w:r>
      <w:proofErr w:type="spellStart"/>
      <w:r w:rsidRPr="009672FC">
        <w:rPr>
          <w:rFonts w:ascii="Garamond" w:hAnsi="Garamond"/>
          <w:sz w:val="24"/>
          <w:szCs w:val="24"/>
          <w:lang w:val="en-GB"/>
        </w:rPr>
        <w:t>Roh</w:t>
      </w:r>
      <w:proofErr w:type="spellEnd"/>
      <w:r w:rsidRPr="009672FC">
        <w:rPr>
          <w:rFonts w:ascii="Garamond" w:hAnsi="Garamond"/>
          <w:sz w:val="24"/>
          <w:szCs w:val="24"/>
          <w:lang w:val="en-GB"/>
        </w:rPr>
        <w:t xml:space="preserve">, 2009 paper on “Implementation of strategic green orientation in the supply chain: an empirical study of manufacturing firms”, a book by </w:t>
      </w:r>
      <w:proofErr w:type="spellStart"/>
      <w:r w:rsidRPr="009672FC">
        <w:rPr>
          <w:rFonts w:ascii="Garamond" w:hAnsi="Garamond"/>
          <w:sz w:val="24"/>
          <w:szCs w:val="24"/>
          <w:lang w:val="en-GB"/>
        </w:rPr>
        <w:t>Nooteboom</w:t>
      </w:r>
      <w:proofErr w:type="spellEnd"/>
      <w:r w:rsidRPr="009672FC">
        <w:rPr>
          <w:rFonts w:ascii="Garamond" w:hAnsi="Garamond"/>
          <w:sz w:val="24"/>
          <w:szCs w:val="24"/>
          <w:lang w:val="en-GB"/>
        </w:rPr>
        <w:t>, 2003 entitled “Inter-firm collaboration, learning and networks: an integrated approach”, a paper by Macpherson, Jones, and Zhang 2004 entitled “Evolution or revolution? Dynamic capabilities in a knowledge</w:t>
      </w:r>
      <w:r w:rsidRPr="009672FC">
        <w:rPr>
          <w:rFonts w:ascii="Times New Roman" w:hAnsi="Times New Roman"/>
          <w:sz w:val="24"/>
          <w:szCs w:val="24"/>
          <w:lang w:val="en-GB"/>
        </w:rPr>
        <w:t>‐</w:t>
      </w:r>
      <w:r w:rsidRPr="009672FC">
        <w:rPr>
          <w:rFonts w:ascii="Garamond" w:hAnsi="Garamond"/>
          <w:sz w:val="24"/>
          <w:szCs w:val="24"/>
          <w:lang w:val="en-GB"/>
        </w:rPr>
        <w:t>dependent firm.” These papers are drawn from different subjects including knowledge management, strategy, and innovation.</w:t>
      </w:r>
    </w:p>
    <w:p w14:paraId="72779735" w14:textId="6EAC4D37" w:rsidR="00EB5D6B" w:rsidRPr="003422C8" w:rsidRDefault="00EB5D6B" w:rsidP="003422C8">
      <w:pPr>
        <w:pStyle w:val="Caption"/>
        <w:spacing w:before="240"/>
        <w:jc w:val="both"/>
        <w:rPr>
          <w:rFonts w:ascii="Garamond" w:hAnsi="Garamond"/>
          <w:sz w:val="22"/>
          <w:szCs w:val="22"/>
        </w:rPr>
      </w:pPr>
      <w:bookmarkStart w:id="41" w:name="_Toc85710576"/>
      <w:r w:rsidRPr="003422C8">
        <w:rPr>
          <w:rFonts w:ascii="Garamond" w:hAnsi="Garamond"/>
          <w:sz w:val="22"/>
          <w:szCs w:val="22"/>
        </w:rPr>
        <w:t xml:space="preserve">Figure </w:t>
      </w:r>
      <w:r w:rsidR="00C10BC3" w:rsidRPr="003422C8">
        <w:rPr>
          <w:rFonts w:ascii="Garamond" w:hAnsi="Garamond"/>
          <w:sz w:val="22"/>
          <w:szCs w:val="22"/>
        </w:rPr>
        <w:fldChar w:fldCharType="begin"/>
      </w:r>
      <w:r w:rsidR="00C10BC3" w:rsidRPr="003422C8">
        <w:rPr>
          <w:rFonts w:ascii="Garamond" w:hAnsi="Garamond"/>
          <w:sz w:val="22"/>
          <w:szCs w:val="22"/>
        </w:rPr>
        <w:instrText xml:space="preserve"> SEQ Figure \* ARABIC </w:instrText>
      </w:r>
      <w:r w:rsidR="00C10BC3" w:rsidRPr="003422C8">
        <w:rPr>
          <w:rFonts w:ascii="Garamond" w:hAnsi="Garamond"/>
          <w:sz w:val="22"/>
          <w:szCs w:val="22"/>
        </w:rPr>
        <w:fldChar w:fldCharType="separate"/>
      </w:r>
      <w:r w:rsidR="001C1648">
        <w:rPr>
          <w:rFonts w:ascii="Garamond" w:hAnsi="Garamond"/>
          <w:noProof/>
          <w:sz w:val="22"/>
          <w:szCs w:val="22"/>
        </w:rPr>
        <w:t>1</w:t>
      </w:r>
      <w:r w:rsidR="00C10BC3" w:rsidRPr="003422C8">
        <w:rPr>
          <w:rFonts w:ascii="Garamond" w:hAnsi="Garamond"/>
          <w:noProof/>
          <w:sz w:val="22"/>
          <w:szCs w:val="22"/>
        </w:rPr>
        <w:fldChar w:fldCharType="end"/>
      </w:r>
      <w:r w:rsidRPr="003422C8">
        <w:rPr>
          <w:rFonts w:ascii="Garamond" w:hAnsi="Garamond"/>
          <w:sz w:val="22"/>
          <w:szCs w:val="22"/>
        </w:rPr>
        <w:t>. Annual publications and citation structure of Inter-organizational business network research</w:t>
      </w:r>
      <w:bookmarkEnd w:id="41"/>
    </w:p>
    <w:p w14:paraId="30A11E73" w14:textId="77777777" w:rsidR="003D5DE8" w:rsidRPr="009672FC" w:rsidRDefault="007549AA">
      <w:pPr>
        <w:pStyle w:val="MDPI18keywords"/>
        <w:ind w:left="360"/>
        <w:rPr>
          <w:rFonts w:ascii="Garamond" w:hAnsi="Garamond"/>
          <w:sz w:val="24"/>
          <w:szCs w:val="24"/>
        </w:rPr>
      </w:pPr>
      <w:r w:rsidRPr="009672FC">
        <w:rPr>
          <w:rFonts w:ascii="Garamond" w:hAnsi="Garamond"/>
          <w:noProof/>
          <w:lang w:eastAsia="en-US" w:bidi="ar-SA"/>
        </w:rPr>
        <w:drawing>
          <wp:inline distT="0" distB="0" distL="0" distR="0" wp14:anchorId="7FDAAAD6" wp14:editId="02D8DF90">
            <wp:extent cx="4347845" cy="2384425"/>
            <wp:effectExtent l="0" t="0" r="0" b="0"/>
            <wp:docPr id="2" name="Obj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19E43D" w14:textId="463B0DF4" w:rsidR="003D5DE8" w:rsidRPr="009672FC" w:rsidRDefault="007549AA">
      <w:pPr>
        <w:pStyle w:val="MDPI18keywords"/>
        <w:spacing w:line="360" w:lineRule="auto"/>
        <w:ind w:left="360"/>
        <w:rPr>
          <w:rFonts w:ascii="Garamond" w:hAnsi="Garamond"/>
          <w:i/>
          <w:iCs/>
          <w:sz w:val="24"/>
          <w:szCs w:val="24"/>
        </w:rPr>
      </w:pPr>
      <w:r w:rsidRPr="009672FC">
        <w:rPr>
          <w:rFonts w:ascii="Garamond" w:hAnsi="Garamond"/>
          <w:i/>
          <w:iCs/>
          <w:sz w:val="24"/>
          <w:szCs w:val="24"/>
        </w:rPr>
        <w:t xml:space="preserve">Sourced: Author’s illustration; Dataset retrieved from </w:t>
      </w:r>
      <w:r w:rsidR="005C5F35" w:rsidRPr="009672FC">
        <w:rPr>
          <w:rFonts w:ascii="Garamond" w:hAnsi="Garamond"/>
          <w:i/>
          <w:iCs/>
          <w:sz w:val="24"/>
          <w:szCs w:val="24"/>
        </w:rPr>
        <w:t>Web of Science and ScienceDirect</w:t>
      </w:r>
      <w:r w:rsidRPr="009672FC">
        <w:rPr>
          <w:rFonts w:ascii="Garamond" w:hAnsi="Garamond"/>
          <w:i/>
          <w:iCs/>
          <w:sz w:val="24"/>
          <w:szCs w:val="24"/>
        </w:rPr>
        <w:t xml:space="preserve"> database</w:t>
      </w:r>
      <w:r w:rsidR="005C5F35" w:rsidRPr="009672FC">
        <w:rPr>
          <w:rFonts w:ascii="Garamond" w:hAnsi="Garamond"/>
          <w:i/>
          <w:iCs/>
          <w:sz w:val="24"/>
          <w:szCs w:val="24"/>
        </w:rPr>
        <w:t>s</w:t>
      </w:r>
      <w:r w:rsidRPr="009672FC">
        <w:rPr>
          <w:rFonts w:ascii="Garamond" w:hAnsi="Garamond"/>
          <w:i/>
          <w:iCs/>
          <w:sz w:val="24"/>
          <w:szCs w:val="24"/>
        </w:rPr>
        <w:t xml:space="preserve"> (1990-2021, July)</w:t>
      </w:r>
    </w:p>
    <w:p w14:paraId="34B4F9E2" w14:textId="1F32E319" w:rsidR="005C5F35" w:rsidRPr="009672FC" w:rsidRDefault="005C5F35" w:rsidP="00EB5D6B">
      <w:pPr>
        <w:pStyle w:val="MDPI18keywords"/>
        <w:numPr>
          <w:ilvl w:val="2"/>
          <w:numId w:val="8"/>
        </w:numPr>
        <w:spacing w:line="360" w:lineRule="auto"/>
        <w:outlineLvl w:val="2"/>
        <w:rPr>
          <w:rFonts w:ascii="Garamond" w:hAnsi="Garamond"/>
          <w:sz w:val="24"/>
          <w:szCs w:val="24"/>
          <w:lang w:val="en-GB"/>
        </w:rPr>
      </w:pPr>
      <w:bookmarkStart w:id="42" w:name="_Toc85709723"/>
      <w:r w:rsidRPr="009672FC">
        <w:rPr>
          <w:rFonts w:ascii="Garamond" w:hAnsi="Garamond"/>
          <w:b/>
          <w:i/>
          <w:sz w:val="24"/>
        </w:rPr>
        <w:t>Papers by Methodology</w:t>
      </w:r>
      <w:bookmarkEnd w:id="42"/>
    </w:p>
    <w:p w14:paraId="1DE332A3" w14:textId="0D6550BB" w:rsidR="005C5F35" w:rsidRDefault="005C5F35" w:rsidP="005C5F35">
      <w:pPr>
        <w:pStyle w:val="NoSpacing"/>
        <w:spacing w:line="360" w:lineRule="auto"/>
        <w:jc w:val="both"/>
        <w:rPr>
          <w:rFonts w:ascii="Garamond" w:hAnsi="Garamond" w:cs="Times New Roman"/>
          <w:sz w:val="24"/>
        </w:rPr>
      </w:pPr>
      <w:r w:rsidRPr="009672FC">
        <w:rPr>
          <w:rFonts w:ascii="Garamond" w:hAnsi="Garamond" w:cs="Times New Roman"/>
          <w:sz w:val="24"/>
        </w:rPr>
        <w:t>The review of papers according to research methodology been adopted (see Fig 2) was performed. The results show that qualitative and empirical methods dominate research on inter</w:t>
      </w:r>
      <w:r w:rsidR="002663FA" w:rsidRPr="009672FC">
        <w:rPr>
          <w:rFonts w:ascii="Garamond" w:hAnsi="Garamond" w:cs="Times New Roman"/>
          <w:sz w:val="24"/>
        </w:rPr>
        <w:t>-</w:t>
      </w:r>
      <w:r w:rsidRPr="009672FC">
        <w:rPr>
          <w:rFonts w:ascii="Garamond" w:hAnsi="Garamond" w:cs="Times New Roman"/>
          <w:sz w:val="24"/>
        </w:rPr>
        <w:t>organizational innovation. The qualitative method (40%) thus relies on the use of case studies, interviews, and direct observation. This confirms the behavio</w:t>
      </w:r>
      <w:r w:rsidR="002663FA" w:rsidRPr="009672FC">
        <w:rPr>
          <w:rFonts w:ascii="Garamond" w:hAnsi="Garamond" w:cs="Times New Roman"/>
          <w:sz w:val="24"/>
        </w:rPr>
        <w:t>u</w:t>
      </w:r>
      <w:r w:rsidRPr="009672FC">
        <w:rPr>
          <w:rFonts w:ascii="Garamond" w:hAnsi="Garamond" w:cs="Times New Roman"/>
          <w:sz w:val="24"/>
        </w:rPr>
        <w:t>ral dynamics surrounding inter</w:t>
      </w:r>
      <w:r w:rsidR="002663FA" w:rsidRPr="009672FC">
        <w:rPr>
          <w:rFonts w:ascii="Garamond" w:hAnsi="Garamond" w:cs="Times New Roman"/>
          <w:sz w:val="24"/>
        </w:rPr>
        <w:t>-</w:t>
      </w:r>
      <w:r w:rsidRPr="009672FC">
        <w:rPr>
          <w:rFonts w:ascii="Garamond" w:hAnsi="Garamond" w:cs="Times New Roman"/>
          <w:sz w:val="24"/>
        </w:rPr>
        <w:t>organizational collaboration. These methodological approaches enable researchers to engage respondents and create new insights from sets of predetermined research questions.</w:t>
      </w:r>
    </w:p>
    <w:p w14:paraId="02D6CC8F" w14:textId="1C0323E9" w:rsidR="00852A0F" w:rsidRPr="00852A0F" w:rsidRDefault="00852A0F" w:rsidP="00852A0F">
      <w:pPr>
        <w:pStyle w:val="NoSpacing"/>
        <w:spacing w:before="240" w:line="360" w:lineRule="auto"/>
        <w:jc w:val="both"/>
        <w:rPr>
          <w:rFonts w:ascii="Garamond" w:hAnsi="Garamond" w:cs="Times New Roman"/>
          <w:sz w:val="24"/>
          <w:lang w:val="en-US"/>
        </w:rPr>
      </w:pPr>
      <w:r w:rsidRPr="009672FC">
        <w:rPr>
          <w:rFonts w:ascii="Garamond" w:hAnsi="Garamond" w:cs="Times New Roman"/>
          <w:sz w:val="24"/>
          <w:lang w:val="en-US"/>
        </w:rPr>
        <w:lastRenderedPageBreak/>
        <w:t>The quantitative method (34%) is the second most dominant research method. Most researchers use multivariate regression methods and structural equation models. Researchers rely on surveys and secondary data on interfirm innovation. The mixed-method (17%) uses survey-generated data and interview results. Researchers use this method to minimize the weakness associated with a single method. The use of literature review (5%) (essays and reviews) and conceptual paper (4%) methodologies is limited.</w:t>
      </w:r>
    </w:p>
    <w:p w14:paraId="26286A1E" w14:textId="2741679F" w:rsidR="005C5F35" w:rsidRPr="00852A0F" w:rsidRDefault="00EB5D6B" w:rsidP="00EB5D6B">
      <w:pPr>
        <w:pStyle w:val="Caption"/>
        <w:jc w:val="center"/>
        <w:rPr>
          <w:rFonts w:ascii="Garamond" w:hAnsi="Garamond"/>
          <w:sz w:val="32"/>
          <w:szCs w:val="22"/>
        </w:rPr>
      </w:pPr>
      <w:bookmarkStart w:id="43" w:name="_Toc85710577"/>
      <w:r w:rsidRPr="00852A0F">
        <w:rPr>
          <w:rFonts w:ascii="Garamond" w:hAnsi="Garamond"/>
          <w:sz w:val="22"/>
          <w:szCs w:val="22"/>
        </w:rPr>
        <w:t xml:space="preserve">Figure </w:t>
      </w:r>
      <w:r w:rsidR="00C10BC3" w:rsidRPr="00852A0F">
        <w:rPr>
          <w:rFonts w:ascii="Garamond" w:hAnsi="Garamond"/>
          <w:sz w:val="22"/>
          <w:szCs w:val="22"/>
        </w:rPr>
        <w:fldChar w:fldCharType="begin"/>
      </w:r>
      <w:r w:rsidR="00C10BC3" w:rsidRPr="00852A0F">
        <w:rPr>
          <w:rFonts w:ascii="Garamond" w:hAnsi="Garamond"/>
          <w:sz w:val="22"/>
          <w:szCs w:val="22"/>
        </w:rPr>
        <w:instrText xml:space="preserve"> SEQ Figure \* ARABIC </w:instrText>
      </w:r>
      <w:r w:rsidR="00C10BC3" w:rsidRPr="00852A0F">
        <w:rPr>
          <w:rFonts w:ascii="Garamond" w:hAnsi="Garamond"/>
          <w:sz w:val="22"/>
          <w:szCs w:val="22"/>
        </w:rPr>
        <w:fldChar w:fldCharType="separate"/>
      </w:r>
      <w:r w:rsidR="001C1648">
        <w:rPr>
          <w:rFonts w:ascii="Garamond" w:hAnsi="Garamond"/>
          <w:noProof/>
          <w:sz w:val="22"/>
          <w:szCs w:val="22"/>
        </w:rPr>
        <w:t>2</w:t>
      </w:r>
      <w:r w:rsidR="00C10BC3" w:rsidRPr="00852A0F">
        <w:rPr>
          <w:rFonts w:ascii="Garamond" w:hAnsi="Garamond"/>
          <w:noProof/>
          <w:sz w:val="22"/>
          <w:szCs w:val="22"/>
        </w:rPr>
        <w:fldChar w:fldCharType="end"/>
      </w:r>
      <w:r w:rsidRPr="00852A0F">
        <w:rPr>
          <w:rFonts w:ascii="Garamond" w:hAnsi="Garamond"/>
          <w:sz w:val="22"/>
          <w:szCs w:val="22"/>
        </w:rPr>
        <w:t>. Article Distribution by Methodology</w:t>
      </w:r>
      <w:bookmarkEnd w:id="43"/>
    </w:p>
    <w:p w14:paraId="301A6165" w14:textId="00E7998F" w:rsidR="005C5F35" w:rsidRPr="009672FC" w:rsidRDefault="005C5F35" w:rsidP="005C5F35">
      <w:pPr>
        <w:pStyle w:val="NoSpacing"/>
        <w:spacing w:line="276" w:lineRule="auto"/>
        <w:jc w:val="center"/>
        <w:rPr>
          <w:rFonts w:ascii="Garamond" w:hAnsi="Garamond" w:cs="Times New Roman"/>
          <w:b/>
          <w:bCs/>
          <w:sz w:val="24"/>
        </w:rPr>
      </w:pPr>
      <w:r w:rsidRPr="009672FC">
        <w:rPr>
          <w:rFonts w:ascii="Garamond" w:hAnsi="Garamond"/>
          <w:noProof/>
          <w:lang w:val="en-US"/>
        </w:rPr>
        <w:drawing>
          <wp:inline distT="0" distB="0" distL="0" distR="0" wp14:anchorId="1440E680" wp14:editId="3ABADB7B">
            <wp:extent cx="5314207" cy="2057400"/>
            <wp:effectExtent l="0" t="0" r="1270" b="0"/>
            <wp:docPr id="14" name="Chart 14">
              <a:extLst xmlns:a="http://schemas.openxmlformats.org/drawingml/2006/main">
                <a:ext uri="{FF2B5EF4-FFF2-40B4-BE49-F238E27FC236}">
                  <a16:creationId xmlns:a16="http://schemas.microsoft.com/office/drawing/2014/main" id="{2A56C619-BC61-4E40-AA8A-C4E57BA333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40FB40B" w14:textId="441D71C1" w:rsidR="003D5DE8" w:rsidRPr="009672FC" w:rsidRDefault="007549AA" w:rsidP="005C5F35">
      <w:pPr>
        <w:pStyle w:val="MDPI18keywords"/>
        <w:numPr>
          <w:ilvl w:val="2"/>
          <w:numId w:val="8"/>
        </w:numPr>
        <w:spacing w:line="360" w:lineRule="auto"/>
        <w:outlineLvl w:val="2"/>
        <w:rPr>
          <w:rFonts w:ascii="Garamond" w:hAnsi="Garamond"/>
          <w:b/>
          <w:bCs/>
          <w:sz w:val="24"/>
          <w:szCs w:val="24"/>
          <w:lang w:val="en-GB"/>
        </w:rPr>
      </w:pPr>
      <w:bookmarkStart w:id="44" w:name="_Toc85708709"/>
      <w:bookmarkStart w:id="45" w:name="_Toc85709724"/>
      <w:r w:rsidRPr="009672FC">
        <w:rPr>
          <w:rFonts w:ascii="Garamond" w:hAnsi="Garamond"/>
          <w:b/>
          <w:bCs/>
          <w:i/>
          <w:iCs/>
          <w:sz w:val="24"/>
          <w:szCs w:val="24"/>
        </w:rPr>
        <w:t>The Most Influential Journals in Inter-organizational business network research</w:t>
      </w:r>
      <w:bookmarkEnd w:id="44"/>
      <w:bookmarkEnd w:id="45"/>
    </w:p>
    <w:p w14:paraId="597AD67F" w14:textId="6070EAAB" w:rsidR="003D5DE8" w:rsidRPr="009672FC" w:rsidRDefault="007549AA" w:rsidP="005C5F35">
      <w:pPr>
        <w:pStyle w:val="MDPI18keywords"/>
        <w:spacing w:before="0" w:line="360" w:lineRule="auto"/>
        <w:ind w:left="0"/>
        <w:rPr>
          <w:rFonts w:ascii="Garamond" w:hAnsi="Garamond"/>
          <w:i/>
          <w:iCs/>
          <w:sz w:val="24"/>
          <w:szCs w:val="24"/>
        </w:rPr>
      </w:pPr>
      <w:r w:rsidRPr="009672FC">
        <w:rPr>
          <w:rFonts w:ascii="Garamond" w:hAnsi="Garamond"/>
          <w:sz w:val="24"/>
          <w:szCs w:val="24"/>
        </w:rPr>
        <w:t xml:space="preserve">Of the total number of selected papers (89), the distribution (see table </w:t>
      </w:r>
      <w:r w:rsidR="005C5F35" w:rsidRPr="009672FC">
        <w:rPr>
          <w:rFonts w:ascii="Garamond" w:hAnsi="Garamond"/>
          <w:sz w:val="24"/>
          <w:szCs w:val="24"/>
        </w:rPr>
        <w:t>3</w:t>
      </w:r>
      <w:r w:rsidRPr="009672FC">
        <w:rPr>
          <w:rFonts w:ascii="Garamond" w:hAnsi="Garamond"/>
          <w:sz w:val="24"/>
          <w:szCs w:val="24"/>
        </w:rPr>
        <w:t xml:space="preserve">) shows </w:t>
      </w:r>
      <w:r w:rsidR="00CF726B" w:rsidRPr="009672FC">
        <w:rPr>
          <w:rFonts w:ascii="Garamond" w:hAnsi="Garamond"/>
          <w:sz w:val="24"/>
          <w:szCs w:val="24"/>
        </w:rPr>
        <w:t xml:space="preserve">the </w:t>
      </w:r>
      <w:r w:rsidRPr="009672FC">
        <w:rPr>
          <w:rFonts w:ascii="Garamond" w:hAnsi="Garamond"/>
          <w:sz w:val="24"/>
          <w:szCs w:val="24"/>
        </w:rPr>
        <w:t>twelve most dominant journal outlets in inter-organizational business network research. Since innovation characterizes the use of specialized knowledge and resources, outlets related to technological innovation, industrial market segments, and project management, were found to dominate the publications in the field.</w:t>
      </w:r>
    </w:p>
    <w:p w14:paraId="6B841280" w14:textId="6DCC6E3B" w:rsidR="00EB5D6B" w:rsidRPr="00852A0F" w:rsidRDefault="00EB5D6B" w:rsidP="00852A0F">
      <w:pPr>
        <w:pStyle w:val="Caption"/>
        <w:jc w:val="center"/>
        <w:rPr>
          <w:rFonts w:ascii="Garamond" w:hAnsi="Garamond"/>
          <w:sz w:val="22"/>
          <w:szCs w:val="22"/>
          <w:lang w:eastAsia="de-DE" w:bidi="en-US"/>
        </w:rPr>
      </w:pPr>
      <w:bookmarkStart w:id="46" w:name="_Toc85711311"/>
      <w:r w:rsidRPr="00852A0F">
        <w:rPr>
          <w:rFonts w:ascii="Garamond" w:hAnsi="Garamond"/>
          <w:sz w:val="22"/>
          <w:szCs w:val="22"/>
        </w:rPr>
        <w:t xml:space="preserve">Table </w:t>
      </w:r>
      <w:r w:rsidR="00C10BC3" w:rsidRPr="00852A0F">
        <w:rPr>
          <w:rFonts w:ascii="Garamond" w:hAnsi="Garamond"/>
          <w:sz w:val="22"/>
          <w:szCs w:val="22"/>
        </w:rPr>
        <w:fldChar w:fldCharType="begin"/>
      </w:r>
      <w:r w:rsidR="00C10BC3" w:rsidRPr="00852A0F">
        <w:rPr>
          <w:rFonts w:ascii="Garamond" w:hAnsi="Garamond"/>
          <w:sz w:val="22"/>
          <w:szCs w:val="22"/>
        </w:rPr>
        <w:instrText xml:space="preserve"> SEQ Table \* ARABIC </w:instrText>
      </w:r>
      <w:r w:rsidR="00C10BC3" w:rsidRPr="00852A0F">
        <w:rPr>
          <w:rFonts w:ascii="Garamond" w:hAnsi="Garamond"/>
          <w:sz w:val="22"/>
          <w:szCs w:val="22"/>
        </w:rPr>
        <w:fldChar w:fldCharType="separate"/>
      </w:r>
      <w:r w:rsidR="001C1648">
        <w:rPr>
          <w:rFonts w:ascii="Garamond" w:hAnsi="Garamond"/>
          <w:noProof/>
          <w:sz w:val="22"/>
          <w:szCs w:val="22"/>
        </w:rPr>
        <w:t>4</w:t>
      </w:r>
      <w:r w:rsidR="00C10BC3" w:rsidRPr="00852A0F">
        <w:rPr>
          <w:rFonts w:ascii="Garamond" w:hAnsi="Garamond"/>
          <w:noProof/>
          <w:sz w:val="22"/>
          <w:szCs w:val="22"/>
        </w:rPr>
        <w:fldChar w:fldCharType="end"/>
      </w:r>
      <w:r w:rsidRPr="00852A0F">
        <w:rPr>
          <w:rFonts w:ascii="Garamond" w:hAnsi="Garamond"/>
          <w:sz w:val="22"/>
          <w:szCs w:val="22"/>
        </w:rPr>
        <w:t>. The List of Top Nine Most Influential Journals in Inter-organizational business network Research</w:t>
      </w:r>
      <w:bookmarkEnd w:id="46"/>
    </w:p>
    <w:tbl>
      <w:tblPr>
        <w:tblW w:w="9062" w:type="dxa"/>
        <w:jc w:val="center"/>
        <w:tblLayout w:type="fixed"/>
        <w:tblLook w:val="04A0" w:firstRow="1" w:lastRow="0" w:firstColumn="1" w:lastColumn="0" w:noHBand="0" w:noVBand="1"/>
      </w:tblPr>
      <w:tblGrid>
        <w:gridCol w:w="2336"/>
        <w:gridCol w:w="4054"/>
        <w:gridCol w:w="1350"/>
        <w:gridCol w:w="1322"/>
      </w:tblGrid>
      <w:tr w:rsidR="003D5DE8" w:rsidRPr="009672FC" w14:paraId="13B18CA7" w14:textId="77777777">
        <w:trPr>
          <w:jc w:val="center"/>
        </w:trPr>
        <w:tc>
          <w:tcPr>
            <w:tcW w:w="2335" w:type="dxa"/>
            <w:tcBorders>
              <w:top w:val="single" w:sz="4" w:space="0" w:color="000000"/>
              <w:bottom w:val="single" w:sz="4" w:space="0" w:color="000000"/>
            </w:tcBorders>
            <w:shd w:val="clear" w:color="auto" w:fill="FFFFFF"/>
          </w:tcPr>
          <w:p w14:paraId="4F3ACD5C" w14:textId="77777777" w:rsidR="003D5DE8" w:rsidRPr="009672FC" w:rsidRDefault="007549AA" w:rsidP="00CF726B">
            <w:pPr>
              <w:widowControl w:val="0"/>
              <w:spacing w:line="276" w:lineRule="auto"/>
              <w:jc w:val="both"/>
              <w:rPr>
                <w:rFonts w:ascii="Garamond" w:hAnsi="Garamond"/>
                <w:b/>
                <w:bCs/>
                <w:sz w:val="20"/>
                <w:szCs w:val="20"/>
              </w:rPr>
            </w:pPr>
            <w:r w:rsidRPr="009672FC">
              <w:rPr>
                <w:rFonts w:ascii="Garamond" w:hAnsi="Garamond"/>
                <w:b/>
                <w:bCs/>
                <w:sz w:val="20"/>
                <w:szCs w:val="20"/>
              </w:rPr>
              <w:t xml:space="preserve">Abbreviation </w:t>
            </w:r>
          </w:p>
        </w:tc>
        <w:tc>
          <w:tcPr>
            <w:tcW w:w="4054" w:type="dxa"/>
            <w:tcBorders>
              <w:top w:val="single" w:sz="4" w:space="0" w:color="000000"/>
              <w:bottom w:val="single" w:sz="4" w:space="0" w:color="000000"/>
            </w:tcBorders>
            <w:shd w:val="clear" w:color="auto" w:fill="FFFFFF"/>
          </w:tcPr>
          <w:p w14:paraId="1DE51AB1" w14:textId="77777777" w:rsidR="003D5DE8" w:rsidRPr="009672FC" w:rsidRDefault="007549AA" w:rsidP="00CF726B">
            <w:pPr>
              <w:widowControl w:val="0"/>
              <w:spacing w:line="276" w:lineRule="auto"/>
              <w:jc w:val="both"/>
              <w:rPr>
                <w:rFonts w:ascii="Garamond" w:hAnsi="Garamond"/>
                <w:b/>
                <w:bCs/>
                <w:sz w:val="20"/>
                <w:szCs w:val="20"/>
              </w:rPr>
            </w:pPr>
            <w:r w:rsidRPr="009672FC">
              <w:rPr>
                <w:rFonts w:ascii="Garamond" w:hAnsi="Garamond"/>
                <w:b/>
                <w:bCs/>
                <w:sz w:val="20"/>
                <w:szCs w:val="20"/>
              </w:rPr>
              <w:t xml:space="preserve">Journal Name </w:t>
            </w:r>
          </w:p>
        </w:tc>
        <w:tc>
          <w:tcPr>
            <w:tcW w:w="1350" w:type="dxa"/>
            <w:tcBorders>
              <w:top w:val="single" w:sz="4" w:space="0" w:color="000000"/>
              <w:bottom w:val="single" w:sz="4" w:space="0" w:color="000000"/>
            </w:tcBorders>
            <w:shd w:val="clear" w:color="auto" w:fill="FFFFFF"/>
          </w:tcPr>
          <w:p w14:paraId="793DAAB9" w14:textId="77777777" w:rsidR="003D5DE8" w:rsidRPr="009672FC" w:rsidRDefault="007549AA" w:rsidP="00CF726B">
            <w:pPr>
              <w:widowControl w:val="0"/>
              <w:spacing w:line="276" w:lineRule="auto"/>
              <w:jc w:val="both"/>
              <w:rPr>
                <w:rFonts w:ascii="Garamond" w:hAnsi="Garamond"/>
                <w:b/>
                <w:bCs/>
                <w:sz w:val="20"/>
                <w:szCs w:val="20"/>
              </w:rPr>
            </w:pPr>
            <w:r w:rsidRPr="009672FC">
              <w:rPr>
                <w:rFonts w:ascii="Garamond" w:hAnsi="Garamond"/>
                <w:b/>
                <w:bCs/>
                <w:sz w:val="20"/>
                <w:szCs w:val="20"/>
              </w:rPr>
              <w:t xml:space="preserve">No. of Papers </w:t>
            </w:r>
          </w:p>
        </w:tc>
        <w:tc>
          <w:tcPr>
            <w:tcW w:w="1322" w:type="dxa"/>
            <w:tcBorders>
              <w:top w:val="single" w:sz="4" w:space="0" w:color="000000"/>
              <w:bottom w:val="single" w:sz="4" w:space="0" w:color="000000"/>
            </w:tcBorders>
            <w:shd w:val="clear" w:color="auto" w:fill="FFFFFF"/>
          </w:tcPr>
          <w:p w14:paraId="4DCB84C6" w14:textId="77777777" w:rsidR="003D5DE8" w:rsidRPr="009672FC" w:rsidRDefault="007549AA" w:rsidP="00CF726B">
            <w:pPr>
              <w:widowControl w:val="0"/>
              <w:spacing w:line="276" w:lineRule="auto"/>
              <w:jc w:val="both"/>
              <w:rPr>
                <w:rFonts w:ascii="Garamond" w:hAnsi="Garamond"/>
                <w:b/>
                <w:bCs/>
                <w:sz w:val="20"/>
                <w:szCs w:val="20"/>
              </w:rPr>
            </w:pPr>
            <w:r w:rsidRPr="009672FC">
              <w:rPr>
                <w:rFonts w:ascii="Garamond" w:hAnsi="Garamond"/>
                <w:b/>
                <w:bCs/>
                <w:sz w:val="20"/>
                <w:szCs w:val="20"/>
              </w:rPr>
              <w:t>SCImago JR (2020)</w:t>
            </w:r>
          </w:p>
        </w:tc>
      </w:tr>
      <w:tr w:rsidR="003D5DE8" w:rsidRPr="009672FC" w14:paraId="7BA638CE" w14:textId="77777777">
        <w:trPr>
          <w:jc w:val="center"/>
        </w:trPr>
        <w:tc>
          <w:tcPr>
            <w:tcW w:w="2335" w:type="dxa"/>
            <w:tcBorders>
              <w:top w:val="single" w:sz="4" w:space="0" w:color="000000"/>
            </w:tcBorders>
            <w:shd w:val="clear" w:color="auto" w:fill="FFFFFF"/>
          </w:tcPr>
          <w:p w14:paraId="1D6DABA7"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 xml:space="preserve">Ind. Mark. </w:t>
            </w:r>
            <w:proofErr w:type="spellStart"/>
            <w:r w:rsidRPr="00115549">
              <w:rPr>
                <w:rFonts w:ascii="Garamond" w:hAnsi="Garamond"/>
                <w:i/>
                <w:iCs/>
                <w:sz w:val="22"/>
                <w:szCs w:val="22"/>
                <w:shd w:val="clear" w:color="auto" w:fill="FFFFFF"/>
              </w:rPr>
              <w:t>Manag</w:t>
            </w:r>
            <w:proofErr w:type="spellEnd"/>
            <w:r w:rsidRPr="00115549">
              <w:rPr>
                <w:rFonts w:ascii="Garamond" w:hAnsi="Garamond"/>
                <w:i/>
                <w:iCs/>
                <w:sz w:val="22"/>
                <w:szCs w:val="22"/>
                <w:shd w:val="clear" w:color="auto" w:fill="FFFFFF"/>
              </w:rPr>
              <w:t>.</w:t>
            </w:r>
          </w:p>
        </w:tc>
        <w:tc>
          <w:tcPr>
            <w:tcW w:w="4054" w:type="dxa"/>
            <w:tcBorders>
              <w:top w:val="single" w:sz="4" w:space="0" w:color="000000"/>
            </w:tcBorders>
            <w:shd w:val="clear" w:color="auto" w:fill="FFFFFF"/>
          </w:tcPr>
          <w:p w14:paraId="135ED600"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Industrial Marketing Management</w:t>
            </w:r>
          </w:p>
        </w:tc>
        <w:tc>
          <w:tcPr>
            <w:tcW w:w="1350" w:type="dxa"/>
            <w:tcBorders>
              <w:top w:val="single" w:sz="4" w:space="0" w:color="000000"/>
            </w:tcBorders>
            <w:shd w:val="clear" w:color="auto" w:fill="FFFFFF"/>
          </w:tcPr>
          <w:p w14:paraId="3844778C"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12</w:t>
            </w:r>
          </w:p>
        </w:tc>
        <w:tc>
          <w:tcPr>
            <w:tcW w:w="1322" w:type="dxa"/>
            <w:tcBorders>
              <w:top w:val="single" w:sz="4" w:space="0" w:color="000000"/>
            </w:tcBorders>
            <w:shd w:val="clear" w:color="auto" w:fill="FFFFFF"/>
          </w:tcPr>
          <w:p w14:paraId="35AAFC85"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2.022</w:t>
            </w:r>
          </w:p>
        </w:tc>
      </w:tr>
      <w:tr w:rsidR="003D5DE8" w:rsidRPr="009672FC" w14:paraId="20D42964" w14:textId="77777777">
        <w:trPr>
          <w:jc w:val="center"/>
        </w:trPr>
        <w:tc>
          <w:tcPr>
            <w:tcW w:w="2335" w:type="dxa"/>
            <w:shd w:val="clear" w:color="auto" w:fill="FFFFFF"/>
          </w:tcPr>
          <w:p w14:paraId="32DE2368"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 xml:space="preserve">Int. J. </w:t>
            </w:r>
            <w:proofErr w:type="spellStart"/>
            <w:r w:rsidRPr="00115549">
              <w:rPr>
                <w:rFonts w:ascii="Garamond" w:hAnsi="Garamond"/>
                <w:i/>
                <w:iCs/>
                <w:sz w:val="22"/>
                <w:szCs w:val="22"/>
                <w:shd w:val="clear" w:color="auto" w:fill="FFFFFF"/>
              </w:rPr>
              <w:t>Innov</w:t>
            </w:r>
            <w:proofErr w:type="spellEnd"/>
            <w:r w:rsidRPr="00115549">
              <w:rPr>
                <w:rFonts w:ascii="Garamond" w:hAnsi="Garamond"/>
                <w:i/>
                <w:iCs/>
                <w:sz w:val="22"/>
                <w:szCs w:val="22"/>
                <w:shd w:val="clear" w:color="auto" w:fill="FFFFFF"/>
              </w:rPr>
              <w:t>. Mana</w:t>
            </w:r>
          </w:p>
        </w:tc>
        <w:tc>
          <w:tcPr>
            <w:tcW w:w="4054" w:type="dxa"/>
            <w:shd w:val="clear" w:color="auto" w:fill="FFFFFF"/>
          </w:tcPr>
          <w:p w14:paraId="0F012E44"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International Journal of Innovation Management</w:t>
            </w:r>
          </w:p>
        </w:tc>
        <w:tc>
          <w:tcPr>
            <w:tcW w:w="1350" w:type="dxa"/>
            <w:shd w:val="clear" w:color="auto" w:fill="FFFFFF"/>
          </w:tcPr>
          <w:p w14:paraId="3B58A63E"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10</w:t>
            </w:r>
          </w:p>
        </w:tc>
        <w:tc>
          <w:tcPr>
            <w:tcW w:w="1322" w:type="dxa"/>
            <w:shd w:val="clear" w:color="auto" w:fill="FFFFFF"/>
          </w:tcPr>
          <w:p w14:paraId="52EE738F"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0.572</w:t>
            </w:r>
          </w:p>
        </w:tc>
      </w:tr>
      <w:tr w:rsidR="003D5DE8" w:rsidRPr="009672FC" w14:paraId="39A4C5CD" w14:textId="77777777">
        <w:trPr>
          <w:jc w:val="center"/>
        </w:trPr>
        <w:tc>
          <w:tcPr>
            <w:tcW w:w="2335" w:type="dxa"/>
            <w:shd w:val="clear" w:color="auto" w:fill="FFFFFF"/>
          </w:tcPr>
          <w:p w14:paraId="06449F26"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 xml:space="preserve">Int. J. </w:t>
            </w:r>
            <w:proofErr w:type="spellStart"/>
            <w:r w:rsidRPr="00115549">
              <w:rPr>
                <w:rFonts w:ascii="Garamond" w:hAnsi="Garamond"/>
                <w:i/>
                <w:iCs/>
                <w:sz w:val="22"/>
                <w:szCs w:val="22"/>
                <w:shd w:val="clear" w:color="auto" w:fill="FFFFFF"/>
              </w:rPr>
              <w:t>Proj</w:t>
            </w:r>
            <w:proofErr w:type="spellEnd"/>
            <w:r w:rsidRPr="00115549">
              <w:rPr>
                <w:rFonts w:ascii="Garamond" w:hAnsi="Garamond"/>
                <w:i/>
                <w:iCs/>
                <w:sz w:val="22"/>
                <w:szCs w:val="22"/>
                <w:shd w:val="clear" w:color="auto" w:fill="FFFFFF"/>
              </w:rPr>
              <w:t xml:space="preserve">. </w:t>
            </w:r>
            <w:proofErr w:type="spellStart"/>
            <w:r w:rsidRPr="00115549">
              <w:rPr>
                <w:rFonts w:ascii="Garamond" w:hAnsi="Garamond"/>
                <w:i/>
                <w:iCs/>
                <w:sz w:val="22"/>
                <w:szCs w:val="22"/>
                <w:shd w:val="clear" w:color="auto" w:fill="FFFFFF"/>
              </w:rPr>
              <w:t>Manag</w:t>
            </w:r>
            <w:proofErr w:type="spellEnd"/>
          </w:p>
        </w:tc>
        <w:tc>
          <w:tcPr>
            <w:tcW w:w="4054" w:type="dxa"/>
            <w:shd w:val="clear" w:color="auto" w:fill="FFFFFF"/>
          </w:tcPr>
          <w:p w14:paraId="119A22AA"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International Journal of Project Management</w:t>
            </w:r>
          </w:p>
        </w:tc>
        <w:tc>
          <w:tcPr>
            <w:tcW w:w="1350" w:type="dxa"/>
            <w:shd w:val="clear" w:color="auto" w:fill="FFFFFF"/>
          </w:tcPr>
          <w:p w14:paraId="61308D87"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9</w:t>
            </w:r>
          </w:p>
        </w:tc>
        <w:tc>
          <w:tcPr>
            <w:tcW w:w="1322" w:type="dxa"/>
            <w:shd w:val="clear" w:color="auto" w:fill="FFFFFF"/>
          </w:tcPr>
          <w:p w14:paraId="1EB24F9C"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shd w:val="clear" w:color="auto" w:fill="FFFFFF"/>
              </w:rPr>
              <w:t>2.762</w:t>
            </w:r>
          </w:p>
        </w:tc>
      </w:tr>
      <w:tr w:rsidR="003D5DE8" w:rsidRPr="009672FC" w14:paraId="29835315" w14:textId="77777777">
        <w:trPr>
          <w:jc w:val="center"/>
        </w:trPr>
        <w:tc>
          <w:tcPr>
            <w:tcW w:w="2335" w:type="dxa"/>
            <w:shd w:val="clear" w:color="auto" w:fill="FFFFFF"/>
          </w:tcPr>
          <w:p w14:paraId="014510CF"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Technol Forecast Soc Change</w:t>
            </w:r>
          </w:p>
        </w:tc>
        <w:tc>
          <w:tcPr>
            <w:tcW w:w="4054" w:type="dxa"/>
            <w:shd w:val="clear" w:color="auto" w:fill="FFFFFF"/>
          </w:tcPr>
          <w:p w14:paraId="51A285AD"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Technological Forecasting and Social Change</w:t>
            </w:r>
          </w:p>
        </w:tc>
        <w:tc>
          <w:tcPr>
            <w:tcW w:w="1350" w:type="dxa"/>
            <w:shd w:val="clear" w:color="auto" w:fill="FFFFFF"/>
          </w:tcPr>
          <w:p w14:paraId="62EF2BB1"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7</w:t>
            </w:r>
          </w:p>
        </w:tc>
        <w:tc>
          <w:tcPr>
            <w:tcW w:w="1322" w:type="dxa"/>
            <w:shd w:val="clear" w:color="auto" w:fill="FFFFFF"/>
          </w:tcPr>
          <w:p w14:paraId="0C6C158C"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shd w:val="clear" w:color="auto" w:fill="FFFFFF"/>
              </w:rPr>
              <w:t>2.226</w:t>
            </w:r>
          </w:p>
        </w:tc>
      </w:tr>
      <w:tr w:rsidR="003D5DE8" w:rsidRPr="009672FC" w14:paraId="209CA0F2" w14:textId="77777777">
        <w:trPr>
          <w:jc w:val="center"/>
        </w:trPr>
        <w:tc>
          <w:tcPr>
            <w:tcW w:w="2335" w:type="dxa"/>
            <w:shd w:val="clear" w:color="auto" w:fill="FFFFFF"/>
          </w:tcPr>
          <w:p w14:paraId="2E172173"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J. Bus. Res.</w:t>
            </w:r>
          </w:p>
        </w:tc>
        <w:tc>
          <w:tcPr>
            <w:tcW w:w="4054" w:type="dxa"/>
            <w:shd w:val="clear" w:color="auto" w:fill="FFFFFF"/>
          </w:tcPr>
          <w:p w14:paraId="486B03EE"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Journal of Business Research</w:t>
            </w:r>
          </w:p>
        </w:tc>
        <w:tc>
          <w:tcPr>
            <w:tcW w:w="1350" w:type="dxa"/>
            <w:shd w:val="clear" w:color="auto" w:fill="FFFFFF"/>
          </w:tcPr>
          <w:p w14:paraId="4C82A26B"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4</w:t>
            </w:r>
          </w:p>
        </w:tc>
        <w:tc>
          <w:tcPr>
            <w:tcW w:w="1322" w:type="dxa"/>
            <w:shd w:val="clear" w:color="auto" w:fill="FFFFFF"/>
          </w:tcPr>
          <w:p w14:paraId="4A9DBE5C"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shd w:val="clear" w:color="auto" w:fill="FFFFFF"/>
              </w:rPr>
              <w:t>2.049</w:t>
            </w:r>
          </w:p>
        </w:tc>
      </w:tr>
      <w:tr w:rsidR="003D5DE8" w:rsidRPr="009672FC" w14:paraId="44E4D96B" w14:textId="77777777">
        <w:trPr>
          <w:jc w:val="center"/>
        </w:trPr>
        <w:tc>
          <w:tcPr>
            <w:tcW w:w="2335" w:type="dxa"/>
            <w:shd w:val="clear" w:color="auto" w:fill="FFFFFF"/>
          </w:tcPr>
          <w:p w14:paraId="33D72F5E"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 xml:space="preserve">Int. J. </w:t>
            </w:r>
            <w:proofErr w:type="spellStart"/>
            <w:r w:rsidRPr="00115549">
              <w:rPr>
                <w:rFonts w:ascii="Garamond" w:hAnsi="Garamond"/>
                <w:i/>
                <w:iCs/>
                <w:sz w:val="22"/>
                <w:szCs w:val="22"/>
                <w:shd w:val="clear" w:color="auto" w:fill="FFFFFF"/>
              </w:rPr>
              <w:t>Oper</w:t>
            </w:r>
            <w:proofErr w:type="spellEnd"/>
            <w:r w:rsidRPr="00115549">
              <w:rPr>
                <w:rFonts w:ascii="Garamond" w:hAnsi="Garamond"/>
                <w:i/>
                <w:iCs/>
                <w:sz w:val="22"/>
                <w:szCs w:val="22"/>
                <w:shd w:val="clear" w:color="auto" w:fill="FFFFFF"/>
              </w:rPr>
              <w:t xml:space="preserve">. Prod. </w:t>
            </w:r>
            <w:proofErr w:type="spellStart"/>
            <w:r w:rsidRPr="00115549">
              <w:rPr>
                <w:rFonts w:ascii="Garamond" w:hAnsi="Garamond"/>
                <w:i/>
                <w:iCs/>
                <w:sz w:val="22"/>
                <w:szCs w:val="22"/>
                <w:shd w:val="clear" w:color="auto" w:fill="FFFFFF"/>
              </w:rPr>
              <w:t>Manag</w:t>
            </w:r>
            <w:proofErr w:type="spellEnd"/>
            <w:r w:rsidRPr="00115549">
              <w:rPr>
                <w:rFonts w:ascii="Garamond" w:hAnsi="Garamond"/>
                <w:i/>
                <w:iCs/>
                <w:sz w:val="22"/>
                <w:szCs w:val="22"/>
                <w:shd w:val="clear" w:color="auto" w:fill="FFFFFF"/>
              </w:rPr>
              <w:t>.</w:t>
            </w:r>
          </w:p>
        </w:tc>
        <w:tc>
          <w:tcPr>
            <w:tcW w:w="4054" w:type="dxa"/>
            <w:shd w:val="clear" w:color="auto" w:fill="FFFFFF"/>
          </w:tcPr>
          <w:p w14:paraId="6140FF9D"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International Journal of Operations &amp; Production Management</w:t>
            </w:r>
          </w:p>
        </w:tc>
        <w:tc>
          <w:tcPr>
            <w:tcW w:w="1350" w:type="dxa"/>
            <w:shd w:val="clear" w:color="auto" w:fill="FFFFFF"/>
          </w:tcPr>
          <w:p w14:paraId="159B1B68"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4</w:t>
            </w:r>
          </w:p>
        </w:tc>
        <w:tc>
          <w:tcPr>
            <w:tcW w:w="1322" w:type="dxa"/>
            <w:shd w:val="clear" w:color="auto" w:fill="FFFFFF"/>
          </w:tcPr>
          <w:p w14:paraId="7A77116F"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2.158</w:t>
            </w:r>
          </w:p>
        </w:tc>
      </w:tr>
      <w:tr w:rsidR="003D5DE8" w:rsidRPr="009672FC" w14:paraId="5DB49001" w14:textId="77777777">
        <w:trPr>
          <w:jc w:val="center"/>
        </w:trPr>
        <w:tc>
          <w:tcPr>
            <w:tcW w:w="2335" w:type="dxa"/>
            <w:shd w:val="clear" w:color="auto" w:fill="FFFFFF"/>
          </w:tcPr>
          <w:p w14:paraId="1A75AEB9"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J. Bus. Ind. Mark</w:t>
            </w:r>
          </w:p>
        </w:tc>
        <w:tc>
          <w:tcPr>
            <w:tcW w:w="4054" w:type="dxa"/>
            <w:shd w:val="clear" w:color="auto" w:fill="FFFFFF"/>
          </w:tcPr>
          <w:p w14:paraId="2FBCA24F"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Journal of Business and Industrial Marketing</w:t>
            </w:r>
          </w:p>
        </w:tc>
        <w:tc>
          <w:tcPr>
            <w:tcW w:w="1350" w:type="dxa"/>
            <w:shd w:val="clear" w:color="auto" w:fill="FFFFFF"/>
          </w:tcPr>
          <w:p w14:paraId="72AB85E4"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3</w:t>
            </w:r>
          </w:p>
        </w:tc>
        <w:tc>
          <w:tcPr>
            <w:tcW w:w="1322" w:type="dxa"/>
            <w:shd w:val="clear" w:color="auto" w:fill="FFFFFF"/>
          </w:tcPr>
          <w:p w14:paraId="393C69D3"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0.738</w:t>
            </w:r>
          </w:p>
        </w:tc>
      </w:tr>
      <w:tr w:rsidR="003D5DE8" w:rsidRPr="009672FC" w14:paraId="513DA962" w14:textId="77777777">
        <w:trPr>
          <w:jc w:val="center"/>
        </w:trPr>
        <w:tc>
          <w:tcPr>
            <w:tcW w:w="2335" w:type="dxa"/>
            <w:shd w:val="clear" w:color="auto" w:fill="FFFFFF"/>
          </w:tcPr>
          <w:p w14:paraId="730553B9"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 xml:space="preserve">J. </w:t>
            </w:r>
            <w:proofErr w:type="spellStart"/>
            <w:r w:rsidRPr="00115549">
              <w:rPr>
                <w:rFonts w:ascii="Garamond" w:hAnsi="Garamond"/>
                <w:i/>
                <w:iCs/>
                <w:sz w:val="22"/>
                <w:szCs w:val="22"/>
                <w:shd w:val="clear" w:color="auto" w:fill="FFFFFF"/>
              </w:rPr>
              <w:t>Knowl</w:t>
            </w:r>
            <w:proofErr w:type="spellEnd"/>
            <w:r w:rsidRPr="00115549">
              <w:rPr>
                <w:rFonts w:ascii="Garamond" w:hAnsi="Garamond"/>
                <w:i/>
                <w:iCs/>
                <w:sz w:val="22"/>
                <w:szCs w:val="22"/>
                <w:shd w:val="clear" w:color="auto" w:fill="FFFFFF"/>
              </w:rPr>
              <w:t xml:space="preserve">. </w:t>
            </w:r>
            <w:proofErr w:type="spellStart"/>
            <w:r w:rsidRPr="00115549">
              <w:rPr>
                <w:rFonts w:ascii="Garamond" w:hAnsi="Garamond"/>
                <w:i/>
                <w:iCs/>
                <w:sz w:val="22"/>
                <w:szCs w:val="22"/>
                <w:shd w:val="clear" w:color="auto" w:fill="FFFFFF"/>
              </w:rPr>
              <w:t>Manag</w:t>
            </w:r>
            <w:proofErr w:type="spellEnd"/>
            <w:r w:rsidRPr="00115549">
              <w:rPr>
                <w:rFonts w:ascii="Garamond" w:hAnsi="Garamond"/>
                <w:i/>
                <w:iCs/>
                <w:sz w:val="22"/>
                <w:szCs w:val="22"/>
                <w:shd w:val="clear" w:color="auto" w:fill="FFFFFF"/>
              </w:rPr>
              <w:t>.</w:t>
            </w:r>
          </w:p>
        </w:tc>
        <w:tc>
          <w:tcPr>
            <w:tcW w:w="4054" w:type="dxa"/>
            <w:shd w:val="clear" w:color="auto" w:fill="FFFFFF"/>
          </w:tcPr>
          <w:p w14:paraId="2E69C67C"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Journal of Knowledge Management</w:t>
            </w:r>
          </w:p>
        </w:tc>
        <w:tc>
          <w:tcPr>
            <w:tcW w:w="1350" w:type="dxa"/>
            <w:shd w:val="clear" w:color="auto" w:fill="FFFFFF"/>
          </w:tcPr>
          <w:p w14:paraId="2AF05AA4"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3</w:t>
            </w:r>
          </w:p>
        </w:tc>
        <w:tc>
          <w:tcPr>
            <w:tcW w:w="1322" w:type="dxa"/>
            <w:shd w:val="clear" w:color="auto" w:fill="FFFFFF"/>
          </w:tcPr>
          <w:p w14:paraId="61D20604"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1.841</w:t>
            </w:r>
          </w:p>
        </w:tc>
      </w:tr>
      <w:tr w:rsidR="003D5DE8" w:rsidRPr="009672FC" w14:paraId="0CFB956A" w14:textId="77777777">
        <w:trPr>
          <w:jc w:val="center"/>
        </w:trPr>
        <w:tc>
          <w:tcPr>
            <w:tcW w:w="2335" w:type="dxa"/>
            <w:tcBorders>
              <w:bottom w:val="single" w:sz="4" w:space="0" w:color="000000"/>
            </w:tcBorders>
            <w:shd w:val="clear" w:color="auto" w:fill="FFFFFF"/>
          </w:tcPr>
          <w:p w14:paraId="4597FDF3"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shd w:val="clear" w:color="auto" w:fill="FFFFFF"/>
              </w:rPr>
              <w:t>Eur. J. </w:t>
            </w:r>
            <w:proofErr w:type="spellStart"/>
            <w:r w:rsidRPr="00115549">
              <w:rPr>
                <w:rFonts w:ascii="Garamond" w:hAnsi="Garamond"/>
                <w:i/>
                <w:iCs/>
                <w:sz w:val="22"/>
                <w:szCs w:val="22"/>
                <w:shd w:val="clear" w:color="auto" w:fill="FFFFFF"/>
              </w:rPr>
              <w:t>Innov</w:t>
            </w:r>
            <w:proofErr w:type="spellEnd"/>
            <w:r w:rsidRPr="00115549">
              <w:rPr>
                <w:rFonts w:ascii="Garamond" w:hAnsi="Garamond"/>
                <w:i/>
                <w:iCs/>
                <w:sz w:val="22"/>
                <w:szCs w:val="22"/>
                <w:shd w:val="clear" w:color="auto" w:fill="FFFFFF"/>
              </w:rPr>
              <w:t xml:space="preserve">. </w:t>
            </w:r>
            <w:proofErr w:type="spellStart"/>
            <w:r w:rsidRPr="00115549">
              <w:rPr>
                <w:rFonts w:ascii="Garamond" w:hAnsi="Garamond"/>
                <w:i/>
                <w:iCs/>
                <w:sz w:val="22"/>
                <w:szCs w:val="22"/>
                <w:shd w:val="clear" w:color="auto" w:fill="FFFFFF"/>
              </w:rPr>
              <w:t>Manag</w:t>
            </w:r>
            <w:proofErr w:type="spellEnd"/>
            <w:r w:rsidRPr="00115549">
              <w:rPr>
                <w:rFonts w:ascii="Garamond" w:hAnsi="Garamond"/>
                <w:i/>
                <w:iCs/>
                <w:sz w:val="22"/>
                <w:szCs w:val="22"/>
                <w:shd w:val="clear" w:color="auto" w:fill="FFFFFF"/>
              </w:rPr>
              <w:t>.</w:t>
            </w:r>
          </w:p>
        </w:tc>
        <w:tc>
          <w:tcPr>
            <w:tcW w:w="4054" w:type="dxa"/>
            <w:tcBorders>
              <w:bottom w:val="single" w:sz="4" w:space="0" w:color="000000"/>
            </w:tcBorders>
            <w:shd w:val="clear" w:color="auto" w:fill="FFFFFF"/>
          </w:tcPr>
          <w:p w14:paraId="72F63BF3" w14:textId="77777777" w:rsidR="003D5DE8" w:rsidRPr="00115549" w:rsidRDefault="007549AA" w:rsidP="00CF726B">
            <w:pPr>
              <w:widowControl w:val="0"/>
              <w:spacing w:line="276" w:lineRule="auto"/>
              <w:jc w:val="both"/>
              <w:rPr>
                <w:rFonts w:ascii="Garamond" w:hAnsi="Garamond"/>
                <w:i/>
                <w:iCs/>
                <w:sz w:val="22"/>
                <w:szCs w:val="22"/>
              </w:rPr>
            </w:pPr>
            <w:r w:rsidRPr="00115549">
              <w:rPr>
                <w:rFonts w:ascii="Garamond" w:hAnsi="Garamond"/>
                <w:i/>
                <w:iCs/>
                <w:sz w:val="22"/>
                <w:szCs w:val="22"/>
              </w:rPr>
              <w:t>European Journal of Innovation Management</w:t>
            </w:r>
          </w:p>
        </w:tc>
        <w:tc>
          <w:tcPr>
            <w:tcW w:w="1350" w:type="dxa"/>
            <w:tcBorders>
              <w:bottom w:val="single" w:sz="4" w:space="0" w:color="000000"/>
            </w:tcBorders>
            <w:shd w:val="clear" w:color="auto" w:fill="FFFFFF"/>
          </w:tcPr>
          <w:p w14:paraId="6B66CFF6"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3</w:t>
            </w:r>
          </w:p>
        </w:tc>
        <w:tc>
          <w:tcPr>
            <w:tcW w:w="1322" w:type="dxa"/>
            <w:tcBorders>
              <w:bottom w:val="single" w:sz="4" w:space="0" w:color="000000"/>
            </w:tcBorders>
            <w:shd w:val="clear" w:color="auto" w:fill="FFFFFF"/>
          </w:tcPr>
          <w:p w14:paraId="624505C7" w14:textId="77777777" w:rsidR="003D5DE8" w:rsidRPr="00115549" w:rsidRDefault="007549AA" w:rsidP="00CF726B">
            <w:pPr>
              <w:widowControl w:val="0"/>
              <w:spacing w:line="276" w:lineRule="auto"/>
              <w:jc w:val="both"/>
              <w:rPr>
                <w:rFonts w:ascii="Garamond" w:hAnsi="Garamond"/>
                <w:sz w:val="22"/>
                <w:szCs w:val="22"/>
              </w:rPr>
            </w:pPr>
            <w:r w:rsidRPr="00115549">
              <w:rPr>
                <w:rFonts w:ascii="Garamond" w:hAnsi="Garamond"/>
                <w:sz w:val="22"/>
                <w:szCs w:val="22"/>
              </w:rPr>
              <w:t>0.775</w:t>
            </w:r>
          </w:p>
        </w:tc>
      </w:tr>
    </w:tbl>
    <w:p w14:paraId="2A9FA920" w14:textId="77777777" w:rsidR="003D5DE8" w:rsidRPr="009672FC" w:rsidRDefault="007549AA" w:rsidP="005C5F35">
      <w:pPr>
        <w:pStyle w:val="MDPI18keywords"/>
        <w:spacing w:before="0" w:line="360" w:lineRule="auto"/>
        <w:rPr>
          <w:rFonts w:ascii="Garamond" w:hAnsi="Garamond"/>
          <w:i/>
          <w:iCs/>
          <w:sz w:val="24"/>
          <w:szCs w:val="24"/>
        </w:rPr>
      </w:pPr>
      <w:r w:rsidRPr="009672FC">
        <w:rPr>
          <w:rFonts w:ascii="Garamond" w:hAnsi="Garamond"/>
          <w:b/>
          <w:bCs/>
          <w:i/>
          <w:iCs/>
          <w:sz w:val="24"/>
          <w:szCs w:val="24"/>
        </w:rPr>
        <w:t xml:space="preserve">Source: </w:t>
      </w:r>
      <w:r w:rsidRPr="009672FC">
        <w:rPr>
          <w:rFonts w:ascii="Garamond" w:hAnsi="Garamond"/>
          <w:i/>
          <w:iCs/>
          <w:sz w:val="24"/>
          <w:szCs w:val="24"/>
        </w:rPr>
        <w:t>Author’s elaboration.</w:t>
      </w:r>
    </w:p>
    <w:p w14:paraId="156CC5B3" w14:textId="77777777" w:rsidR="00852A0F" w:rsidRDefault="007549AA" w:rsidP="00CF726B">
      <w:pPr>
        <w:pStyle w:val="MDPI18keywords"/>
        <w:spacing w:line="360" w:lineRule="auto"/>
        <w:ind w:left="0"/>
        <w:rPr>
          <w:rFonts w:ascii="Garamond" w:hAnsi="Garamond"/>
          <w:sz w:val="24"/>
          <w:szCs w:val="24"/>
          <w:lang w:val="en-GB"/>
        </w:rPr>
      </w:pPr>
      <w:r w:rsidRPr="009672FC">
        <w:rPr>
          <w:rFonts w:ascii="Garamond" w:hAnsi="Garamond"/>
          <w:i/>
          <w:iCs/>
          <w:sz w:val="24"/>
          <w:szCs w:val="24"/>
        </w:rPr>
        <w:lastRenderedPageBreak/>
        <w:t xml:space="preserve">Industrial Marketing Management </w:t>
      </w:r>
      <w:r w:rsidRPr="009672FC">
        <w:rPr>
          <w:rFonts w:ascii="Garamond" w:hAnsi="Garamond"/>
          <w:sz w:val="24"/>
          <w:szCs w:val="24"/>
        </w:rPr>
        <w:t>dominates the publication of research in inter-organizational business networks. One Elsevier’s top journal, the journal is highly known for publications on high-tech firms and publishes empirical and case study research that ha</w:t>
      </w:r>
      <w:r w:rsidR="00CF726B" w:rsidRPr="009672FC">
        <w:rPr>
          <w:rFonts w:ascii="Garamond" w:hAnsi="Garamond"/>
          <w:sz w:val="24"/>
          <w:szCs w:val="24"/>
        </w:rPr>
        <w:t>s</w:t>
      </w:r>
      <w:r w:rsidRPr="009672FC">
        <w:rPr>
          <w:rFonts w:ascii="Garamond" w:hAnsi="Garamond"/>
          <w:sz w:val="24"/>
          <w:szCs w:val="24"/>
        </w:rPr>
        <w:t xml:space="preserve"> practical implication</w:t>
      </w:r>
      <w:r w:rsidR="00CF726B" w:rsidRPr="009672FC">
        <w:rPr>
          <w:rFonts w:ascii="Garamond" w:hAnsi="Garamond"/>
          <w:sz w:val="24"/>
          <w:szCs w:val="24"/>
        </w:rPr>
        <w:t>s</w:t>
      </w:r>
      <w:r w:rsidRPr="009672FC">
        <w:rPr>
          <w:rFonts w:ascii="Garamond" w:hAnsi="Garamond"/>
          <w:sz w:val="24"/>
          <w:szCs w:val="24"/>
        </w:rPr>
        <w:t xml:space="preserve"> for industrial and business-to-business markets. The journal has a yearly overall rank of (2.022), with </w:t>
      </w:r>
      <w:r w:rsidR="00CF726B" w:rsidRPr="009672FC">
        <w:rPr>
          <w:rFonts w:ascii="Garamond" w:hAnsi="Garamond"/>
          <w:sz w:val="24"/>
          <w:szCs w:val="24"/>
        </w:rPr>
        <w:t xml:space="preserve">an </w:t>
      </w:r>
      <w:r w:rsidRPr="009672FC">
        <w:rPr>
          <w:rFonts w:ascii="Garamond" w:hAnsi="Garamond"/>
          <w:sz w:val="24"/>
          <w:szCs w:val="24"/>
        </w:rPr>
        <w:t xml:space="preserve">h-index </w:t>
      </w:r>
      <w:r w:rsidR="00CF726B" w:rsidRPr="009672FC">
        <w:rPr>
          <w:rFonts w:ascii="Garamond" w:hAnsi="Garamond"/>
          <w:sz w:val="24"/>
          <w:szCs w:val="24"/>
        </w:rPr>
        <w:t xml:space="preserve">of </w:t>
      </w:r>
      <w:r w:rsidRPr="009672FC">
        <w:rPr>
          <w:rFonts w:ascii="Garamond" w:hAnsi="Garamond"/>
          <w:sz w:val="24"/>
          <w:szCs w:val="24"/>
        </w:rPr>
        <w:t xml:space="preserve">136 (SJR, 2020). </w:t>
      </w:r>
      <w:r w:rsidR="00CF726B" w:rsidRPr="009672FC">
        <w:rPr>
          <w:rFonts w:ascii="Garamond" w:hAnsi="Garamond"/>
          <w:sz w:val="24"/>
          <w:szCs w:val="24"/>
        </w:rPr>
        <w:t>The s</w:t>
      </w:r>
      <w:r w:rsidRPr="009672FC">
        <w:rPr>
          <w:rFonts w:ascii="Garamond" w:hAnsi="Garamond"/>
          <w:sz w:val="24"/>
          <w:szCs w:val="24"/>
        </w:rPr>
        <w:t xml:space="preserve">econd was </w:t>
      </w:r>
      <w:r w:rsidR="00CF726B" w:rsidRPr="009672FC">
        <w:rPr>
          <w:rFonts w:ascii="Garamond" w:hAnsi="Garamond"/>
          <w:sz w:val="24"/>
          <w:szCs w:val="24"/>
        </w:rPr>
        <w:t xml:space="preserve">the </w:t>
      </w:r>
      <w:r w:rsidRPr="009672FC">
        <w:rPr>
          <w:rFonts w:ascii="Garamond" w:hAnsi="Garamond"/>
          <w:i/>
          <w:iCs/>
          <w:sz w:val="24"/>
          <w:szCs w:val="24"/>
        </w:rPr>
        <w:t xml:space="preserve">International Journal of Innovation Management </w:t>
      </w:r>
      <w:r w:rsidRPr="009672FC">
        <w:rPr>
          <w:rFonts w:ascii="Garamond" w:hAnsi="Garamond"/>
          <w:sz w:val="24"/>
          <w:szCs w:val="24"/>
        </w:rPr>
        <w:t xml:space="preserve">with a yearly index of 44 with 0.572 (SJR, 2020). The journal publishes papers that delts into the </w:t>
      </w:r>
      <w:r w:rsidRPr="009672FC">
        <w:rPr>
          <w:rFonts w:ascii="Garamond" w:hAnsi="Garamond"/>
          <w:sz w:val="24"/>
          <w:szCs w:val="24"/>
          <w:lang w:val="en-GB"/>
        </w:rPr>
        <w:t>multi-disciplinary approach to using technology for innovation, R&amp;D or new product development</w:t>
      </w:r>
      <w:r w:rsidRPr="009672FC">
        <w:rPr>
          <w:rFonts w:ascii="Garamond" w:hAnsi="Garamond"/>
          <w:sz w:val="24"/>
          <w:szCs w:val="24"/>
        </w:rPr>
        <w:t xml:space="preserve">. Third, is the </w:t>
      </w:r>
      <w:r w:rsidRPr="009672FC">
        <w:rPr>
          <w:rFonts w:ascii="Garamond" w:hAnsi="Garamond"/>
          <w:i/>
          <w:iCs/>
          <w:sz w:val="24"/>
          <w:szCs w:val="24"/>
          <w:lang w:val="en-GB"/>
        </w:rPr>
        <w:t>International Journal of Project Management</w:t>
      </w:r>
      <w:r w:rsidRPr="009672FC">
        <w:rPr>
          <w:rFonts w:ascii="Garamond" w:hAnsi="Garamond"/>
          <w:sz w:val="24"/>
          <w:szCs w:val="24"/>
          <w:lang w:val="en-GB"/>
        </w:rPr>
        <w:t xml:space="preserve">, a leading journal for the field of project management and organization studies. It publishes papers in the field of project management including organizing projects, programs, and portfolios, project-based/oriented organizations, project networks, and project-oriented societies. The journal has an H-index 144, and </w:t>
      </w:r>
      <w:r w:rsidR="00CF726B" w:rsidRPr="009672FC">
        <w:rPr>
          <w:rFonts w:ascii="Garamond" w:hAnsi="Garamond"/>
          <w:sz w:val="24"/>
          <w:szCs w:val="24"/>
          <w:lang w:val="en-GB"/>
        </w:rPr>
        <w:t xml:space="preserve">an </w:t>
      </w:r>
      <w:r w:rsidRPr="009672FC">
        <w:rPr>
          <w:rFonts w:ascii="Garamond" w:hAnsi="Garamond"/>
          <w:sz w:val="24"/>
          <w:szCs w:val="24"/>
          <w:lang w:val="en-GB"/>
        </w:rPr>
        <w:t>overall rank (2.762) (SJR, 2020).</w:t>
      </w:r>
      <w:r w:rsidRPr="009672FC">
        <w:rPr>
          <w:rFonts w:ascii="Garamond" w:hAnsi="Garamond"/>
          <w:sz w:val="24"/>
          <w:szCs w:val="24"/>
        </w:rPr>
        <w:t xml:space="preserve"> </w:t>
      </w:r>
      <w:r w:rsidRPr="009672FC">
        <w:rPr>
          <w:rFonts w:ascii="Garamond" w:hAnsi="Garamond"/>
          <w:i/>
          <w:iCs/>
          <w:sz w:val="24"/>
          <w:szCs w:val="24"/>
          <w:lang w:val="en-GB"/>
        </w:rPr>
        <w:t>Technological Forecasting and Social Change</w:t>
      </w:r>
      <w:r w:rsidRPr="009672FC">
        <w:rPr>
          <w:rFonts w:ascii="Garamond" w:hAnsi="Garamond"/>
          <w:sz w:val="24"/>
          <w:szCs w:val="24"/>
          <w:lang w:val="en-GB"/>
        </w:rPr>
        <w:t xml:space="preserve"> makes fourth on the list. The journal publishes papers in the fields of technological forecasting as it related to </w:t>
      </w:r>
      <w:r w:rsidR="00CF726B" w:rsidRPr="009672FC">
        <w:rPr>
          <w:rFonts w:ascii="Garamond" w:hAnsi="Garamond"/>
          <w:sz w:val="24"/>
          <w:szCs w:val="24"/>
          <w:lang w:val="en-GB"/>
        </w:rPr>
        <w:t xml:space="preserve">the </w:t>
      </w:r>
      <w:r w:rsidRPr="009672FC">
        <w:rPr>
          <w:rFonts w:ascii="Garamond" w:hAnsi="Garamond"/>
          <w:sz w:val="24"/>
          <w:szCs w:val="24"/>
          <w:lang w:val="en-GB"/>
        </w:rPr>
        <w:t xml:space="preserve">management of technology and innovation. The journal has an overall rank of (2.226) with an H-index of 117 (SJR, 2020). </w:t>
      </w:r>
      <w:r w:rsidRPr="009672FC">
        <w:rPr>
          <w:rFonts w:ascii="Garamond" w:hAnsi="Garamond"/>
          <w:i/>
          <w:iCs/>
          <w:sz w:val="24"/>
          <w:szCs w:val="24"/>
          <w:lang w:val="en-GB"/>
        </w:rPr>
        <w:t>Journal of Business Research</w:t>
      </w:r>
      <w:r w:rsidRPr="009672FC">
        <w:rPr>
          <w:rFonts w:ascii="Garamond" w:hAnsi="Garamond"/>
          <w:sz w:val="24"/>
          <w:szCs w:val="24"/>
          <w:lang w:val="en-GB"/>
        </w:rPr>
        <w:t xml:space="preserve"> makes fifth in the list of the popular outlets. According to SJR, (2020) ranking, the journal has an overall H-index of (195) with an annual index of (2.049). </w:t>
      </w:r>
    </w:p>
    <w:p w14:paraId="4A27EB25" w14:textId="18587AD4" w:rsidR="003D5DE8" w:rsidRPr="009672FC" w:rsidRDefault="007549AA" w:rsidP="00CF726B">
      <w:pPr>
        <w:pStyle w:val="MDPI18keywords"/>
        <w:spacing w:line="360" w:lineRule="auto"/>
        <w:ind w:left="0"/>
        <w:rPr>
          <w:rFonts w:ascii="Garamond" w:hAnsi="Garamond"/>
          <w:sz w:val="24"/>
          <w:szCs w:val="24"/>
        </w:rPr>
      </w:pPr>
      <w:r w:rsidRPr="009672FC">
        <w:rPr>
          <w:rFonts w:ascii="Garamond" w:hAnsi="Garamond"/>
          <w:sz w:val="24"/>
          <w:szCs w:val="24"/>
          <w:lang w:val="en-GB"/>
        </w:rPr>
        <w:t xml:space="preserve">Research in other journals is beginning to emerge, despite in relatively small proportions, such as </w:t>
      </w:r>
      <w:r w:rsidRPr="009672FC">
        <w:rPr>
          <w:rFonts w:ascii="Garamond" w:hAnsi="Garamond"/>
          <w:sz w:val="24"/>
          <w:szCs w:val="24"/>
        </w:rPr>
        <w:t>Journal of Business and Industrial Marketing, Journal of Knowledge Management, European Journal of Innovation Management.</w:t>
      </w:r>
    </w:p>
    <w:p w14:paraId="7874BEF5" w14:textId="09597E13" w:rsidR="003D5DE8" w:rsidRPr="009672FC" w:rsidRDefault="007549AA" w:rsidP="005C5F35">
      <w:pPr>
        <w:pStyle w:val="MDPI18keywords"/>
        <w:numPr>
          <w:ilvl w:val="2"/>
          <w:numId w:val="8"/>
        </w:numPr>
        <w:spacing w:line="360" w:lineRule="auto"/>
        <w:outlineLvl w:val="2"/>
        <w:rPr>
          <w:rFonts w:ascii="Garamond" w:hAnsi="Garamond"/>
          <w:b/>
          <w:bCs/>
          <w:sz w:val="24"/>
          <w:szCs w:val="24"/>
          <w:lang w:val="en-GB"/>
        </w:rPr>
      </w:pPr>
      <w:bookmarkStart w:id="47" w:name="_Toc85708710"/>
      <w:bookmarkStart w:id="48" w:name="_Toc85709725"/>
      <w:r w:rsidRPr="009672FC">
        <w:rPr>
          <w:rFonts w:ascii="Garamond" w:hAnsi="Garamond"/>
          <w:b/>
          <w:bCs/>
          <w:i/>
          <w:iCs/>
          <w:sz w:val="24"/>
          <w:szCs w:val="24"/>
        </w:rPr>
        <w:t>The Bibliographic Coupling According to Country</w:t>
      </w:r>
      <w:bookmarkEnd w:id="47"/>
      <w:bookmarkEnd w:id="48"/>
    </w:p>
    <w:p w14:paraId="31CEB903" w14:textId="74E61CA6" w:rsidR="003D5DE8" w:rsidRPr="009672FC" w:rsidRDefault="007549AA" w:rsidP="005C5F35">
      <w:pPr>
        <w:pStyle w:val="MDPI18keywords"/>
        <w:spacing w:before="0" w:line="360" w:lineRule="auto"/>
        <w:ind w:left="0"/>
        <w:rPr>
          <w:rFonts w:ascii="Garamond" w:hAnsi="Garamond"/>
          <w:sz w:val="24"/>
          <w:szCs w:val="24"/>
        </w:rPr>
      </w:pPr>
      <w:r w:rsidRPr="009672FC">
        <w:rPr>
          <w:rFonts w:ascii="Garamond" w:hAnsi="Garamond"/>
          <w:sz w:val="24"/>
          <w:szCs w:val="24"/>
        </w:rPr>
        <w:t xml:space="preserve">Figure </w:t>
      </w:r>
      <w:r w:rsidR="005C5F35" w:rsidRPr="009672FC">
        <w:rPr>
          <w:rFonts w:ascii="Garamond" w:hAnsi="Garamond"/>
          <w:sz w:val="24"/>
          <w:szCs w:val="24"/>
        </w:rPr>
        <w:t>3</w:t>
      </w:r>
      <w:r w:rsidRPr="009672FC">
        <w:rPr>
          <w:rFonts w:ascii="Garamond" w:hAnsi="Garamond"/>
          <w:sz w:val="24"/>
          <w:szCs w:val="24"/>
        </w:rPr>
        <w:t xml:space="preserve"> shows the annual evolution of the contributions of countries on inter-organizational business network research. Using a minimum threshold of 50 links, and two documents, bibliographic coupling was used by </w:t>
      </w:r>
      <w:r w:rsidR="00CF726B" w:rsidRPr="009672FC">
        <w:rPr>
          <w:rFonts w:ascii="Garamond" w:hAnsi="Garamond"/>
          <w:sz w:val="24"/>
          <w:szCs w:val="24"/>
        </w:rPr>
        <w:t xml:space="preserve">the </w:t>
      </w:r>
      <w:r w:rsidRPr="009672FC">
        <w:rPr>
          <w:rFonts w:ascii="Garamond" w:hAnsi="Garamond"/>
          <w:sz w:val="24"/>
          <w:szCs w:val="24"/>
        </w:rPr>
        <w:t xml:space="preserve">researcher to assess the number of shared references by citing documents (that is, two documents that cite the same third document)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10.1007/s11846-020-00406-z","ISBN":"0123456789","ISSN":"1863-6691","author":[{"dropping-particle":"","family":"Mas","given":"Alicia","non-dropping-particle":"","parse-names":false,"suffix":""},{"dropping-particle":"","family":"Sascha","given":"Tur","non-dropping-particle":"","parse-names":false,"suffix":""},{"dropping-particle":"","family":"Mario","given":"Kraus","non-dropping-particle":"","parse-names":false,"suffix":""},{"dropping-particle":"","family":"Ralf","given":"Brandtner","non-dropping-particle":"","parse-names":false,"suffix":""},{"dropping-particle":"","family":"Kürsten","given":"Wolfgang","non-dropping-particle":"","parse-names":false,"suffix":""}],"container-title":"Review of Managerial Science","id":"ITEM-1","issue":"0123456789","issued":{"date-parts":[["2020"]]},"publisher":"Springer Berlin Heidelberg","title":"Advances in management research : a bibliometric overview of the Review of Managerial Science","type":"article-journal"},"uris":["http://www.mendeley.com/documents/?uuid=70f57e4f-568a-47f6-8ff4-8b0a0207ff0e"]}],"mendeley":{"formattedCitation":"(Mas et al., 2020)","plainTextFormattedCitation":"(Mas et al., 2020)","previouslyFormattedCitation":"(Mas et al.,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en-GB"/>
        </w:rPr>
        <w:t>(Mas et al., 2020)</w:t>
      </w:r>
      <w:r w:rsidRPr="009672FC">
        <w:rPr>
          <w:rFonts w:ascii="Garamond" w:hAnsi="Garamond"/>
          <w:sz w:val="24"/>
          <w:szCs w:val="24"/>
        </w:rPr>
        <w:fldChar w:fldCharType="end"/>
      </w:r>
      <w:r w:rsidRPr="009672FC">
        <w:rPr>
          <w:rFonts w:ascii="Garamond" w:hAnsi="Garamond"/>
          <w:sz w:val="24"/>
          <w:szCs w:val="24"/>
        </w:rPr>
        <w:t>.</w:t>
      </w:r>
    </w:p>
    <w:p w14:paraId="678E5162" w14:textId="121405AF" w:rsidR="00CF726B" w:rsidRPr="009672FC" w:rsidRDefault="00CF726B" w:rsidP="00CF726B">
      <w:pPr>
        <w:pStyle w:val="MDPI18keywords"/>
        <w:spacing w:line="360" w:lineRule="auto"/>
        <w:ind w:left="0"/>
        <w:rPr>
          <w:rFonts w:ascii="Garamond" w:hAnsi="Garamond"/>
          <w:sz w:val="24"/>
          <w:szCs w:val="24"/>
        </w:rPr>
      </w:pPr>
      <w:r w:rsidRPr="009672FC">
        <w:rPr>
          <w:rFonts w:ascii="Garamond" w:hAnsi="Garamond"/>
          <w:sz w:val="24"/>
          <w:szCs w:val="24"/>
        </w:rPr>
        <w:t>Results of the bibliographic coupling showed that the United Kingdom is the dominant country in inter-organizational business network research with the most contributions (33) with 346 total link strengths. It is not surprising that the UK has the most bibliographic couplings and links with all other countries. The country has one of the most influential universities and research institutions in the world. There are institutions like the University of Ulster,</w:t>
      </w:r>
      <w:r w:rsidRPr="009672FC">
        <w:rPr>
          <w:rFonts w:ascii="Garamond" w:hAnsi="Garamond"/>
          <w:sz w:val="24"/>
          <w:szCs w:val="24"/>
          <w:lang w:val="en-GB"/>
        </w:rPr>
        <w:t xml:space="preserve"> </w:t>
      </w:r>
      <w:r w:rsidRPr="009672FC">
        <w:rPr>
          <w:rFonts w:ascii="Garamond" w:hAnsi="Garamond"/>
          <w:sz w:val="24"/>
          <w:szCs w:val="24"/>
        </w:rPr>
        <w:t xml:space="preserve">Nottingham Trent University; </w:t>
      </w:r>
      <w:r w:rsidRPr="009672FC">
        <w:rPr>
          <w:rFonts w:ascii="Garamond" w:hAnsi="Garamond"/>
          <w:sz w:val="24"/>
          <w:szCs w:val="24"/>
        </w:rPr>
        <w:lastRenderedPageBreak/>
        <w:t xml:space="preserve">University of Warwick, Lancaster University; University of Manchester, Manchester Metropolitan University, etc., </w:t>
      </w:r>
      <w:r w:rsidRPr="009672FC">
        <w:rPr>
          <w:rFonts w:ascii="Garamond" w:hAnsi="Garamond"/>
          <w:sz w:val="24"/>
          <w:szCs w:val="24"/>
          <w:lang w:val="en-GB"/>
        </w:rPr>
        <w:t>This is</w:t>
      </w:r>
      <w:r w:rsidRPr="009672FC">
        <w:rPr>
          <w:rFonts w:ascii="Garamond" w:hAnsi="Garamond"/>
          <w:sz w:val="24"/>
          <w:szCs w:val="24"/>
        </w:rPr>
        <w:t xml:space="preserve"> followed by United States (16) and a total link strength (348). </w:t>
      </w:r>
    </w:p>
    <w:p w14:paraId="488B08BE" w14:textId="18E77E9D" w:rsidR="00EB5D6B" w:rsidRPr="00852A0F" w:rsidRDefault="00EB5D6B" w:rsidP="00852A0F">
      <w:pPr>
        <w:pStyle w:val="Caption"/>
        <w:spacing w:before="240" w:after="0"/>
        <w:jc w:val="center"/>
        <w:rPr>
          <w:rFonts w:ascii="Garamond" w:hAnsi="Garamond"/>
          <w:sz w:val="22"/>
          <w:szCs w:val="22"/>
        </w:rPr>
      </w:pPr>
      <w:bookmarkStart w:id="49" w:name="_Toc85710578"/>
      <w:r w:rsidRPr="00852A0F">
        <w:rPr>
          <w:rFonts w:ascii="Garamond" w:hAnsi="Garamond"/>
          <w:sz w:val="22"/>
          <w:szCs w:val="22"/>
        </w:rPr>
        <w:t xml:space="preserve">Figure </w:t>
      </w:r>
      <w:r w:rsidR="00C10BC3" w:rsidRPr="00852A0F">
        <w:rPr>
          <w:rFonts w:ascii="Garamond" w:hAnsi="Garamond"/>
          <w:sz w:val="22"/>
          <w:szCs w:val="22"/>
        </w:rPr>
        <w:fldChar w:fldCharType="begin"/>
      </w:r>
      <w:r w:rsidR="00C10BC3" w:rsidRPr="00852A0F">
        <w:rPr>
          <w:rFonts w:ascii="Garamond" w:hAnsi="Garamond"/>
          <w:sz w:val="22"/>
          <w:szCs w:val="22"/>
        </w:rPr>
        <w:instrText xml:space="preserve"> SEQ Figure \* ARABIC </w:instrText>
      </w:r>
      <w:r w:rsidR="00C10BC3" w:rsidRPr="00852A0F">
        <w:rPr>
          <w:rFonts w:ascii="Garamond" w:hAnsi="Garamond"/>
          <w:sz w:val="22"/>
          <w:szCs w:val="22"/>
        </w:rPr>
        <w:fldChar w:fldCharType="separate"/>
      </w:r>
      <w:r w:rsidR="001C1648">
        <w:rPr>
          <w:rFonts w:ascii="Garamond" w:hAnsi="Garamond"/>
          <w:noProof/>
          <w:sz w:val="22"/>
          <w:szCs w:val="22"/>
        </w:rPr>
        <w:t>3</w:t>
      </w:r>
      <w:r w:rsidR="00C10BC3" w:rsidRPr="00852A0F">
        <w:rPr>
          <w:rFonts w:ascii="Garamond" w:hAnsi="Garamond"/>
          <w:noProof/>
          <w:sz w:val="22"/>
          <w:szCs w:val="22"/>
        </w:rPr>
        <w:fldChar w:fldCharType="end"/>
      </w:r>
      <w:r w:rsidRPr="00852A0F">
        <w:rPr>
          <w:rFonts w:ascii="Garamond" w:hAnsi="Garamond"/>
          <w:sz w:val="22"/>
          <w:szCs w:val="22"/>
        </w:rPr>
        <w:t>. Bibliographic coupling of countries publishing in inter-organizational business network research</w:t>
      </w:r>
      <w:bookmarkEnd w:id="49"/>
    </w:p>
    <w:p w14:paraId="26FDF27C" w14:textId="77777777" w:rsidR="003D5DE8" w:rsidRPr="009672FC" w:rsidRDefault="007549AA">
      <w:pPr>
        <w:pStyle w:val="MDPI18keywords"/>
        <w:ind w:left="360" w:firstLine="360"/>
        <w:rPr>
          <w:rFonts w:ascii="Garamond" w:hAnsi="Garamond"/>
          <w:sz w:val="24"/>
          <w:szCs w:val="24"/>
        </w:rPr>
      </w:pPr>
      <w:r w:rsidRPr="009672FC">
        <w:rPr>
          <w:rFonts w:ascii="Garamond" w:hAnsi="Garamond"/>
          <w:noProof/>
          <w:lang w:eastAsia="en-US" w:bidi="ar-SA"/>
        </w:rPr>
        <w:drawing>
          <wp:inline distT="0" distB="0" distL="0" distR="0" wp14:anchorId="550548B0" wp14:editId="0AF89E99">
            <wp:extent cx="5165766" cy="2610742"/>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8"/>
                    <pic:cNvPicPr>
                      <a:picLocks noChangeAspect="1" noChangeArrowheads="1"/>
                    </pic:cNvPicPr>
                  </pic:nvPicPr>
                  <pic:blipFill>
                    <a:blip r:embed="rId18"/>
                    <a:stretch>
                      <a:fillRect/>
                    </a:stretch>
                  </pic:blipFill>
                  <pic:spPr bwMode="auto">
                    <a:xfrm>
                      <a:off x="0" y="0"/>
                      <a:ext cx="5176187" cy="2616009"/>
                    </a:xfrm>
                    <a:prstGeom prst="rect">
                      <a:avLst/>
                    </a:prstGeom>
                  </pic:spPr>
                </pic:pic>
              </a:graphicData>
            </a:graphic>
          </wp:inline>
        </w:drawing>
      </w:r>
    </w:p>
    <w:p w14:paraId="774C342B" w14:textId="2CFBD9F5" w:rsidR="003D5DE8" w:rsidRPr="009672FC" w:rsidRDefault="007549AA">
      <w:pPr>
        <w:pStyle w:val="MDPI18keywords"/>
        <w:spacing w:line="360" w:lineRule="auto"/>
        <w:ind w:left="360" w:firstLine="360"/>
        <w:rPr>
          <w:rFonts w:ascii="Garamond" w:hAnsi="Garamond"/>
          <w:i/>
          <w:iCs/>
          <w:sz w:val="24"/>
          <w:szCs w:val="24"/>
        </w:rPr>
      </w:pPr>
      <w:r w:rsidRPr="009672FC">
        <w:rPr>
          <w:rFonts w:ascii="Garamond" w:hAnsi="Garamond"/>
          <w:i/>
          <w:iCs/>
          <w:sz w:val="24"/>
          <w:szCs w:val="24"/>
        </w:rPr>
        <w:t xml:space="preserve">Sourced: VOSviewer co-citation output; Dataset retrieved from </w:t>
      </w:r>
      <w:r w:rsidR="005C5F35" w:rsidRPr="009672FC">
        <w:rPr>
          <w:rFonts w:ascii="Garamond" w:hAnsi="Garamond"/>
          <w:i/>
          <w:iCs/>
          <w:sz w:val="24"/>
          <w:szCs w:val="24"/>
        </w:rPr>
        <w:t>Web of Science and ScienceDirect</w:t>
      </w:r>
      <w:r w:rsidRPr="009672FC">
        <w:rPr>
          <w:rFonts w:ascii="Garamond" w:hAnsi="Garamond"/>
          <w:i/>
          <w:iCs/>
          <w:sz w:val="24"/>
          <w:szCs w:val="24"/>
        </w:rPr>
        <w:t xml:space="preserve"> databased (1990-2021, July)</w:t>
      </w:r>
    </w:p>
    <w:p w14:paraId="58937579" w14:textId="77777777" w:rsidR="002663FA" w:rsidRPr="009672FC" w:rsidRDefault="002663FA" w:rsidP="002663FA">
      <w:pPr>
        <w:spacing w:before="240" w:line="360" w:lineRule="auto"/>
        <w:jc w:val="both"/>
        <w:rPr>
          <w:rFonts w:ascii="Garamond" w:hAnsi="Garamond"/>
        </w:rPr>
      </w:pPr>
      <w:r w:rsidRPr="009672FC">
        <w:rPr>
          <w:rFonts w:ascii="Garamond" w:hAnsi="Garamond"/>
        </w:rPr>
        <w:t>The United States has one the most influential research institutions, including New Jersey Institute of Technology, University of Toledo; Concord University; Rowan University. Italy makes the third on the list of the most influential countries of research in the field (12) with a total link strength (277). The Italian institutions leading research in the field include the University of Turin; University of Milano-Bicocca; Polytechnic University of Turin; University of Pavia; University of Bologna; Polytechnic University of Bari.</w:t>
      </w:r>
    </w:p>
    <w:p w14:paraId="46196DBB" w14:textId="47685B25" w:rsidR="002663FA" w:rsidRPr="009672FC" w:rsidRDefault="002663FA" w:rsidP="002663FA">
      <w:pPr>
        <w:spacing w:before="240" w:line="360" w:lineRule="auto"/>
        <w:jc w:val="both"/>
        <w:rPr>
          <w:rFonts w:ascii="Garamond" w:hAnsi="Garamond"/>
          <w:lang w:eastAsia="de-DE" w:bidi="en-US"/>
        </w:rPr>
      </w:pPr>
      <w:r w:rsidRPr="009672FC">
        <w:rPr>
          <w:rFonts w:ascii="Garamond" w:hAnsi="Garamond"/>
        </w:rPr>
        <w:t>This is followed by Germany (28) with 56 total strength links. German institutions such as are the University of Bremen;</w:t>
      </w:r>
      <w:r w:rsidRPr="009672FC">
        <w:rPr>
          <w:rFonts w:ascii="Garamond" w:hAnsi="Garamond"/>
          <w:lang w:val="en-GB"/>
        </w:rPr>
        <w:t xml:space="preserve"> </w:t>
      </w:r>
      <w:r w:rsidRPr="009672FC">
        <w:rPr>
          <w:rFonts w:ascii="Garamond" w:hAnsi="Garamond"/>
        </w:rPr>
        <w:t>Helmut Schmidt University; University of Bamberg; German Graduate School of Management and Law; and the University of Hildesheim are some of the leading research institutions in the field.</w:t>
      </w:r>
    </w:p>
    <w:p w14:paraId="0BFC3FAF" w14:textId="63BF89E1" w:rsidR="003D5DE8" w:rsidRPr="009672FC" w:rsidRDefault="007549AA" w:rsidP="00CF726B">
      <w:pPr>
        <w:pStyle w:val="MDPI18keywords"/>
        <w:spacing w:line="360" w:lineRule="auto"/>
        <w:ind w:left="0"/>
        <w:rPr>
          <w:rFonts w:ascii="Garamond" w:hAnsi="Garamond"/>
          <w:sz w:val="24"/>
          <w:szCs w:val="24"/>
        </w:rPr>
      </w:pPr>
      <w:r w:rsidRPr="009672FC">
        <w:rPr>
          <w:rFonts w:ascii="Garamond" w:hAnsi="Garamond"/>
          <w:sz w:val="24"/>
          <w:szCs w:val="24"/>
          <w:lang w:val="en-GB"/>
        </w:rPr>
        <w:t>However, France (7) and</w:t>
      </w:r>
      <w:r w:rsidRPr="009672FC">
        <w:rPr>
          <w:rFonts w:ascii="Garamond" w:hAnsi="Garamond"/>
          <w:sz w:val="24"/>
          <w:szCs w:val="24"/>
        </w:rPr>
        <w:t xml:space="preserve"> total link strength (4)</w:t>
      </w:r>
      <w:r w:rsidRPr="009672FC">
        <w:rPr>
          <w:rFonts w:ascii="Garamond" w:hAnsi="Garamond"/>
          <w:sz w:val="24"/>
          <w:szCs w:val="24"/>
          <w:lang w:val="en-GB"/>
        </w:rPr>
        <w:t>, Norway (6)</w:t>
      </w:r>
      <w:r w:rsidRPr="009672FC">
        <w:rPr>
          <w:rFonts w:ascii="Garamond" w:hAnsi="Garamond"/>
          <w:sz w:val="24"/>
          <w:szCs w:val="24"/>
        </w:rPr>
        <w:t xml:space="preserve"> and total link strength (139)</w:t>
      </w:r>
      <w:r w:rsidRPr="009672FC">
        <w:rPr>
          <w:rFonts w:ascii="Garamond" w:hAnsi="Garamond"/>
          <w:sz w:val="24"/>
          <w:szCs w:val="24"/>
          <w:lang w:val="en-GB"/>
        </w:rPr>
        <w:t xml:space="preserve">, while Finland (8), Sweden (6) and Brazil (5) recorded </w:t>
      </w:r>
      <w:r w:rsidR="00CF726B" w:rsidRPr="009672FC">
        <w:rPr>
          <w:rFonts w:ascii="Garamond" w:hAnsi="Garamond"/>
          <w:sz w:val="24"/>
          <w:szCs w:val="24"/>
          <w:lang w:val="en-GB"/>
        </w:rPr>
        <w:t xml:space="preserve">a </w:t>
      </w:r>
      <w:r w:rsidRPr="009672FC">
        <w:rPr>
          <w:rFonts w:ascii="Garamond" w:hAnsi="Garamond"/>
          <w:sz w:val="24"/>
          <w:szCs w:val="24"/>
          <w:lang w:val="en-GB"/>
        </w:rPr>
        <w:t xml:space="preserve">relatively low number of publications in the field.  Despite this, we could observe that </w:t>
      </w:r>
      <w:r w:rsidRPr="009672FC">
        <w:rPr>
          <w:rFonts w:ascii="Garamond" w:hAnsi="Garamond"/>
          <w:sz w:val="24"/>
          <w:szCs w:val="24"/>
        </w:rPr>
        <w:t xml:space="preserve">total link strength for Finland and Sweden that maintained the </w:t>
      </w:r>
      <w:r w:rsidRPr="009672FC">
        <w:rPr>
          <w:rFonts w:ascii="Garamond" w:hAnsi="Garamond"/>
          <w:sz w:val="24"/>
          <w:szCs w:val="24"/>
        </w:rPr>
        <w:lastRenderedPageBreak/>
        <w:t xml:space="preserve">same cluster, remain relatively high (278, and 207), respectively indicating these are highly influential countries for research in the field. </w:t>
      </w:r>
    </w:p>
    <w:p w14:paraId="6723CCAD" w14:textId="0636EFA4" w:rsidR="003D5DE8" w:rsidRPr="009672FC" w:rsidRDefault="007549AA" w:rsidP="002663FA">
      <w:pPr>
        <w:pStyle w:val="MDPI18keywords"/>
        <w:numPr>
          <w:ilvl w:val="2"/>
          <w:numId w:val="8"/>
        </w:numPr>
        <w:spacing w:line="360" w:lineRule="auto"/>
        <w:outlineLvl w:val="2"/>
        <w:rPr>
          <w:rFonts w:ascii="Garamond" w:hAnsi="Garamond"/>
          <w:b/>
          <w:bCs/>
          <w:i/>
          <w:iCs/>
          <w:sz w:val="24"/>
          <w:szCs w:val="24"/>
        </w:rPr>
      </w:pPr>
      <w:bookmarkStart w:id="50" w:name="_Toc85708711"/>
      <w:bookmarkStart w:id="51" w:name="_Toc85709726"/>
      <w:r w:rsidRPr="009672FC">
        <w:rPr>
          <w:rFonts w:ascii="Garamond" w:hAnsi="Garamond"/>
          <w:b/>
          <w:bCs/>
          <w:i/>
          <w:iCs/>
          <w:sz w:val="24"/>
          <w:szCs w:val="24"/>
        </w:rPr>
        <w:t>Co-Citation of Authors in Inter-Organizational Business Network Research</w:t>
      </w:r>
      <w:bookmarkEnd w:id="50"/>
      <w:bookmarkEnd w:id="51"/>
    </w:p>
    <w:p w14:paraId="636FFA36" w14:textId="03A7ACCA" w:rsidR="003D5DE8" w:rsidRPr="009672FC" w:rsidRDefault="007549AA" w:rsidP="005C5F35">
      <w:pPr>
        <w:pStyle w:val="MDPI18keywords"/>
        <w:spacing w:before="0" w:line="360" w:lineRule="auto"/>
        <w:ind w:left="0"/>
        <w:rPr>
          <w:rFonts w:ascii="Garamond" w:hAnsi="Garamond"/>
          <w:sz w:val="24"/>
          <w:szCs w:val="24"/>
        </w:rPr>
      </w:pPr>
      <w:r w:rsidRPr="009672FC">
        <w:rPr>
          <w:rFonts w:ascii="Garamond" w:hAnsi="Garamond"/>
          <w:sz w:val="24"/>
          <w:szCs w:val="24"/>
        </w:rPr>
        <w:t xml:space="preserve">Figure </w:t>
      </w:r>
      <w:r w:rsidR="005C5F35" w:rsidRPr="009672FC">
        <w:rPr>
          <w:rFonts w:ascii="Garamond" w:hAnsi="Garamond"/>
          <w:sz w:val="24"/>
          <w:szCs w:val="24"/>
        </w:rPr>
        <w:t>4</w:t>
      </w:r>
      <w:r w:rsidRPr="009672FC">
        <w:rPr>
          <w:rFonts w:ascii="Garamond" w:hAnsi="Garamond"/>
          <w:sz w:val="24"/>
          <w:szCs w:val="24"/>
        </w:rPr>
        <w:t xml:space="preserve"> presents a list of 17 most cited studies published in the field of Inter-organizational business network research according to results found in the </w:t>
      </w:r>
      <w:r w:rsidR="005C5F35" w:rsidRPr="009672FC">
        <w:rPr>
          <w:rFonts w:ascii="Garamond" w:hAnsi="Garamond"/>
          <w:sz w:val="24"/>
          <w:szCs w:val="24"/>
        </w:rPr>
        <w:t>Web of Science and ScienceDirect</w:t>
      </w:r>
      <w:r w:rsidRPr="009672FC">
        <w:rPr>
          <w:rFonts w:ascii="Garamond" w:hAnsi="Garamond"/>
          <w:sz w:val="24"/>
          <w:szCs w:val="24"/>
        </w:rPr>
        <w:t xml:space="preserve">. In 1927, </w:t>
      </w:r>
      <w:r w:rsidRPr="009672FC">
        <w:rPr>
          <w:rFonts w:ascii="Garamond" w:hAnsi="Garamond"/>
          <w:sz w:val="20"/>
        </w:rPr>
        <w:fldChar w:fldCharType="begin" w:fldLock="1"/>
      </w:r>
      <w:r w:rsidRPr="009672FC">
        <w:rPr>
          <w:rFonts w:ascii="Garamond" w:hAnsi="Garamond"/>
          <w:sz w:val="24"/>
          <w:szCs w:val="24"/>
        </w:rPr>
        <w:instrText>ADDIN CSL_CITATION {"citationItems":[{"id":"ITEM-1","itemData":{"author":[{"dropping-particle":"","family":"Gross","given":"P.L.K","non-dropping-particle":"","parse-names":false,"suffix":""},{"dropping-particle":"","family":"Gross","given":"E.M","non-dropping-particle":"","parse-names":false,"suffix":""}],"id":"ITEM-1","issued":{"date-parts":[["1927"]]},"page":"385-389","title":"College Libraries and Chemecial Education","type":"article"},"uris":["http://www.mendeley.com/documents/?uuid=3425d95d-49e4-4645-9b16-d9d90a887de9"]}],"mendeley":{"formattedCitation":"(Gross &amp; Gross, 1927)","manualFormatting":"Gross and Gross (1927)","plainTextFormattedCitation":"(Gross &amp; Gross, 1927)","previouslyFormattedCitation":"(Gross &amp; Gross, 1927)"},"properties":{"noteIndex":0},"schema":"https://github.com/citation-style-language/schema/raw/master/csl-citation.json"}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Gross and Gross (1927)</w:t>
      </w:r>
      <w:r w:rsidRPr="009672FC">
        <w:rPr>
          <w:rFonts w:ascii="Garamond" w:hAnsi="Garamond"/>
          <w:sz w:val="24"/>
          <w:szCs w:val="24"/>
        </w:rPr>
        <w:fldChar w:fldCharType="end"/>
      </w:r>
      <w:r w:rsidRPr="009672FC">
        <w:rPr>
          <w:rFonts w:ascii="Garamond" w:hAnsi="Garamond"/>
          <w:sz w:val="24"/>
          <w:szCs w:val="24"/>
        </w:rPr>
        <w:t xml:space="preserve"> first used citation count to evaluate the importance of scientific research. The authors argue that “success breeds success” and that a paper with many citations is more likely to be frequently cited again than a paper with a few citations. This also implies that authors with many articles are more likely to further publish new papers because they are more frequently consulted to publish with journals due to their high readership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10.1007/s11846-020-00406-z","ISBN":"0123456789","ISSN":"1863-6691","author":[{"dropping-particle":"","family":"Mas","given":"Alicia","non-dropping-particle":"","parse-names":false,"suffix":""},{"dropping-particle":"","family":"Sascha","given":"Tur","non-dropping-particle":"","parse-names":false,"suffix":""},{"dropping-particle":"","family":"Mario","given":"Kraus","non-dropping-particle":"","parse-names":false,"suffix":""},{"dropping-particle":"","family":"Ralf","given":"Brandtner","non-dropping-particle":"","parse-names":false,"suffix":""},{"dropping-particle":"","family":"Kürsten","given":"Wolfgang","non-dropping-particle":"","parse-names":false,"suffix":""}],"container-title":"Review of Managerial Science","id":"ITEM-1","issue":"0123456789","issued":{"date-parts":[["2020"]]},"publisher":"Springer Berlin Heidelberg","title":"Advances in management research : a bibliometric overview of the Review of Managerial Science","type":"article-journal"},"uris":["http://www.mendeley.com/documents/?uuid=70f57e4f-568a-47f6-8ff4-8b0a0207ff0e"]}],"mendeley":{"formattedCitation":"(Mas et al., 2020)","plainTextFormattedCitation":"(Mas et al., 2020)","previouslyFormattedCitation":"(Mas et al.,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(Mas et al., 2020)</w:t>
      </w:r>
      <w:r w:rsidRPr="009672FC">
        <w:rPr>
          <w:rFonts w:ascii="Garamond" w:hAnsi="Garamond"/>
          <w:sz w:val="24"/>
          <w:szCs w:val="24"/>
        </w:rPr>
        <w:fldChar w:fldCharType="end"/>
      </w:r>
      <w:r w:rsidRPr="009672FC">
        <w:rPr>
          <w:rFonts w:ascii="Garamond" w:hAnsi="Garamond"/>
          <w:sz w:val="24"/>
          <w:szCs w:val="24"/>
        </w:rPr>
        <w:t xml:space="preserve">. </w:t>
      </w:r>
    </w:p>
    <w:p w14:paraId="529C7708" w14:textId="12560936" w:rsidR="002663FA" w:rsidRDefault="002663FA" w:rsidP="002663FA">
      <w:pPr>
        <w:pStyle w:val="MDPI18keywords"/>
        <w:spacing w:line="360" w:lineRule="auto"/>
        <w:ind w:left="0"/>
        <w:rPr>
          <w:rFonts w:ascii="Garamond" w:hAnsi="Garamond"/>
          <w:sz w:val="24"/>
          <w:szCs w:val="24"/>
        </w:rPr>
      </w:pPr>
      <w:r w:rsidRPr="009672FC">
        <w:rPr>
          <w:rFonts w:ascii="Garamond" w:hAnsi="Garamond"/>
          <w:sz w:val="24"/>
          <w:szCs w:val="24"/>
        </w:rPr>
        <w:t xml:space="preserve">These results imply that the most cited papers seem to be based on three topics: dynamic capabilities, strategy, and knowledge management practices. The first cluster includes papers authored by Eisenhardt, K.M, et al. (2000), </w:t>
      </w:r>
      <w:proofErr w:type="spellStart"/>
      <w:r w:rsidRPr="009672FC">
        <w:rPr>
          <w:rFonts w:ascii="Garamond" w:hAnsi="Garamond"/>
          <w:sz w:val="24"/>
          <w:szCs w:val="24"/>
        </w:rPr>
        <w:t>Hakansson</w:t>
      </w:r>
      <w:proofErr w:type="spellEnd"/>
      <w:r w:rsidRPr="009672FC">
        <w:rPr>
          <w:rFonts w:ascii="Garamond" w:hAnsi="Garamond"/>
          <w:sz w:val="24"/>
          <w:szCs w:val="24"/>
        </w:rPr>
        <w:t xml:space="preserve">, H, et al. (2002), </w:t>
      </w:r>
      <w:proofErr w:type="spellStart"/>
      <w:r w:rsidRPr="009672FC">
        <w:rPr>
          <w:rFonts w:ascii="Garamond" w:hAnsi="Garamond"/>
          <w:sz w:val="24"/>
          <w:szCs w:val="24"/>
        </w:rPr>
        <w:t>Nahapiet</w:t>
      </w:r>
      <w:proofErr w:type="spellEnd"/>
      <w:r w:rsidRPr="009672FC">
        <w:rPr>
          <w:rFonts w:ascii="Garamond" w:hAnsi="Garamond"/>
          <w:sz w:val="24"/>
          <w:szCs w:val="24"/>
        </w:rPr>
        <w:t xml:space="preserve">, J et al. (1998), Powell, W.W. et al. (1996), Ritter, T. et al. (2003), Wasserman, S. et al. (1994) and </w:t>
      </w:r>
      <w:proofErr w:type="spellStart"/>
      <w:r w:rsidRPr="009672FC">
        <w:rPr>
          <w:rFonts w:ascii="Garamond" w:hAnsi="Garamond"/>
          <w:sz w:val="24"/>
          <w:szCs w:val="24"/>
        </w:rPr>
        <w:t>Uzzi</w:t>
      </w:r>
      <w:proofErr w:type="spellEnd"/>
      <w:r w:rsidRPr="009672FC">
        <w:rPr>
          <w:rFonts w:ascii="Garamond" w:hAnsi="Garamond"/>
          <w:sz w:val="24"/>
          <w:szCs w:val="24"/>
        </w:rPr>
        <w:t xml:space="preserve">, B. (1997). Of these numbers, a paper by Powell, W.W. et al. (1996) has gained the most dominant cited paper. In the field of dynamic capabilities, the topics of network dynamic capabilities and innovation performance are receiving increasing research attention by scholars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10.1108/CMS-03-2020-0095","author":[{"dropping-particle":"","family":"Du","given":"Jian","non-dropping-particle":"","parse-names":false,"suffix":""},{"dropping-particle":"","family":"Lu","given":"Keying","non-dropping-particle":"","parse-names":false,"suffix":""},{"dropping-particle":"","family":"Zhou","given":"Chao","non-dropping-particle":"","parse-names":false,"suffix":""}],"container-title":"Chinese Management Studies","id":"ITEM-1","issued":{"date-parts":[["2020"]]},"title":"Relational embeddedness in home-based network and dynamic capabilities : evidence from Chinese MNCs","type":"article-journal"},"uris":["http://www.mendeley.com/documents/?uuid=185ab9d9-faa9-484c-85c5-84147e34d1f4"]}],"mendeley":{"formattedCitation":"(Du, Lu, &amp; Zhou, 2020)","manualFormatting":"(Du, Lu and Zhou, 2020;","plainTextFormattedCitation":"(Du, Lu, &amp; Zhou, 2020)","previouslyFormattedCitation":"(Du et al.,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(Du, Lu and Zhou, 2020;</w:t>
      </w:r>
      <w:r w:rsidRPr="009672FC">
        <w:rPr>
          <w:rFonts w:ascii="Garamond" w:hAnsi="Garamond"/>
          <w:sz w:val="24"/>
          <w:szCs w:val="24"/>
        </w:rPr>
        <w:fldChar w:fldCharType="end"/>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{"citationItems":[{"id":"ITEM-1","itemData":{"DOI":"10.1002/(SICI)1097-0266(200003)21:3&lt;203::AID-SMJ102&gt;3.0.CO;2-K","ISSN":"0143-2095","abstract":"This paper introduces the important role of networks of interfirm ties in examining fundamental issues in strategy research. Prior research has primarily viewed firms as autonomous entities striving for competitive advantage from either external industry sources or from internal resources and capabilities. However, the networks of relationships in which firms are embedded profoundly influence their conduct and performance. We identify five key areas of strategy research in which there is potential for incorporating strategic networks: (1) industry structure, (2) positioning within an industry, (3) inimitable firm resources and capabilities, (4) contracting and coordination costs, and (5) dynamic network constraints and benefits. For each of these issues, the paper outlines some important insights that result from considering the role of strategic networks.","author":[{"dropping-particle":"","family":"Gulati","given":"R.","non-dropping-particle":"","parse-names":false,"suffix":""},{"dropping-particle":"","family":"Nohria","given":"N","non-dropping-particle":"","parse-names":false,"suffix":""},{"dropping-particle":"","family":"Zaheer","given":"A.","non-dropping-particle":"","parse-names":false,"suffix":""}],"container-title":"Strategic Management Journal","id":"ITEM-1","issued":{"date-parts":[["2000"]]},"page":"203-215","title":"Strategic Networks","type":"article-journal","volume":"21"},"uris":["http://www.mendeley.com/documents/?uuid=ab115079-970e-4c67-99b9-5d3ce36efba0"]}],"mendeley":{"formattedCitation":"(R. Gulati, Nohria, &amp; Zaheer, 2000)","manualFormatting":" Gulati, Nohria and Zaheer, 2000;","plainTextFormattedCitation":"(R. Gulati, Nohria, &amp; Zaheer, 2000)","previouslyFormattedCitation":"(R. Gulati et al.,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Gulati, Nohria and Zaheer, 2000;</w:t>
      </w:r>
      <w:r w:rsidRPr="009672FC">
        <w:rPr>
          <w:rFonts w:ascii="Garamond" w:hAnsi="Garamond"/>
          <w:sz w:val="24"/>
          <w:szCs w:val="24"/>
        </w:rPr>
        <w:fldChar w:fldCharType="end"/>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{"citationItems":[{"id":"ITEM-1","itemData":{"DOI":"10.1108/09600030410533574","ISSN":"09600035","abstract":"This is a theoretical paper that examines the interplay between individual and collective capabilities and competencies and value transactions in collaborative environments. The theory behind value creation is examined and two types of value are identified, internal value (shareholder value) and external value (value proposition). The literature on collaborative enterprises/network is also examined with particular emphasis on supply chains, extended/virtual enterprises and clusters as representatives of different forms and maturities of collaboration. The interplay of value transactions and competencies and capabilities are examined and discussed in detail. Finally, a model is presented which consists of value transactions and a table that compares the characteristics of different types of collaborative enterprises/networks. It is proposed that this model presents a platform for further research to develop an in-depth understanding into how value may be created and managed in collaborative enterprises/networks. © Emerald Group Publishing Limited.","author":[{"dropping-particle":"","family":"Bititci","given":"Umit S.","non-dropping-particle":"","parse-names":false,"suffix":""},{"dropping-particle":"","family":"Martinez","given":"Veronica","non-dropping-particle":"","parse-names":false,"suffix":""},{"dropping-particle":"","family":"Albores","given":"Pavel","non-dropping-particle":"","parse-names":false,"suffix":""},{"dropping-particle":"","family":"Parung","given":"Joniarto","non-dropping-particle":"","parse-names":false,"suffix":""}],"container-title":"International Journal of Physical Distribution and Logistics Management","id":"ITEM-1","issue":"3","issued":{"date-parts":[["2004"]]},"page":"251-268","title":"Creating and managing value in collaborative networks","type":"article-journal","volume":"34"},"uris":["http://www.mendeley.com/documents/?uuid=ac819203-df3a-4209-885d-8fabde911874"]}],"mendeley":{"formattedCitation":"(Bititci, Martinez, Albores, &amp; Parung, 2004)","manualFormatting":" Bititci et al., 2004)","plainTextFormattedCitation":"(Bititci, Martinez, Albores, &amp; Parung, 2004)","previouslyFormattedCitation":"(Bititci et al.,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Bititci </w:t>
      </w:r>
      <w:r w:rsidRPr="009672FC">
        <w:rPr>
          <w:rFonts w:ascii="Garamond" w:hAnsi="Garamond"/>
          <w:i/>
          <w:noProof/>
          <w:sz w:val="24"/>
          <w:szCs w:val="24"/>
        </w:rPr>
        <w:t>et al.</w:t>
      </w:r>
      <w:r w:rsidRPr="009672FC">
        <w:rPr>
          <w:rFonts w:ascii="Garamond" w:hAnsi="Garamond"/>
          <w:noProof/>
          <w:sz w:val="24"/>
          <w:szCs w:val="24"/>
        </w:rPr>
        <w:t>, 2004)</w:t>
      </w:r>
      <w:r w:rsidRPr="009672FC">
        <w:rPr>
          <w:rFonts w:ascii="Garamond" w:hAnsi="Garamond"/>
          <w:sz w:val="24"/>
          <w:szCs w:val="24"/>
        </w:rPr>
        <w:fldChar w:fldCharType="end"/>
      </w:r>
      <w:r w:rsidRPr="009672FC">
        <w:rPr>
          <w:rFonts w:ascii="Garamond" w:hAnsi="Garamond"/>
          <w:sz w:val="24"/>
          <w:szCs w:val="24"/>
        </w:rPr>
        <w:t xml:space="preserve">. These studies deal with network dynamic capabilities focusing on: relational capabilities as microfoundations for open innovation network performance (e.g., combinative capabilities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{"citationItems":[{"id":"ITEM-1","itemData":{"DOI":"10.2139/ssrn.398320","abstract":"Participants in research and development alliances face a difficult challenge: How to maintain sufficiently open knowledge exchange to achieve alliance objectives while controlling knowledge flows to avoid unintended leakage of valuable technology. Prior research suggests that choosing an appropriate organizational form or governance structure is an important mechanism in achieving a balance between these potentially competing concerns. This does not exhaust the set of possible mechanisms available to alliance partners, however. In this paper we explore an alternative response to hazards of R&amp;D cooperation: reduction of the \"scope\" of the alliance. We argue that when partner firms are direct competitors in end product or strategic resource markets even \"protective\" governance structures such as equity joint ventures may provide insufficient protection to induce extensive knowledge sharing among alliance participants. Rather than abandoning potential gains from cooperation altogether in these circumstances, partners choose to limit the scope of alliance activities to those that can be successfully completed with limited (and carefully regulated) knowledge sharing. Our arguments are supported by empirical analysis of a sample of international R&amp;D alliances involving electronics and telecommunications equipment companies.","author":[{"dropping-particle":"","family":"Oxley","given":"Joanne E.","non-dropping-particle":"","parse-names":false,"suffix":""},{"dropping-particle":"","family":"Sampson","given":"Rachelle C.","non-dropping-particle":"","parse-names":false,"suffix":""}],"container-title":"Strategic Management Journal","id":"ITEM-1","issued":{"date-parts":[["2004"]]},"page":"723-749","title":"The Scope and Governance of International R&amp;D Alliances","type":"article-journal","volume":"749"},"uris":["http://www.mendeley.com/documents/?uuid=6f164fda-9e31-46c5-94ae-848fbf9dcbfc"]}],"mendeley":{"formattedCitation":"(Oxley &amp; Sampson, 2004)","plainTextFormattedCitation":"(Oxley &amp; Sampson, 2004)","previouslyFormattedCitation":"(Oxley &amp; Sampson,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(Oxley &amp; Sampson, 2004)</w:t>
      </w:r>
      <w:r w:rsidRPr="009672FC">
        <w:rPr>
          <w:rFonts w:ascii="Garamond" w:hAnsi="Garamond"/>
          <w:sz w:val="24"/>
          <w:szCs w:val="24"/>
        </w:rPr>
        <w:fldChar w:fldCharType="end"/>
      </w:r>
      <w:r w:rsidRPr="009672FC">
        <w:rPr>
          <w:rFonts w:ascii="Garamond" w:hAnsi="Garamond"/>
          <w:sz w:val="24"/>
          <w:szCs w:val="24"/>
        </w:rPr>
        <w:t xml:space="preserve">, building inter-firm trust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{"citationItems":[{"id":"ITEM-1","itemData":{"DOI":"10.1016/j.pursup.2010.11.001","ISSN":"14784092","abstract":"This paper generates insights into the establishment and maintenance of cooperative, trusting relationships in partnering projects between client and contractor organizations. For this purpose we first explore the concept of trust, and review the literature on trust in inter-organizational relationships. We describe how trust is related to risk, control and performance, and how initial conditions and expectations may lead to positive cycles of increasing trust or, in contrast, to negative cycles of decreasing trust. We confront this stylized theoretical description of inter-organizational trust dynamics with rich data from a project alliance in railroad construction in the Netherlands. We conclude that the initial conditions of this project alliance were conducive to trust, both in terms of opportunities and incentives. However, virtuous trust dynamics do not develop automatically, in particular in the construction industry that has a heritage of adversarial relationships between clients and contractors. The organizations in our case study took some deliberate actions to overcome these adversarial relations, like selection of key employees, increasing informal interactions between these employees and stimulating openness and transparency. © 2010 Elsevier Ltd.","author":[{"dropping-particle":"","family":"Laan","given":"Albertus","non-dropping-particle":"","parse-names":false,"suffix":""},{"dropping-particle":"","family":"Noorderhaven","given":"Niels","non-dropping-particle":"","parse-names":false,"suffix":""},{"dropping-particle":"","family":"Voordijk","given":"Hans","non-dropping-particle":"","parse-names":false,"suffix":""},{"dropping-particle":"","family":"Dewulf","given":"Geert","non-dropping-particle":"","parse-names":false,"suffix":""}],"container-title":"Journal of Purchasing and Supply Management","id":"ITEM-1","issue":"2","issued":{"date-parts":[["2011"]]},"page":"98-108","publisher":"Elsevier","title":"Building trust in construction partnering projects: An exploratory case-study","type":"article-journal","volume":"17"},"uris":["http://www.mendeley.com/documents/?uuid=97dcadfc-b47b-4c26-9dd1-3530363af522"]}],"mendeley":{"formattedCitation":"(Laan, Noorderhaven, Voordijk, &amp; Dewulf, 2011)","plainTextFormattedCitation":"(Laan, Noorderhaven, Voordijk, &amp; Dewulf, 2011)","previouslyFormattedCitation":"(Laan et al., 2011)"},"properties":{"noteIndex":0},"schema":"https://github.com/citation-style-language/schema/raw/master/csl-citation.json"}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(Laan, Noorderhaven, Voordijk, &amp; Dewulf, 2011)</w:t>
      </w:r>
      <w:r w:rsidRPr="009672FC">
        <w:rPr>
          <w:rFonts w:ascii="Garamond" w:hAnsi="Garamond"/>
          <w:sz w:val="24"/>
          <w:szCs w:val="24"/>
        </w:rPr>
        <w:fldChar w:fldCharType="end"/>
      </w:r>
      <w:r w:rsidRPr="009672FC">
        <w:rPr>
          <w:rFonts w:ascii="Garamond" w:hAnsi="Garamond"/>
          <w:sz w:val="24"/>
          <w:szCs w:val="24"/>
        </w:rPr>
        <w:t xml:space="preserve">, and governance controls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{"citationItems":[{"id":"ITEM-1","itemData":{"DOI":"10.5465/apbpp.2001.6123165","ISSN":"0065-0668","abstract":"Research in transaction cost economics and structural sociology has emphasized the role of opportunism and trust in the choice between equity and non</w:instrText>
      </w:r>
      <w:r w:rsidRPr="009672FC">
        <w:rPr>
          <w:rFonts w:ascii="Times New Roman" w:hAnsi="Times New Roman"/>
          <w:sz w:val="24"/>
          <w:szCs w:val="24"/>
        </w:rPr>
        <w:instrText>‐</w:instrText>
      </w:r>
      <w:r w:rsidRPr="009672FC">
        <w:rPr>
          <w:rFonts w:ascii="Garamond" w:hAnsi="Garamond"/>
          <w:sz w:val="24"/>
          <w:szCs w:val="24"/>
        </w:rPr>
        <w:instrText>equity governance forms in alliances. This paper suggests that the uncertainty surrounding partner cooperation is not straightforwardly predictive of governance structure in alliances. Instead, task uncertainty and strategic uncertainty associated with the activities performed within alliances induce coordination and adaptation requirements that are important determinants of alliance governance, independently of partner uncertainty. Support for this view is provided based on a 12</w:instrText>
      </w:r>
      <w:r w:rsidRPr="009672FC">
        <w:rPr>
          <w:rFonts w:ascii="Times New Roman" w:hAnsi="Times New Roman"/>
          <w:sz w:val="24"/>
          <w:szCs w:val="24"/>
        </w:rPr>
        <w:instrText>‐</w:instrText>
      </w:r>
      <w:r w:rsidRPr="009672FC">
        <w:rPr>
          <w:rFonts w:ascii="Garamond" w:hAnsi="Garamond"/>
          <w:sz w:val="24"/>
          <w:szCs w:val="24"/>
        </w:rPr>
        <w:instrText>year panel of alliances formed in the US telecommunications, entertainment and computer industries.","author":[{"dropping-particle":"","family":"Casciaro","given":"T.","non-dropping-particle":"","parse-names":false,"suffix":""}],"container-title":"Academy of Management Proceedings","id":"ITEM-1","issue":"1","issued":{"date-parts":[["2011"]]},"page":"C1-C6","title":"Determinants of Governance Structure in Alliances: the Role of Task, Strategic, and Partner Uncertainties.","type":"article-journal","volume":"2001"},"uris":["http://www.mendeley.com/documents/?uuid=f75eb51a-2a03-4fd8-bf71-c4b1432ec356"]}],"mendeley":{"formattedCitation":"(Casciaro, 2011)","manualFormatting":"(Casciaro, 2011;","plainTextFormattedCitation":"(Casciaro, 2011)","previouslyFormattedCitation":"(Casciaro,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(Casciaro, 2011;</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{"citationItems":[{"id":"ITEM-1","itemData":{"DOI":"10.1111/apce.12058","ISSN":"14678292","abstract":"This work aims at providing a framework for the analysis of governance in networks of cooperative firms. It builds on four bodies of literature: cooperation, transaction costs, monopoly capitalism, production networks. The framework associates the specific principles that define the identity of cooperative organizations (self-help, member ownership, democratic control, financial participation, limited capital remuneration) alongside more general governance levels (embodied values, property rights, control, resource allocation). We then apply the same dimensions to production networks and propose a stylized networking model for cooperatives. We introduce market power, and identify two polarized types of networks: (1) heterarchical forms of coordination based on cooperation and mutual help, (2) hierarchical coordination based on exclusive direction. We compare both types with our normative framework providing examples and brief case studies for each network type. Recommendations to scholars and practitioners point at the opportunity to discriminate inter-firm relations and production development strategy in terms of the values of cooperation, at all governance levels. Die erweiterte Governance von genossenschaftlichen Unternehmen: Koordination zwischen den Unternehmen und Übereinstimmung der Werte: Mit diesem Beitrag wird bezweckt, einen Rahmen für die Analyse der Governance in Netzwerken genossenschaftlicher Unternehmen zu schaffen. Die Arbeit basiert auf vier Literaturbereichen: Genossenschaftswesen, Transaktionskosten, Monopolkapitalismus und Produktionsnetzwerke. Der von uns entwickelte Rahmen verbindet die spezifischen Prinzipien miteinander, die, neben allgemeineren Governance-Kategorien (verkörperte Werte, Eigentumsrechte, Kontrolle, Ressourcenallokation), die Identität genossenschaftlicher Organisationen definieren (Selbsthilfe, Unternehmen im Eigentum der Mitglieder, demokratische Kontrolle, finanzielle Beteiligung, begrenzte Kapitalrendite). Sodann wenden wir dieselben Kriterien auf Produktionsnetzwerke an und schlagen ein stilisiertes Netzwerkmodell für Genossenschaften vor. Anschließend führen wir das Phänomen der Marktmacht ein und identifizieren zwei Extrempositionen von Netzwerktypen: (1) \"heterarchische\" Koordinationsformen, die auf Kooperation und gegenseitiger Hilfe basieren, und (2) hierarchische Koordination, die auf exklusiver Anweisungsbefugnis basiert. Wir vergleichen beide Typen mit unserem normativen Rahmen, wobei wir für jeden Ne…","author":[{"dropping-particle":"","family":"Sacchetti","given":"Silvia","non-dropping-particle":"","parse-names":false,"suffix":""},{"dropping-particle":"","family":"Tortia","given":"Ermanno","non-dropping-particle":"","parse-names":false,"suffix":""}],"container-title":"Annals of Public and Cooperative Economics","id":"ITEM-1","issue":"1","issued":{"date-parts":[["2016"]]},"page":"93-116","title":"The Extended Governance of Cooperative Firms: Inter-Firm Coordination and Consistency of Values","type":"article-journal","volume":"87"},"uris":["http://www.mendeley.com/documents/?uuid=29e0d9a6-00ba-4a32-b4a4-628089c7951d"]}],"mendeley":{"formattedCitation":"(Sacchetti &amp; Tortia, 2016)","manualFormatting":"Sacchetti and Tortia, 2016;","plainTextFormattedCitation":"(Sacchetti &amp; Tortia, 2016)","previouslyFormattedCitation":"(Sacchetti &amp; Tortia,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Sacchetti and Tortia, 2016;</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S1090-9516(02)00105-0","ISSN":"10909516","author":[{"dropping-particle":"","family":"Chen","given":"Homin","non-dropping-particle":"","parse-names":false,"suffix":""},{"dropping-particle":"","family":"Chen","given":"Tain-jy","non-dropping-particle":"","parse-names":false,"suffix":""}],"container-title":"Journal of World Business","id":"ITEM-1","issued":{"date-parts":[["2003"]]},"page":"1-14","title":"Governance structures in strategic alliances: transaction cost versus resource-based perspective","type":"article-journal","volume":"38"},"uris":["http://www.mendeley.com/documents/?uuid=d77ea125-05c1-4fc2-ad84-b86544601729"]}],"mendeley":{"formattedCitation":"(Chen &amp; Chen, 2003)","manualFormatting":"Chen and Chen, 2003)","plainTextFormattedCitation":"(Chen &amp; Chen, 2003)","previouslyFormattedCitation":"(Chen &amp; Chen,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Chen and Chen, 2003)</w:t>
      </w:r>
      <w:r w:rsidRPr="009672FC">
        <w:rPr>
          <w:rFonts w:ascii="Garamond" w:hAnsi="Garamond"/>
          <w:sz w:val="24"/>
          <w:szCs w:val="24"/>
        </w:rPr>
        <w:fldChar w:fldCharType="end"/>
      </w:r>
      <w:r w:rsidRPr="009672FC">
        <w:rPr>
          <w:rFonts w:ascii="Garamond" w:hAnsi="Garamond"/>
          <w:sz w:val="24"/>
          <w:szCs w:val="24"/>
        </w:rPr>
        <w:t>.</w:t>
      </w:r>
    </w:p>
    <w:p w14:paraId="25AB498C" w14:textId="53F08611" w:rsidR="00EB5D6B" w:rsidRPr="00852A0F" w:rsidRDefault="00852A0F" w:rsidP="00852A0F">
      <w:pPr>
        <w:pStyle w:val="MDPI18keywords"/>
        <w:spacing w:line="360" w:lineRule="auto"/>
        <w:ind w:left="0"/>
        <w:rPr>
          <w:rFonts w:ascii="Garamond" w:hAnsi="Garamond"/>
          <w:sz w:val="24"/>
          <w:szCs w:val="24"/>
          <w:lang w:val="en-GB"/>
        </w:rPr>
      </w:pPr>
      <w:r w:rsidRPr="009672FC">
        <w:rPr>
          <w:rFonts w:ascii="Garamond" w:hAnsi="Garamond"/>
          <w:sz w:val="24"/>
          <w:szCs w:val="24"/>
        </w:rPr>
        <w:t xml:space="preserve">In the second cluster, papers by Cohen, W.M., et al (1990), Dyer, J.H, et al. (1998), Kogut, B. et al. (1992), Nonaka, I. (1994), Porter, M. (1998), and Teece, D.J. et al. (1997). In this cluster, a paper by Cohen, W.M., et al. in 1990 published in administrative Science Quarterly, is the most cited paper. </w:t>
      </w:r>
      <w:r w:rsidRPr="009672FC">
        <w:rPr>
          <w:rFonts w:ascii="Garamond" w:hAnsi="Garamond"/>
          <w:sz w:val="24"/>
          <w:szCs w:val="24"/>
          <w:lang w:val="en-GB"/>
        </w:rPr>
        <w:t>Knowledge management is the third topic that arouses considerable attention of researchers in the field. Knowledge practices include (1) the role of IT as a source of means of interactions and exchange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Al-Kindi, &amp; Al-Hinai, 2018)","manualFormatting":"Shamsuzzoha, Al-Kindi and Al-Hinai, 2018;","plainTextFormattedCitation":"(Shamsuzzoha, Al-Kindi, &amp; Al-Hinai, 2018)","previouslyFormattedCitation":"(Shamsuzzoha et al., 2018)"},"properties":{"noteIndex":0},"schema":"https://github.com/citation-style-language/schema/raw/master/csl-citation.json"}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Shamsuzzoha, Al-Kindi and Al-Hinai, 2018;</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Parente, &amp; Veloso, 2010)","manualFormatting":"Vaccaro, Parente and Veloso, 2010)","plainTextFormattedCitation":"(Vaccaro, Parente, &amp; Veloso, 2010)","previouslyFormattedCitation":"(Vaccaro et al., 2010)"},"properties":{"noteIndex":0},"schema":"https://github.com/citation-style-language/schema/raw/master/csl-citation.json"}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Vaccaro, Parente and Veloso, 2010)</w:t>
      </w:r>
      <w:r w:rsidRPr="009672FC">
        <w:rPr>
          <w:rFonts w:ascii="Garamond" w:hAnsi="Garamond"/>
          <w:sz w:val="24"/>
          <w:szCs w:val="24"/>
          <w:lang w:val="en-GB"/>
        </w:rPr>
        <w:fldChar w:fldCharType="end"/>
      </w:r>
      <w:r w:rsidRPr="009672FC">
        <w:rPr>
          <w:rFonts w:ascii="Garamond" w:hAnsi="Garamond"/>
          <w:sz w:val="24"/>
          <w:szCs w:val="24"/>
          <w:lang w:val="en-GB"/>
        </w:rPr>
        <w:t>, and a tool for monitoring performance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2016)","manualFormatting":"Nuroğlu, 2016; Comuzzi, Vonk and Grefen, 2012)","plainTextFormattedCitation":"(Nuroğlu, 2016)","previouslyFormattedCitation":"(Nuroğlu, 2016)"},"properties":{"noteIndex":0},"schema":"https://github.com/citation-style-language/schema/raw/master/csl-citation.json"}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Nuroğlu, 2016;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{"citationItems":[{"id":"ITEM-1","itemData":{"DOI":"10.1016/j.datak.2011.07.004","ISSN":"0169023X","abstract":"The literature on monitoring of cross-organizational processes, executed within business networks, considers monitoring only in the network formation phase, since network establishment determines what can be monitored during process execution. In particular, the impact of evolution in such networks on monitoring is not considered. When a business network evolves, e.g. contracts are introduced, updated, or dropped, or actors join or leave the network, the monitoring requirements of the network actors change as well. As a result, the monitorability of processes in the network may be disrupted. This paper proposes a framework to solve the problem of preserving the monitorability of processes in an evolving business network. We first propose a formal model of business networks, contracts, and monitoring requirements. Then, we model network evolution and the mechanisms to preserve the monitorability of the processes in the network for different types of evolution. In particular, the preservation of monitorability requires the actors in the network to take appropriate actions in case of dependencies between already established contracts, and update their monitoring infrastructure to satisfy the new monitoring requirements introduced by evolution. We also define a set of metrics that can be used for supporting decisions regarding the potential evolution of a business network. A case study in healthcare and the discussion of a prototype implementation show the applicability of our framework in real-world scenarios. © 2011 Elsevier B.V.","author":[{"dropping-particle":"","family":"Comuzzi","given":"Marco","non-dropping-particle":"","parse-names":false,"suffix":""},{"dropping-particle":"","family":"Vonk","given":"Jochem","non-dropping-particle":"","parse-names":false,"suffix":""},{"dropping-particle":"","family":"Grefen","given":"Paul","non-dropping-particle":"","parse-names":false,"suffix":""}],"container-title":"Data and Knowledge Engineering","id":"ITEM-1","issue":"1","issued":{"date-parts":[["2012"]]},"page":"1-28","publisher":"Elsevier B.V.","title":"Measures and mechanisms for process monitoring in evolving business networks","type":"article-journal","volume":"71"},"uris":["http://www.mendeley.com/documents/?uuid=ba44821f-b29e-4281-8854-ae2c30867d33"]}],"mendeley":{"formattedCitation":"(Comuzzi, Vonk, &amp; Grefen, 2012)","manualFormatting":"Comuzzi, Vonk and Grefen, 2012","plainTextFormattedCitation":"(Comuzzi, Vonk, &amp; Grefen, 2012)","previouslyFormattedCitation":"(Comuzzi et al., 2012)"},"properties":{"noteIndex":0},"schema":"https://github.com/citation-style-language/schema/raw/master/csl-citation.json"}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Comuzzi, Vonk and Grefen, 2012</w:t>
      </w:r>
      <w:r w:rsidRPr="009672FC">
        <w:rPr>
          <w:rFonts w:ascii="Garamond" w:hAnsi="Garamond"/>
          <w:noProof/>
          <w:sz w:val="24"/>
          <w:szCs w:val="24"/>
          <w:lang w:val="en-GB"/>
        </w:rPr>
        <w:fldChar w:fldCharType="end"/>
      </w:r>
      <w:r w:rsidRPr="009672FC">
        <w:rPr>
          <w:rFonts w:ascii="Garamond" w:hAnsi="Garamond"/>
          <w:noProof/>
          <w:sz w:val="24"/>
          <w:szCs w:val="24"/>
          <w:lang w:val="en-GB"/>
        </w:rPr>
        <w:t>)</w:t>
      </w:r>
      <w:r w:rsidRPr="009672FC">
        <w:rPr>
          <w:rFonts w:ascii="Garamond" w:hAnsi="Garamond"/>
          <w:sz w:val="24"/>
          <w:szCs w:val="24"/>
          <w:lang w:val="en-GB"/>
        </w:rPr>
        <w:fldChar w:fldCharType="end"/>
      </w:r>
      <w:r w:rsidRPr="009672FC">
        <w:rPr>
          <w:rFonts w:ascii="Garamond" w:hAnsi="Garamond"/>
          <w:sz w:val="24"/>
          <w:szCs w:val="24"/>
          <w:lang w:val="en-GB"/>
        </w:rPr>
        <w:t xml:space="preserve">; (2) knowledge sharing practices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{"citationItems":[{"id":"ITEM-1","itemData":{"DOI":"10.1016/j.indmarman.2008.12.014","ISSN":"00198501","abstract":"The emerging paradigm of network competition is increasingly in evidence across many industrial sectors and provides further support for the idea that 'supply chains compete, not companies'. It can be argued that network competition requires a much greater focus on managing the interfaces that connect the individual players in that network and exchanging and leveraging knowledge across the network. This paper sets out to establish a framework whereby the critical interfaces and the knowledge sharing benefits can be identified and how the strength of the relationships at those interfaces can become the basis for building organisational reputation and create an environment more conducive to co-operation and knowledge sharing. Finally, the paper analyses the potential impact of reputational risks in influencing the perception of stakeholders about the organisation. Whilst the idea of value-adding networks based on closely connected providers of capabilities and resources is appealing, it should be recognised that, if not properly managed, the actions of the stakeholders in those networks can impact the risk profile of the business significantly-particularly reputational risk. The more that organisations become part of complex global networks, the more dependent they become upon the other network members for knowledge and other resources. Because of this dependency there is always the danger that the reputation of the focal firm can be damaged by the actions of other network members, hence reducing the likelihood of future collaborative working and knowledge exploitation. Using examples drawn from a variety of industries, the paper highlights the potential for reputational risk if the critical network interfaces are not closely managed. It will be argued that by actively managing relationships with stakeholders in the network the risk to the organisation's reputation can be mitigated and the sharing of knowledge simultaneously enhanced. © 2009 Elsevier Inc. All rights reserved.","author":[{"dropping-particle":"","family":"Christopher","given":"Martin","non-dropping-particle":"","parse-names":false,"suffix":""},{"dropping-particle":"","family":"Gaudenzi","given":"Barbara","non-dropping-particle":"","parse-names":false,"suffix":""}],"container-title":"Industrial Marketing Management","id":"ITEM-1","issue":"2","issued":{"date-parts":[["2009"]]},"page":"191-197","publisher":"Elsevier Inc.","title":"Exploiting knowledge across networks through reputation management","type":"article-journal","volume":"38"},"uris":["http://www.mendeley.com/documents/?uuid=11ffaf22-3044-4320-8bd2-93a6cfb3562e"]}],"mendeley":{"formattedCitation":"(Christopher &amp; Gaudenzi, 2009)","manualFormatting":"(Christopher and Gaudenzi, 2009","plainTextFormattedCitation":"(Christopher &amp; Gaudenzi, 2009)","previouslyFormattedCitation":"(Christopher &amp; Gaudenzi, 2009)"},"properties":{"noteIndex":0},"schema":"https://github.com/citation-style-language/schema/raw/master/csl-citation.json"}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(Christopher and Gaudenzi, 2009</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{"citationItems":[{"id":"ITEM-1","itemData":{"author":[{"dropping-particle":"","family":"Dyer","given":"Jeffrey H","non-dropping-particle":"","parse-names":false,"suffix":""},{"dropping-particle":"","family":"Nobeoka","given":"Kentaro","non-dropping-particle":"","parse-names":false,"suffix":""}],"container-title":"Strategic Management Journal","id":"ITEM-1","issue":"21","issued":{"date-parts":[["2000"]]},"page":"345-367","title":"CREATING AND MANAGING A HIGH- PERFORMANCE KNOWLEDGE-SHARING NETWORK : THE TOYOTA CASE","type":"article-journal","volume":"367"},"uris":["http://www.mendeley.com/documents/?uuid=69a15dca-4d83-4d5d-9aff-1f7734736f1b"]}],"mendeley":{"formattedCitation":"(Dyer &amp; Nobeoka, 2000)","manualFormatting":"Dyer and Nobeoka, 2000;","plainTextFormattedCitation":"(Dyer &amp; Nobeoka, 2000)","previouslyFormattedCitation":"(Dyer &amp; Nobeoka, 2000)"},"properties":{"noteIndex":0},"schema":"https://github.com/citation-style-language/schema/raw/master/csl-citation.json"}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Dyer and Nobeoka, 2000;</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{"citationItems":[{"id":"ITEM-1","itemData":{"DOI":"10.1016/j.ijinfomgt.2018.12.019","ISSN":"02684012","abstract":"In today's interconnected global marketplace, where customers have become increasingly knowledgeable and empowered, a customer-centric view is becoming a prominent differentiating strategy for firms. Accordingly, firms with the aim of delivering a seamless customer experience strive to offer integrated solutions. This quite often relies on inter-organizational collaboration in the context of a value network In this context, customer-related knowledge is regarded as one of the primary sources in the provisioning process of integrated solutions. This, in turn, implies the importance of effective sharing of customer knowledge among actors of a value network. Customer knowledge transfer is difficult due to some recognizable challenges such as a lack of trust. Because of the added complexity of a value network, achieving a shared understanding among actors about customer knowledge transfer challenges in a value network setting (VN-CKTC) might be more difficult. A systematic and comprehensive overview of the VN-CKTC (in the form of a reference model) might support this by providing additional structure. Although scholars have long studied knowledge transfer challenges within business network settings, they are usually limited in scope and their resulting challenges differ widely. Therefore, they provide insufficient coverage of the possible challenges. A more comprehensive view is thus needed. Our research aims at designing and validating a reference model that provides a systematic and wider spectrum of possible VN-CKTC. To this end, a design science research approach is followed. In the design phase, by conducting a systematic literature review followed by a structured classification, a reference model of VN-CKTC is designed. In the evaluation phase, the validation of this designed artifact is evaluated in a value network setting by conducting multiple case studies. The results of this study give us both theoretically and context-speciﬁc descriptions of the significant relevant of these challenges. The proposed reference model provides a rich picture of VN-CKTC. Decision makers of value networks can use this reference model as a means to achieve a shared understanding about customer knowledge transfer challenges and to come to an agreement on these challenges. They can also apply it to be aware of which challenges to focus on, so they are provided with a much stronger basis to make better-informed decisions to address and mitigate these challenges.","author":[{"dropping-particle":"","family":"Bagheri","given":"Samaneh","non-dropping-particle":"","parse-names":false,"suffix":""},{"dropping-particle":"","family":"Kusters","given":"Rob J.","non-dropping-particle":"","parse-names":false,"suffix":""},{"dropping-particle":"","family":"Trienekens","given":"Jos J.M.","non-dropping-particle":"","parse-names":false,"suffix":""}],"container-title":"International Journal of Information Management","id":"ITEM-1","issue":"March","issued":{"date-parts":[["2019"]]},"page":"198-214","publisher":"Elsevier","title":"Customer knowledge transfer challenges in a co-creation value network: Toward a reference model","type":"article-journal","volume":"47"},"uris":["http://www.mendeley.com/documents/?uuid=e697617a-8ba0-4191-b3d0-1de1e081ba3f"]}],"mendeley":{"formattedCitation":"(Bagheri, Kusters, &amp; Trienekens, 2019)","manualFormatting":"Bagheri, Kusters and Trienekens, 2019;","plainTextFormattedCitation":"(Bagheri, Kusters, &amp; Trienekens, 2019)","previouslyFormattedCitation":"(Bagheri et al., 2019)"},"properties":{"noteIndex":0},"schema":"https://github.com/citation-style-language/schema/raw/master/csl-citation.json"}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Bagheri, </w:t>
      </w:r>
      <w:r w:rsidRPr="009672FC">
        <w:rPr>
          <w:rFonts w:ascii="Garamond" w:hAnsi="Garamond"/>
          <w:noProof/>
          <w:sz w:val="24"/>
          <w:szCs w:val="24"/>
          <w:lang w:val="en-GB"/>
        </w:rPr>
        <w:lastRenderedPageBreak/>
        <w:t>Kusters and Trienekens, 2019;</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and Singh, 1998)","plainTextFormattedCitation":"(Dyer &amp; Singh, 1998)","previouslyFormattedCitation":"(Dyer &amp; Singh, 1998)"},"properties":{"noteIndex":0},"schema":"https://github.com/citation-style-language/schema/raw/master/csl-citation.json"}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Dyer and Singh, 1998)</w:t>
      </w:r>
      <w:r w:rsidRPr="009672FC">
        <w:rPr>
          <w:rFonts w:ascii="Garamond" w:hAnsi="Garamond"/>
          <w:sz w:val="24"/>
          <w:szCs w:val="24"/>
          <w:lang w:val="en-GB"/>
        </w:rPr>
        <w:fldChar w:fldCharType="end"/>
      </w:r>
      <w:r w:rsidRPr="009672FC">
        <w:rPr>
          <w:rFonts w:ascii="Garamond" w:hAnsi="Garamond"/>
          <w:sz w:val="24"/>
          <w:szCs w:val="24"/>
          <w:lang w:val="en-GB"/>
        </w:rPr>
        <w:t xml:space="preserve">; and controlling against knowledge spillover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{"citationItems":[{"id":"ITEM-1","itemData":{"DOI":"10.1080/14778238.2018.1457004","ISSN":"14778246","abstract":"This article contributes to the understanding of the impact of focal\nfirm's centrality on innovation performance by examining knowledge\ngovernance's influence as a mediatory variable. The objective of the\nresearch is to find knowledge governance's mediatory items and test the\nhypotheses listed. To investigate it, a model of path analysis is\nestablished and items of each variable are proposed based on theoretical\nreferences. Results imply that total effect between focal firm's\ncentrality reaches 0.459 in which the direct effect is 0.242 and the\nindirect effect is 0.217. The data suggest that knowledge governance is\na partly mediatory variable between focal firm's centrality and\ninnovation performance. It is concluded that this connection is\nattribute to focal firm's influence on the whole system network. Thus,\nthis kind of research provides relevant research on system innovation\nperformance in view of network variable and focal-firm-based theoretical\nhypotheses.","author":[{"dropping-particle":"","family":"Zhao","given":"Jianyu","non-dropping-particle":"","parse-names":false,"suffix":""},{"dropping-particle":"","family":"Xi","given":"Xi","non-dropping-particle":"","parse-names":false,"suffix":""},{"dropping-particle":"","family":"Guo","given":"Tao","non-dropping-particle":"","parse-names":false,"suffix":""}],"container-title":"Knowledge Management Research and Practice","id":"ITEM-1","issue":"2","issued":{"date-parts":[["2018"]]},"page":"196-207","title":"The impact of focal firm's centrality and knowledge governance on innovation performance","type":"article-journal","volume":"16"},"uris":["http://www.mendeley.com/documents/?uuid=45a09b61-1650-4b56-b005-407ddcde72fc"]}],"mendeley":{"formattedCitation":"(Zhao, Xi, &amp; Guo, 2018)","manualFormatting":"(Zhao, Xi and Guo, 2018; Dyer and Hatch, 2006","plainTextFormattedCitation":"(Zhao, Xi, &amp; Guo, 2018)","previouslyFormattedCitation":"(Zhao et al., 2018)"},"properties":{"noteIndex":0},"schema":"https://github.com/citation-style-language/schema/raw/master/csl-citation.json"}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(Zhao, Xi and Guo, 2018;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{"citationItems":[{"id":"ITEM-1","itemData":{"DOI":"10.1002/smj.543","author":[{"dropping-particle":"","family":"Dyer","given":"Jeffrey H","non-dropping-particle":"","parse-names":false,"suffix":""},{"dropping-particle":"","family":"Hatch","given":"Nile W","non-dropping-particle":"","parse-names":false,"suffix":""}],"id":"ITEM-1","issue":"May","issued":{"date-parts":[["2006"]]},"page":"701-719","title":"Relation-specific capabilities and barriers to knowledge transfers: creating advantage through network relationships","type":"article-journal","volume":"719"},"uris":["http://www.mendeley.com/documents/?uuid=44ec7fe1-8515-4beb-ab9a-79305b003aea"]}],"mendeley":{"formattedCitation":"(Dyer &amp; Hatch, 2006)","manualFormatting":"Dyer and Hatch, 2006","plainTextFormattedCitation":"(Dyer &amp; Hatch, 2006)","previouslyFormattedCitation":"(Dyer &amp; Hatch, 2006)"},"properties":{"noteIndex":0},"schema":"https://github.com/citation-style-language/schema/raw/master/csl-citation.json"}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Dyer and Hatch, 2006</w:t>
      </w:r>
      <w:r w:rsidRPr="009672FC">
        <w:rPr>
          <w:rFonts w:ascii="Garamond" w:hAnsi="Garamond"/>
          <w:noProof/>
          <w:sz w:val="24"/>
          <w:szCs w:val="24"/>
          <w:lang w:val="en-GB"/>
        </w:rPr>
        <w:fldChar w:fldCharType="end"/>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and Singh, 1998)","plainTextFormattedCitation":"(Dyer &amp; Singh, 1998)","previouslyFormattedCitation":"(Dyer &amp; Singh, 1998)"},"properties":{"noteIndex":0},"schema":"https://github.com/citation-style-language/schema/raw/master/csl-citation.json"}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Dyer and Singh, 1998)</w:t>
      </w:r>
      <w:r w:rsidRPr="009672FC">
        <w:rPr>
          <w:rFonts w:ascii="Garamond" w:hAnsi="Garamond"/>
          <w:sz w:val="24"/>
          <w:szCs w:val="24"/>
          <w:lang w:val="en-GB"/>
        </w:rPr>
        <w:fldChar w:fldCharType="end"/>
      </w:r>
      <w:r w:rsidRPr="009672FC">
        <w:rPr>
          <w:rFonts w:ascii="Garamond" w:hAnsi="Garamond"/>
          <w:sz w:val="24"/>
          <w:szCs w:val="24"/>
          <w:lang w:val="en-GB"/>
        </w:rPr>
        <w:t>.</w:t>
      </w:r>
    </w:p>
    <w:p w14:paraId="0A325B06" w14:textId="2265F80C" w:rsidR="00EB5D6B" w:rsidRPr="00852A0F" w:rsidRDefault="00EB5D6B" w:rsidP="00852A0F">
      <w:pPr>
        <w:pStyle w:val="Caption"/>
        <w:spacing w:before="240" w:after="0"/>
        <w:jc w:val="center"/>
        <w:rPr>
          <w:rFonts w:ascii="Garamond" w:hAnsi="Garamond"/>
          <w:sz w:val="22"/>
          <w:szCs w:val="22"/>
        </w:rPr>
      </w:pPr>
      <w:bookmarkStart w:id="52" w:name="_Toc85710579"/>
      <w:r w:rsidRPr="00852A0F">
        <w:rPr>
          <w:rFonts w:ascii="Garamond" w:hAnsi="Garamond"/>
          <w:sz w:val="22"/>
          <w:szCs w:val="22"/>
        </w:rPr>
        <w:t xml:space="preserve">Figure </w:t>
      </w:r>
      <w:r w:rsidR="00C10BC3" w:rsidRPr="00852A0F">
        <w:rPr>
          <w:rFonts w:ascii="Garamond" w:hAnsi="Garamond"/>
          <w:sz w:val="22"/>
          <w:szCs w:val="22"/>
        </w:rPr>
        <w:fldChar w:fldCharType="begin"/>
      </w:r>
      <w:r w:rsidR="00C10BC3" w:rsidRPr="00852A0F">
        <w:rPr>
          <w:rFonts w:ascii="Garamond" w:hAnsi="Garamond"/>
          <w:sz w:val="22"/>
          <w:szCs w:val="22"/>
        </w:rPr>
        <w:instrText xml:space="preserve"> SEQ Figure \* ARABIC </w:instrText>
      </w:r>
      <w:r w:rsidR="00C10BC3" w:rsidRPr="00852A0F">
        <w:rPr>
          <w:rFonts w:ascii="Garamond" w:hAnsi="Garamond"/>
          <w:sz w:val="22"/>
          <w:szCs w:val="22"/>
        </w:rPr>
        <w:fldChar w:fldCharType="separate"/>
      </w:r>
      <w:r w:rsidR="001C1648">
        <w:rPr>
          <w:rFonts w:ascii="Garamond" w:hAnsi="Garamond"/>
          <w:noProof/>
          <w:sz w:val="22"/>
          <w:szCs w:val="22"/>
        </w:rPr>
        <w:t>4</w:t>
      </w:r>
      <w:r w:rsidR="00C10BC3" w:rsidRPr="00852A0F">
        <w:rPr>
          <w:rFonts w:ascii="Garamond" w:hAnsi="Garamond"/>
          <w:noProof/>
          <w:sz w:val="22"/>
          <w:szCs w:val="22"/>
        </w:rPr>
        <w:fldChar w:fldCharType="end"/>
      </w:r>
      <w:r w:rsidRPr="00852A0F">
        <w:rPr>
          <w:rFonts w:ascii="Garamond" w:hAnsi="Garamond"/>
          <w:sz w:val="22"/>
          <w:szCs w:val="22"/>
        </w:rPr>
        <w:t>. Co-citation of authors in Inter-organizational business network research (minimum citation threshold of 20 and 100 links).</w:t>
      </w:r>
      <w:bookmarkEnd w:id="52"/>
    </w:p>
    <w:p w14:paraId="56B75ABA" w14:textId="77777777" w:rsidR="003D5DE8" w:rsidRPr="009672FC" w:rsidRDefault="007549AA">
      <w:pPr>
        <w:pStyle w:val="MDPI18keywords"/>
        <w:ind w:left="360" w:firstLine="360"/>
        <w:rPr>
          <w:rFonts w:ascii="Garamond" w:hAnsi="Garamond"/>
          <w:sz w:val="24"/>
          <w:szCs w:val="24"/>
        </w:rPr>
      </w:pPr>
      <w:r w:rsidRPr="009672FC">
        <w:rPr>
          <w:rFonts w:ascii="Garamond" w:hAnsi="Garamond"/>
          <w:noProof/>
          <w:lang w:eastAsia="en-US" w:bidi="ar-SA"/>
        </w:rPr>
        <w:drawing>
          <wp:inline distT="0" distB="0" distL="0" distR="0" wp14:anchorId="2E35E98B" wp14:editId="654D342A">
            <wp:extent cx="4874895" cy="2742565"/>
            <wp:effectExtent l="0" t="0" r="0" b="0"/>
            <wp:docPr id="4"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9" descr="Diagram&#10;&#10;Description automatically generated"/>
                    <pic:cNvPicPr>
                      <a:picLocks noChangeAspect="1" noChangeArrowheads="1"/>
                    </pic:cNvPicPr>
                  </pic:nvPicPr>
                  <pic:blipFill>
                    <a:blip r:embed="rId19"/>
                    <a:stretch>
                      <a:fillRect/>
                    </a:stretch>
                  </pic:blipFill>
                  <pic:spPr bwMode="auto">
                    <a:xfrm>
                      <a:off x="0" y="0"/>
                      <a:ext cx="4874895" cy="2742565"/>
                    </a:xfrm>
                    <a:prstGeom prst="rect">
                      <a:avLst/>
                    </a:prstGeom>
                  </pic:spPr>
                </pic:pic>
              </a:graphicData>
            </a:graphic>
          </wp:inline>
        </w:drawing>
      </w:r>
    </w:p>
    <w:p w14:paraId="532088B5" w14:textId="72777CEE" w:rsidR="003D5DE8" w:rsidRPr="009672FC" w:rsidRDefault="007549AA">
      <w:pPr>
        <w:pStyle w:val="MDPI18keywords"/>
        <w:spacing w:line="360" w:lineRule="auto"/>
        <w:ind w:left="360" w:firstLine="360"/>
        <w:rPr>
          <w:rFonts w:ascii="Garamond" w:hAnsi="Garamond"/>
          <w:i/>
          <w:iCs/>
          <w:sz w:val="24"/>
          <w:szCs w:val="24"/>
        </w:rPr>
      </w:pPr>
      <w:r w:rsidRPr="009672FC">
        <w:rPr>
          <w:rFonts w:ascii="Garamond" w:hAnsi="Garamond"/>
          <w:i/>
          <w:iCs/>
          <w:sz w:val="24"/>
          <w:szCs w:val="24"/>
        </w:rPr>
        <w:t xml:space="preserve">Sourced: VOSviewer co-citation output; Dataset retrieved from </w:t>
      </w:r>
      <w:r w:rsidR="005C5F35" w:rsidRPr="009672FC">
        <w:rPr>
          <w:rFonts w:ascii="Garamond" w:hAnsi="Garamond"/>
          <w:i/>
          <w:iCs/>
          <w:sz w:val="24"/>
          <w:szCs w:val="24"/>
        </w:rPr>
        <w:t>Web of Science and ScienceDirect</w:t>
      </w:r>
      <w:r w:rsidRPr="009672FC">
        <w:rPr>
          <w:rFonts w:ascii="Garamond" w:hAnsi="Garamond"/>
          <w:i/>
          <w:iCs/>
          <w:sz w:val="24"/>
          <w:szCs w:val="24"/>
        </w:rPr>
        <w:t xml:space="preserve"> databased (1990-2021, July)</w:t>
      </w:r>
    </w:p>
    <w:p w14:paraId="46D2DBEF" w14:textId="09B3C130" w:rsidR="003D5DE8" w:rsidRPr="009672FC" w:rsidRDefault="007549AA" w:rsidP="00CF726B">
      <w:pPr>
        <w:pStyle w:val="MDPI18keywords"/>
        <w:spacing w:line="360" w:lineRule="auto"/>
        <w:ind w:left="0"/>
        <w:rPr>
          <w:rFonts w:ascii="Garamond" w:hAnsi="Garamond"/>
          <w:sz w:val="24"/>
          <w:szCs w:val="24"/>
        </w:rPr>
      </w:pPr>
      <w:r w:rsidRPr="009672FC">
        <w:rPr>
          <w:rFonts w:ascii="Garamond" w:hAnsi="Garamond"/>
          <w:sz w:val="24"/>
          <w:szCs w:val="24"/>
        </w:rPr>
        <w:t xml:space="preserve">Cluster three comprises of papers by Barney, J. (1991), Henderson, R.M., et al. (1990, March, J.P. (1991), and Wernerfelt, B. (1984). The paper by Barney, J. (1991) is most influential in this category and </w:t>
      </w:r>
      <w:r w:rsidR="00CF726B" w:rsidRPr="009672FC">
        <w:rPr>
          <w:rFonts w:ascii="Garamond" w:hAnsi="Garamond"/>
          <w:sz w:val="24"/>
          <w:szCs w:val="24"/>
        </w:rPr>
        <w:t xml:space="preserve">in </w:t>
      </w:r>
      <w:r w:rsidRPr="009672FC">
        <w:rPr>
          <w:rFonts w:ascii="Garamond" w:hAnsi="Garamond"/>
          <w:sz w:val="24"/>
          <w:szCs w:val="24"/>
        </w:rPr>
        <w:t xml:space="preserve">fact, across all the clusters. Research in this cluster focus on various topics of inter-firm network strategy: (1) networking as a global entry strategy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{"citationItems":[{"id":"ITEM-1","itemData":{"DOI":"10.1007/s11846-014-0160-6","ISSN":"18636691","abstract":"Small and medium-sized enterprises (SMEs) have to carefully decide their innovation timing and the associated market entry strategy to initiate change. The question of taking either a pioneer or a follower strategy for the innovation’s market entry has so far delivered controversial empirical results in large enterprises, while the performance implications of SMEs have been widely ignored. This is where our research sets out, investigating 169 established SMEs in a longitudinal study, with our results showing that SMEs take advantage of a pioneer strategy. As researched by a moderator analysis, a follower strategy can even have a reductive effect on performance: SMEs are not able to combine knowledge with allies downstream in the supply chain. Overall, our study delivers new insights into qualitative and quantitative change of established SMEs by employing a research design looking at the performance effects of strategies and knowledge combination among firms.","author":[{"dropping-particle":"","family":"Bouncken","given":"Ricarda B.","non-dropping-particle":"","parse-names":false,"suffix":""},{"dropping-particle":"","family":"Pesch","given":"Robin","non-dropping-particle":"","parse-names":false,"suffix":""},{"dropping-particle":"","family":"Kraus","given":"Sascha","non-dropping-particle":"","parse-names":false,"suffix":""}],"container-title":"Review of Managerial Science","id":"ITEM-1","issue":"2","issued":{"date-parts":[["2015"]]},"page":"361-384","title":"SME innovativeness in buyer–seller alliances: effects of entry timing strategies and inter-organizational learning","type":"article-journal","volume":"9"},"uris":["http://www.mendeley.com/documents/?uuid=c495019b-a730-478f-85bc-6966b0e26d78"]}],"mendeley":{"formattedCitation":"(Bouncken, Pesch, &amp; Kraus, 2015)","plainTextFormattedCitation":"(Bouncken, Pesch, &amp; Kraus, 2015)","previouslyFormattedCitation":"(Bouncken et al., 2015)"},"properties":{"noteIndex":0},"schema":"https://github.com/citation-style-language/schema/raw/master/csl-citation.json"}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(Bouncken, Pesch, &amp; Kraus, 2015)</w:t>
      </w:r>
      <w:r w:rsidRPr="009672FC">
        <w:rPr>
          <w:rFonts w:ascii="Garamond" w:hAnsi="Garamond"/>
          <w:sz w:val="24"/>
          <w:szCs w:val="24"/>
        </w:rPr>
        <w:fldChar w:fldCharType="end"/>
      </w:r>
      <w:r w:rsidRPr="009672FC">
        <w:rPr>
          <w:rFonts w:ascii="Garamond" w:hAnsi="Garamond"/>
          <w:sz w:val="24"/>
          <w:szCs w:val="24"/>
        </w:rPr>
        <w:t xml:space="preserve"> and the alignment (both structural, institutional, and cultural)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{"citationItems":[{"id":"ITEM-1","itemData":{"DOI":"10.1016/j.jwb.2010.05.002","ISSN":"10909516","abstract":"We seek to examine how national culture values affect strategic decision-making processes (SDMPs) of internationalized firms. We employ the cultural relativity theory to explain how firms from different countries make international decisions. We advance hypotheses regarding the associations between three SDMP dimensions and three national culture aspects, notably the relationships between hierarchical decentralization and power distance; lateral communication and individualism; and, formalization and uncertainty avoidance. We present evidence from a large-scale study conducted on 528 internationalized small and medium-sized firms based in the USA, UK, Greece and Cyprus. The findings support our hypotheses with the exception of that concerning lateral communication and individualism. The national culture of the focal firm matters as far as SDMPs in internationalization are concerned. Implications and further research directions are discussed. © 2010 Elsevier Inc.","author":[{"dropping-particle":"","family":"Dimitratos","given":"Pavlos","non-dropping-particle":"","parse-names":false,"suffix":""},{"dropping-particle":"","family":"Petrou","given":"Andreas","non-dropping-particle":"","parse-names":false,"suffix":""},{"dropping-particle":"","family":"Plakoyiannaki","given":"Emmanuella","non-dropping-particle":"","parse-names":false,"suffix":""},{"dropping-particle":"","family":"Johnson","given":"Jeffrey E.","non-dropping-particle":"","parse-names":false,"suffix":""}],"container-title":"Journal of World Business","id":"ITEM-1","issue":"2","issued":{"date-parts":[["2011"]]},"page":"194-204","publisher":"Elsevier Inc.","title":"Strategic decision-making processes in internationalization: Does national culture of the focal firm matter?","type":"article-journal","volume":"46"},"uris":["http://www.mendeley.com/documents/?uuid=6aef1f1b-bb57-4b85-8fd9-81705b511d2f"]}],"mendeley":{"formattedCitation":"(Dimitratos, Petrou, Plakoyiannaki, &amp; Johnson, 2011)","plainTextFormattedCitation":"(Dimitratos, Petrou, Plakoyiannaki, &amp; Johnson, 2011)","previouslyFormattedCitation":"(Dimitratos et al., 2011)"},"properties":{"noteIndex":0},"schema":"https://github.com/citation-style-language/schema/raw/master/csl-citation.json"}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(Dimitratos, Petrou, Plakoyiannaki, &amp; Johnson, 2011)</w:t>
      </w:r>
      <w:r w:rsidRPr="009672FC">
        <w:rPr>
          <w:rFonts w:ascii="Garamond" w:hAnsi="Garamond"/>
          <w:sz w:val="24"/>
          <w:szCs w:val="24"/>
        </w:rPr>
        <w:fldChar w:fldCharType="end"/>
      </w:r>
      <w:r w:rsidRPr="009672FC">
        <w:rPr>
          <w:rFonts w:ascii="Garamond" w:hAnsi="Garamond"/>
          <w:sz w:val="24"/>
          <w:szCs w:val="24"/>
        </w:rPr>
        <w:t xml:space="preserve">; (2) managing network innovation capabilities through </w:t>
      </w:r>
      <w:r w:rsidRPr="009672FC">
        <w:rPr>
          <w:rFonts w:ascii="Garamond" w:hAnsi="Garamond"/>
          <w:sz w:val="24"/>
          <w:szCs w:val="24"/>
          <w:lang w:val="en-GB"/>
        </w:rPr>
        <w:t xml:space="preserve">building partnerships, integrating partners’ value contributions and coordinating innovation processes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{"citationItems":[{"id":"ITEM-1","itemData":{"DOI":"10.1016/j.jbusres.2019.04.001","ISSN":"01482963","abstract":"While there is a significant amount of research on cross-sector collaboration, we still lack an adequate understanding of the nature and dynamics of Alliance Management Capabilities (AMC) that organizations demand when stretching their inter-organizational relationships beyond the boundaries of their sector. We address this gap by investigating the role of AMC in establishing and maintaining cross-sector collaborations, focusing on the perspective of nonprofit organizations (NPOs). Using qualitative data obtained from a diverse group of NPOs that are actively in collaboration with the business sector, we identified a unique set of AMC that are deployed at the pre- and post-formation stages of collaboration, and concomitantly at both stages (or cross-cutting AMC). Moreover, we provide an integrative framework that explains how these capabilities are leveraged and developed within the context of cross-sector collaboration which takes a circular path that comprises strategic actions and learning routines. We draw implications for theory and practice.","author":[{"dropping-particle":"","family":"Al-Tabbaa","given":"Omar","non-dropping-particle":"","parse-names":false,"suffix":""},{"dropping-particle":"","family":"Leach","given":"Desmond","non-dropping-particle":"","parse-names":false,"suffix":""},{"dropping-particle":"","family":"Khan","given":"Zaheer","non-dropping-particle":"","parse-names":false,"suffix":""}],"container-title":"Journal of Business Research","id":"ITEM-1","issue":"March","issued":{"date-parts":[["2019"]]},"page":"268-284","publisher":"Elsevier","title":"Examining alliance management capabilities in cross-sector collaborative partnerships","type":"article-journal","volume":"101"},"uris":["http://www.mendeley.com/documents/?uuid=6f9a0dad-538b-4968-821a-ef7b83e7ed43"]}],"mendeley":{"formattedCitation":"(Al-Tabbaa, Leach, &amp; Khan, 2019)","manualFormatting":"(Al-Tabbaa, Leach and Khan, 2019","plainTextFormattedCitation":"(Al-Tabbaa, Leach, &amp; Khan, 2019)","previouslyFormattedCitation":"(Al-Tabbaa et al., 2019)"},"properties":{"noteIndex":0},"schema":"https://github.com/citation-style-language/schema/raw/master/csl-citation.json"}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(Al-Tabbaa, Leach and Khan, 2019</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{"citationItems":[{"id":"ITEM-1","itemData":{"DOI":"10.1016/j.ijinfomgt.2015.11.004","ISSN":"02684012","abstract":"Innovation networks are vital in advancing new product and service development. Particularly for small and medium-sized enterprises, partnering within innovation networks allows to enlarge innovation capabilities and to reach new markets. In order to create effective innovation networks, however, firms are required to adapt to the network. To do so, they must overcome three principal challenges: they need to build partnerships, integrate the partners' value contributions, and coordinate innovation processes. We followed three innovation networks over a three-year period and examined how they successfully used information systems (IS) to respond to these challenges. On the basis of their experiences we identify IS categories and measures that support setting up an information management for networked innovation. We explicate relevant tasks for managing the aspects of \"who, what and how\" in networked innovation.","author":[{"dropping-particle":"","family":"Rehm","given":"Sven Volker","non-dropping-particle":"","parse-names":false,"suffix":""},{"dropping-particle":"","family":"Goel","given":"Lakshmi","non-dropping-particle":"","parse-names":false,"suffix":""},{"dropping-particle":"","family":"Junglas","given":"Iris","non-dropping-particle":"","parse-names":false,"suffix":""}],"container-title":"International Journal of Information Management","id":"ITEM-1","issue":"3","issued":{"date-parts":[["2016"]]},"page":"348-359","publisher":"Elsevier Ltd","title":"Information management for innovation networks - An empirical study on the \"who, what and how\" in networked innovation","type":"article-journal","volume":"36"},"uris":["http://www.mendeley.com/documents/?uuid=529368b2-7d7c-49e5-ba25-196d1752cfbe"]}],"mendeley":{"formattedCitation":"(Rehm, Goel, &amp; Junglas, 2016)","manualFormatting":"Rehm, Goel and Junglas, 2016)","plainTextFormattedCitation":"(Rehm, Goel, &amp; Junglas, 2016)","previouslyFormattedCitation":"(Rehm et al., 2016)"},"properties":{"noteIndex":0},"schema":"https://github.com/citation-style-language/schema/raw/master/csl-citation.json"}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Rehm, Goel and Junglas, 2016)</w:t>
      </w:r>
      <w:r w:rsidRPr="009672FC">
        <w:rPr>
          <w:rFonts w:ascii="Garamond" w:hAnsi="Garamond"/>
          <w:sz w:val="24"/>
          <w:szCs w:val="24"/>
          <w:lang w:val="en-GB"/>
        </w:rPr>
        <w:fldChar w:fldCharType="end"/>
      </w:r>
      <w:r w:rsidRPr="009672FC">
        <w:rPr>
          <w:rFonts w:ascii="Garamond" w:hAnsi="Garamond"/>
          <w:sz w:val="24"/>
          <w:szCs w:val="24"/>
          <w:lang w:val="en-GB"/>
        </w:rPr>
        <w:t xml:space="preserve">, and (3) managing conflicts and inter-firm tensions associated with </w:t>
      </w:r>
      <w:r w:rsidR="00CF726B" w:rsidRPr="009672FC">
        <w:rPr>
          <w:rFonts w:ascii="Garamond" w:hAnsi="Garamond"/>
          <w:sz w:val="24"/>
          <w:szCs w:val="24"/>
          <w:lang w:val="en-GB"/>
        </w:rPr>
        <w:t xml:space="preserve">an </w:t>
      </w:r>
      <w:r w:rsidRPr="009672FC">
        <w:rPr>
          <w:rFonts w:ascii="Garamond" w:hAnsi="Garamond"/>
          <w:sz w:val="24"/>
          <w:szCs w:val="24"/>
          <w:lang w:val="en-GB"/>
        </w:rPr>
        <w:t>alliance of diverse firms such as structural tensions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{"citationItems":[{"id":"ITEM-1","itemData":{"DOI":"10.1016/j.jbusres.2019.10.044","ISSN":"01482963","abstract":"This paper examines a Complex Product System (CoPS) project, Metis, an externally occulted coronagraph that is part of the ESA's Solar Orbiter mission and whose development required the involvement of scientists, international firms and space agencies. Specifically, this study attempted to investigate two main issues: (i) the main structural inter-organizational tensions emerged over the years, and (ii) if and how they were solved, distinguishing between contingent and structural solutions. The coronagraph was successfully delivered to the European Space Agency (ESA) in 2017, notwithstanding two main tensions related to the shortage of financial resources and to the organizational design of the ESA mission. This study takes different theoretical lenses (contingency theory, paradox theory, and social balance theory) to infer about how structural inter-organizational tensions were mitigated, proposing the need to combine several theoretical perspectives. The contingent and structural solutions identified and discussed could have implications for several future CoPS projects.","author":[{"dropping-particle":"","family":"Galati","given":"Francesco","non-dropping-particle":"","parse-names":false,"suffix":""},{"dropping-particle":"","family":"Bigliardi","given":"Barbara","non-dropping-particle":"","parse-names":false,"suffix":""},{"dropping-particle":"","family":"Galati","given":"Roberta","non-dropping-particle":"","parse-names":false,"suffix":""},{"dropping-particle":"","family":"Petroni","given":"Giorgio","non-dropping-particle":"","parse-names":false,"suffix":""}],"container-title":"Journal of Business Research","id":"ITEM-1","issue":"March","issued":{"date-parts":[["2019"]]},"page":"1-13","publisher":"Elsevier","title":"Managing structural inter-organizational tensions in complex product systems projects: Lessons from the Metis case","type":"article-journal"},"uris":["http://www.mendeley.com/documents/?uuid=3a0bd941-55ba-4f68-9764-770652a16866"]}],"mendeley":{"formattedCitation":"(Galati, Bigliardi, Galati, &amp; Petroni, 2019)","manualFormatting":"Galati et al., 2019)","plainTextFormattedCitation":"(Galati, Bigliardi, Galati, &amp; Petroni, 2019)","previouslyFormattedCitation":"(Galati et al., 2019)"},"properties":{"noteIndex":0},"schema":"https://github.com/citation-style-language/schema/raw/master/csl-citation.json"}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Galati et al., 2019)</w:t>
      </w:r>
      <w:r w:rsidRPr="009672FC">
        <w:rPr>
          <w:rFonts w:ascii="Garamond" w:hAnsi="Garamond"/>
          <w:sz w:val="24"/>
          <w:szCs w:val="24"/>
          <w:lang w:val="en-GB"/>
        </w:rPr>
        <w:fldChar w:fldCharType="end"/>
      </w:r>
      <w:r w:rsidRPr="009672FC">
        <w:rPr>
          <w:rFonts w:ascii="Garamond" w:hAnsi="Garamond"/>
          <w:sz w:val="24"/>
          <w:szCs w:val="24"/>
          <w:lang w:val="en-GB"/>
        </w:rPr>
        <w:t>, inter-personal conflicts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{"citationItems":[{"id":"ITEM-1","itemData":{"DOI":"10.1016/j.sbspro.2014.03.026","ISSN":"18770428","abstract":"The situation between client and contractor in infrastructure projects seems to be quite similar in Germany and all over the world. Cost and time overruns seem to be normal occurrences in these projects. Both, client and contractor complain about the bad conditions. Getting out of this situation different partnering approaches have been developed all over the world in the last years. A “partnering guideline for public financed infrastructure projects” has been developed at the University of Kassel in collaboration with the Federal Ministry of Transport, construction associations, client organizations and various construction companies for the special conditions in Germany. During the last four years this guideline has been tested in pilot projects accompanied by the Chair of Project Management to evaluate its usability, find elements which may need improvement and to proof the advantages of this form of project handling. The results of this testing phase show a clear change towards more collaboration. Conflicts could be avoided or at least solved faster and cost savings for the client respectively bonuses for the contractors could be achieved by using value engineering.","author":[{"dropping-particle":"","family":"Spang","given":"Konrad","non-dropping-particle":"","parse-names":false,"suffix":""},{"dropping-particle":"","family":"Riemann","given":"Stefan","non-dropping-particle":"","parse-names":false,"suffix":""}],"container-title":"Procedia - Social and Behavioral Sciences","id":"ITEM-1","issue":"0","issued":{"date-parts":[["2014"]]},"page":"219-228","publisher":"Elsevier B.V.","title":"Partnering in Infrastructure Projects in Germany","type":"article-journal","volume":"119"},"uris":["http://www.mendeley.com/documents/?uuid=b8d4eda4-5f7b-4537-8788-a8c5a32098f2"]}],"mendeley":{"formattedCitation":"(Spang &amp; Riemann, 2014)","manualFormatting":"Spang and Riemann, 2014;","plainTextFormattedCitation":"(Spang &amp; Riemann, 2014)","previouslyFormattedCitation":"(Spang &amp; Riemann, 2014)"},"properties":{"noteIndex":0},"schema":"https://github.com/citation-style-language/schema/raw/master/csl-citation.json"}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Spang and Riemann, 2014;</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{"citationItems":[{"id":"ITEM-1","itemData":{"DOI":"10.1016/j.sbspro.2012.02.148","ISSN":"18770428","abstract":"This paper aims to identify conflicts in Partnering arrangement between contractors in Malaysia, the barrier encountered and suggestion in preventing conflict in Partnering. It was found that partnering is an effective way to improve conflict by having good relationships among parties involved which involves mutual objectives, commitment, trust and teamwork among the parties in achieving goals. It is recommended that by attending workshop is the best way to spell out partner responsibility and scope of work. It is hope that possible measure need to be carried out as early as possible to avoid conflicts in the partnership.","author":[{"dropping-particle":"","family":"Adnan","given":"Hamimah","non-dropping-particle":"","parse-names":false,"suffix":""},{"dropping-particle":"","family":"Shamsuddin","given":"Siti Mazuana","non-dropping-particle":"","parse-names":false,"suffix":""},{"dropping-particle":"","family":"Supardi","given":"Azizan","non-dropping-particle":"","parse-names":false,"suffix":""},{"dropping-particle":"","family":"Ahmad","given":"Norizan","non-dropping-particle":"","parse-names":false,"suffix":""}],"container-title":"Procedia - Social and Behavioral Sciences","id":"ITEM-1","issue":"December 2011","issued":{"date-parts":[["2012"]]},"page":"772-781","title":"Conflict Prevention in Partnering Projects","type":"article-journal","volume":"35"},"uris":["http://www.mendeley.com/documents/?uuid=25bd6a31-4509-4be4-aea7-9cc27cff0b60"]}],"mendeley":{"formattedCitation":"(Adnan, Shamsuddin, Supardi, &amp; Ahmad, 2012)","manualFormatting":"Adnan et al., 2012;","plainTextFormattedCitation":"(Adnan, Shamsuddin, Supardi, &amp; Ahmad, 2012)","previouslyFormattedCitation":"(Adnan et al., 2012)"},"properties":{"noteIndex":0},"schema":"https://github.com/citation-style-language/schema/raw/master/csl-citation.json"}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Adnan </w:t>
      </w:r>
      <w:r w:rsidRPr="009672FC">
        <w:rPr>
          <w:rFonts w:ascii="Garamond" w:hAnsi="Garamond"/>
          <w:i/>
          <w:noProof/>
          <w:sz w:val="24"/>
          <w:szCs w:val="24"/>
          <w:lang w:val="en-GB"/>
        </w:rPr>
        <w:t xml:space="preserve">et al., </w:t>
      </w:r>
      <w:r w:rsidRPr="009672FC">
        <w:rPr>
          <w:rFonts w:ascii="Garamond" w:hAnsi="Garamond"/>
          <w:noProof/>
          <w:sz w:val="24"/>
          <w:szCs w:val="24"/>
          <w:lang w:val="en-GB"/>
        </w:rPr>
        <w:t>2012;</w:t>
      </w:r>
      <w:r w:rsidRPr="009672FC">
        <w:rPr>
          <w:rFonts w:ascii="Garamond" w:hAnsi="Garamond"/>
          <w:sz w:val="24"/>
          <w:szCs w:val="24"/>
          <w:lang w:val="en-GB"/>
        </w:rPr>
        <w:fldChar w:fldCharType="end"/>
      </w:r>
      <w:r w:rsidRPr="009672FC">
        <w:rPr>
          <w:rFonts w:ascii="Garamond" w:hAnsi="Garamond"/>
          <w:sz w:val="24"/>
          <w:szCs w:val="24"/>
          <w:lang w:val="en-GB"/>
        </w:rPr>
        <w:t xml:space="preserve">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{"citationItems":[{"id":"ITEM-1","itemData":{"DOI":"10.1016/j.ijproman.2003.11.003","ISSN":"02637863","abstract":"The paper aims at exploring how collaboration between clients and major contractors can be improved in situations where tension is challenging relationship continuation. Relationship conflict is reduced through the identification of conflictual events and analysis of differences in both parties' perceptions. By addressing these events it is possible to reveal the underlying dimensions of tension and reluctance for relationship commitment and trust. In order to improve the level of collaboration a process is tested on a Norwegian construction project. The managerial implications of the process is that tension between the contractor and the client can be reduced to a level where the relationship can survive, and even grow stronger than prior to undertaking the process. © 2003 Elsevier Ltd and IPMA. All rights reserved.","author":[{"dropping-particle":"","family":"Vaaland","given":"Terje I.","non-dropping-particle":"","parse-names":false,"suffix":""}],"container-title":"International Journal of Project Management","id":"ITEM-1","issue":"6","issued":{"date-parts":[["2004"]]},"page":"447-454","title":"Improving project collaboration: Start with the conflicts","type":"article-journal","volume":"22"},"uris":["http://www.mendeley.com/documents/?uuid=1e80feaa-440d-4269-9789-66d278481be1"]}],"mendeley":{"formattedCitation":"(Vaaland, 2004)","manualFormatting":"Vaaland, 2004","plainTextFormattedCitation":"(Vaaland, 2004)","previouslyFormattedCitation":"(Vaaland, 2004)"},"properties":{"noteIndex":0},"schema":"https://github.com/citation-style-language/schema/raw/master/csl-citation.json"}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Vaaland, 2004</w:t>
      </w:r>
      <w:r w:rsidRPr="009672FC">
        <w:rPr>
          <w:rFonts w:ascii="Garamond" w:hAnsi="Garamond"/>
          <w:sz w:val="24"/>
          <w:szCs w:val="24"/>
          <w:lang w:val="en-GB"/>
        </w:rPr>
        <w:fldChar w:fldCharType="end"/>
      </w:r>
      <w:r w:rsidRPr="009672FC">
        <w:rPr>
          <w:rFonts w:ascii="Garamond" w:hAnsi="Garamond"/>
          <w:sz w:val="24"/>
          <w:szCs w:val="24"/>
          <w:lang w:val="en-GB"/>
        </w:rPr>
        <w:t xml:space="preserve">; </w:t>
      </w:r>
      <w:proofErr w:type="spellStart"/>
      <w:r w:rsidRPr="009672FC">
        <w:rPr>
          <w:rFonts w:ascii="Garamond" w:hAnsi="Garamond"/>
          <w:sz w:val="24"/>
          <w:szCs w:val="24"/>
          <w:lang w:val="en-GB"/>
        </w:rPr>
        <w:t>Vaaland</w:t>
      </w:r>
      <w:proofErr w:type="spellEnd"/>
      <w:r w:rsidRPr="009672FC">
        <w:rPr>
          <w:rFonts w:ascii="Garamond" w:hAnsi="Garamond"/>
          <w:sz w:val="24"/>
          <w:szCs w:val="24"/>
          <w:lang w:val="en-GB"/>
        </w:rPr>
        <w:t xml:space="preserve"> and </w:t>
      </w:r>
      <w:proofErr w:type="spellStart"/>
      <w:r w:rsidRPr="009672FC">
        <w:rPr>
          <w:rFonts w:ascii="Garamond" w:hAnsi="Garamond"/>
          <w:sz w:val="24"/>
          <w:szCs w:val="24"/>
          <w:lang w:val="en-GB"/>
        </w:rPr>
        <w:t>Håkansson</w:t>
      </w:r>
      <w:proofErr w:type="spellEnd"/>
      <w:r w:rsidRPr="009672FC">
        <w:rPr>
          <w:rFonts w:ascii="Garamond" w:hAnsi="Garamond"/>
          <w:sz w:val="24"/>
          <w:szCs w:val="24"/>
          <w:lang w:val="en-GB"/>
        </w:rPr>
        <w:t xml:space="preserve">, 2003; </w:t>
      </w:r>
      <w:proofErr w:type="spellStart"/>
      <w:r w:rsidRPr="009672FC">
        <w:rPr>
          <w:rFonts w:ascii="Garamond" w:hAnsi="Garamond"/>
          <w:sz w:val="24"/>
          <w:szCs w:val="24"/>
          <w:lang w:val="en-GB"/>
        </w:rPr>
        <w:t>Nordin</w:t>
      </w:r>
      <w:proofErr w:type="spellEnd"/>
      <w:r w:rsidRPr="009672FC">
        <w:rPr>
          <w:rFonts w:ascii="Garamond" w:hAnsi="Garamond"/>
          <w:sz w:val="24"/>
          <w:szCs w:val="24"/>
          <w:lang w:val="en-GB"/>
        </w:rPr>
        <w:t>, 2006) and changes in network fields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{"citationItems":[{"id":"ITEM-1","itemData":{"DOI":"10.1080/19420862.2017.1356527","ISSN":"19420870","abstract":"© 2017 Taylor &amp; Francis Group, LLC. We investigated the evolution process of collaborative inter-organizational network of the research and development (R&amp;D) on monoclonal antibody (mAb) over the past 30 y. The annual detection of the collaboration network provides dynamics on network structures and relationship changes among different organizations. Our research showed continuous growth of the network's scale and complexity due to the constant entry of new organizations and the forging of new partnering relationships. The evolving topological features reveal a core-periphery structure that became clearer over time and an increasing heterogeneity within the collaborative mAb R&amp;D network. As measured by the number of network participants, dedicated biotechnology firms (DBFs) were the dominant organization form in the field of mAb development, but their average centrality was reduced during the period of 2004–2009, when pharmaceutical companies took over the positions of DBFs. Along with the network evolution, 2 waves of substitution on the leading positions were driven by technological innovations and mergers and acquisitions (M&amp;A). In addition, this study analyzed organizational-level behaviors to help understand the evolution of network structures over the field of mAb development across the different technologically innovative or economic contexts.","author":[{"dropping-particle":"","family":"Kong","given":"Xiangjun","non-dropping-particle":"","parse-names":false,"suffix":""},{"dropping-particle":"","family":"Wan","given":"Jian bo","non-dropping-particle":"","parse-names":false,"suffix":""},{"dropping-particle":"","family":"Hu","given":"Hao","non-dropping-particle":"","parse-names":false,"suffix":""},{"dropping-particle":"","family":"Su","given":"Shibing","non-dropping-particle":"","parse-names":false,"suffix":""},{"dropping-particle":"","family":"Hu","given":"Yuanjia","non-dropping-particle":"","parse-names":false,"suffix":""}],"container-title":"MABS","id":"ITEM-1","issue":"7","issued":{"date-parts":[["2017"]]},"page":"1041-1051","publisher":"Taylor &amp; Francis","title":"Evolving patterns in a collaboration network of global R&amp;D on monoclonal antibodies","type":"article-journal","volume":"9"},"uris":["http://www.mendeley.com/documents/?uuid=86543542-361b-484b-bdfe-7bf9ead3cb07"]}],"mendeley":{"formattedCitation":"(Kong et al., 2017)","manualFormatting":"Kong et al.,2017; Lee and Yang, 2014)","plainTextFormattedCitation":"(Kong et al., 2017)","previouslyFormattedCitation":"(Kong et al., 2017)"},"properties":{"noteIndex":0},"schema":"https://github.com/citation-style-language/schema/raw/master/csl-citation.json"}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Kong </w:t>
      </w:r>
      <w:r w:rsidRPr="009672FC">
        <w:rPr>
          <w:rFonts w:ascii="Garamond" w:hAnsi="Garamond"/>
          <w:i/>
          <w:noProof/>
          <w:sz w:val="24"/>
          <w:szCs w:val="24"/>
          <w:lang w:val="en-GB"/>
        </w:rPr>
        <w:t>et al.</w:t>
      </w:r>
      <w:r w:rsidRPr="009672FC">
        <w:rPr>
          <w:rFonts w:ascii="Garamond" w:hAnsi="Garamond"/>
          <w:noProof/>
          <w:sz w:val="24"/>
          <w:szCs w:val="24"/>
          <w:lang w:val="en-GB"/>
        </w:rPr>
        <w:t xml:space="preserve">,2017;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&amp; Yang, 2014)"},"properties":{"noteIndex":0},"schema":"https://github.com/citation-style-language/schema/raw/master/csl-citation.json"}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Lee and Yang, 2014)</w:t>
      </w:r>
      <w:r w:rsidRPr="009672FC">
        <w:rPr>
          <w:rFonts w:ascii="Garamond" w:hAnsi="Garamond"/>
          <w:noProof/>
          <w:sz w:val="24"/>
          <w:szCs w:val="24"/>
          <w:lang w:val="en-GB"/>
        </w:rPr>
        <w:fldChar w:fldCharType="end"/>
      </w:r>
      <w:r w:rsidRPr="009672FC">
        <w:rPr>
          <w:rFonts w:ascii="Garamond" w:hAnsi="Garamond"/>
          <w:sz w:val="24"/>
          <w:szCs w:val="24"/>
          <w:lang w:val="en-GB"/>
        </w:rPr>
        <w:fldChar w:fldCharType="end"/>
      </w:r>
      <w:r w:rsidRPr="009672FC">
        <w:rPr>
          <w:rFonts w:ascii="Garamond" w:hAnsi="Garamond"/>
          <w:sz w:val="24"/>
          <w:szCs w:val="24"/>
          <w:lang w:val="en-GB"/>
        </w:rPr>
        <w:t>.</w:t>
      </w:r>
    </w:p>
    <w:p w14:paraId="224C2FB3" w14:textId="61C28F1F" w:rsidR="003D5DE8" w:rsidRPr="009672FC" w:rsidRDefault="007549AA">
      <w:pPr>
        <w:pStyle w:val="MDPI51figurecaption"/>
        <w:numPr>
          <w:ilvl w:val="1"/>
          <w:numId w:val="8"/>
        </w:numPr>
        <w:spacing w:after="0" w:line="360" w:lineRule="auto"/>
        <w:jc w:val="both"/>
        <w:outlineLvl w:val="1"/>
        <w:rPr>
          <w:rFonts w:ascii="Garamond" w:hAnsi="Garamond"/>
          <w:b/>
          <w:bCs/>
          <w:sz w:val="24"/>
          <w:szCs w:val="24"/>
        </w:rPr>
      </w:pPr>
      <w:bookmarkStart w:id="53" w:name="_Toc85617727"/>
      <w:bookmarkStart w:id="54" w:name="_Toc85708712"/>
      <w:bookmarkStart w:id="55" w:name="_Toc85709727"/>
      <w:r w:rsidRPr="009672FC">
        <w:rPr>
          <w:rFonts w:ascii="Garamond" w:hAnsi="Garamond"/>
          <w:b/>
          <w:bCs/>
          <w:sz w:val="24"/>
          <w:szCs w:val="24"/>
        </w:rPr>
        <w:t>Discussion of Paper Contents</w:t>
      </w:r>
      <w:bookmarkEnd w:id="53"/>
      <w:bookmarkEnd w:id="54"/>
      <w:bookmarkEnd w:id="55"/>
    </w:p>
    <w:p w14:paraId="5FCEB1A1" w14:textId="243248B2" w:rsidR="003D5DE8" w:rsidRPr="009672FC" w:rsidRDefault="007549AA" w:rsidP="005C5F35">
      <w:pPr>
        <w:spacing w:line="360" w:lineRule="auto"/>
        <w:jc w:val="both"/>
        <w:rPr>
          <w:rFonts w:ascii="Garamond" w:hAnsi="Garamond"/>
          <w:b/>
          <w:iCs/>
        </w:rPr>
      </w:pPr>
      <w:bookmarkStart w:id="56" w:name="_Toc85628629"/>
      <w:bookmarkStart w:id="57" w:name="_Toc85617728"/>
      <w:r w:rsidRPr="009672FC">
        <w:rPr>
          <w:rFonts w:ascii="Garamond" w:hAnsi="Garamond"/>
          <w:bCs/>
        </w:rPr>
        <w:lastRenderedPageBreak/>
        <w:t>Using three codes, we classified the papers according to the main themes each paper tries to address. Three codes shaping inter-firm innovation ecosystem research include the network antecedents, management, and performance</w:t>
      </w:r>
      <w:bookmarkEnd w:id="56"/>
      <w:bookmarkEnd w:id="57"/>
      <w:r w:rsidR="005C5F35" w:rsidRPr="009672FC">
        <w:rPr>
          <w:rFonts w:ascii="Garamond" w:hAnsi="Garamond"/>
          <w:bCs/>
        </w:rPr>
        <w:t xml:space="preserve"> (see appendix 1</w:t>
      </w:r>
      <w:r w:rsidR="002663FA" w:rsidRPr="009672FC">
        <w:rPr>
          <w:rFonts w:ascii="Garamond" w:hAnsi="Garamond"/>
          <w:bCs/>
        </w:rPr>
        <w:t>-4</w:t>
      </w:r>
      <w:r w:rsidR="005C5F35" w:rsidRPr="009672FC">
        <w:rPr>
          <w:rFonts w:ascii="Garamond" w:hAnsi="Garamond"/>
          <w:bCs/>
        </w:rPr>
        <w:t xml:space="preserve"> for details)</w:t>
      </w:r>
      <w:r w:rsidR="005C5F35" w:rsidRPr="009672FC">
        <w:rPr>
          <w:rFonts w:ascii="Garamond" w:hAnsi="Garamond"/>
          <w:bCs/>
          <w:iCs/>
        </w:rPr>
        <w:t>. The content analysis discusses papers according</w:t>
      </w:r>
      <w:r w:rsidR="002663FA" w:rsidRPr="009672FC">
        <w:rPr>
          <w:rFonts w:ascii="Garamond" w:hAnsi="Garamond"/>
          <w:bCs/>
          <w:iCs/>
        </w:rPr>
        <w:t xml:space="preserve"> to</w:t>
      </w:r>
      <w:r w:rsidR="005C5F35" w:rsidRPr="009672FC">
        <w:rPr>
          <w:rFonts w:ascii="Garamond" w:hAnsi="Garamond"/>
          <w:bCs/>
          <w:iCs/>
        </w:rPr>
        <w:t xml:space="preserve"> these content areas. Papers clustered in the network antecedents are those papers that tr</w:t>
      </w:r>
      <w:r w:rsidR="002663FA" w:rsidRPr="009672FC">
        <w:rPr>
          <w:rFonts w:ascii="Garamond" w:hAnsi="Garamond"/>
          <w:bCs/>
          <w:iCs/>
        </w:rPr>
        <w:t>y</w:t>
      </w:r>
      <w:r w:rsidR="005C5F35" w:rsidRPr="009672FC">
        <w:rPr>
          <w:rFonts w:ascii="Garamond" w:hAnsi="Garamond"/>
          <w:bCs/>
          <w:iCs/>
        </w:rPr>
        <w:t xml:space="preserve"> to address factors that are critical to inter-organizational innovation project formation., and thus actors anticipate their potential impacts a priori. </w:t>
      </w:r>
      <w:r w:rsidR="005C5F35" w:rsidRPr="009672FC">
        <w:rPr>
          <w:rFonts w:ascii="Garamond" w:hAnsi="Garamond"/>
          <w:iCs/>
        </w:rPr>
        <w:t xml:space="preserve">The network management cluster include papers that addressed the internal managerial practices that ensure successful implementation of inter-organizational innovation projects. Finally, the last content area is the network performance literature, clustering papers that focused on performance-related issues in inter-organizational innovation projects. </w:t>
      </w:r>
    </w:p>
    <w:p w14:paraId="178151E5" w14:textId="101EEC7B" w:rsidR="003D5DE8" w:rsidRPr="009672FC" w:rsidRDefault="007549AA" w:rsidP="005C5F35">
      <w:pPr>
        <w:pStyle w:val="MDPI51figurecaption"/>
        <w:numPr>
          <w:ilvl w:val="2"/>
          <w:numId w:val="8"/>
        </w:numPr>
        <w:spacing w:after="0" w:line="360" w:lineRule="auto"/>
        <w:jc w:val="both"/>
        <w:outlineLvl w:val="2"/>
        <w:rPr>
          <w:rFonts w:ascii="Garamond" w:hAnsi="Garamond"/>
          <w:i/>
          <w:iCs/>
          <w:sz w:val="24"/>
          <w:szCs w:val="24"/>
        </w:rPr>
      </w:pPr>
      <w:bookmarkStart w:id="58" w:name="_Toc85617729"/>
      <w:bookmarkStart w:id="59" w:name="_Toc85708713"/>
      <w:bookmarkStart w:id="60" w:name="_Toc85709728"/>
      <w:r w:rsidRPr="009672FC">
        <w:rPr>
          <w:rFonts w:ascii="Garamond" w:hAnsi="Garamond"/>
          <w:i/>
          <w:iCs/>
          <w:sz w:val="24"/>
          <w:szCs w:val="24"/>
          <w:lang w:val="en-GB"/>
        </w:rPr>
        <w:t>Network Antecedents</w:t>
      </w:r>
      <w:bookmarkEnd w:id="58"/>
      <w:bookmarkEnd w:id="59"/>
      <w:bookmarkEnd w:id="60"/>
      <w:r w:rsidRPr="009672FC">
        <w:rPr>
          <w:rFonts w:ascii="Garamond" w:hAnsi="Garamond"/>
          <w:i/>
          <w:iCs/>
          <w:sz w:val="24"/>
          <w:szCs w:val="24"/>
        </w:rPr>
        <w:t xml:space="preserve"> </w:t>
      </w:r>
    </w:p>
    <w:p w14:paraId="13FCA21D" w14:textId="53198761" w:rsidR="005C5F35" w:rsidRPr="009672FC" w:rsidRDefault="007549AA" w:rsidP="005C5F35">
      <w:pPr>
        <w:pStyle w:val="MDPI18keywords"/>
        <w:spacing w:before="0" w:line="360" w:lineRule="auto"/>
        <w:ind w:left="0"/>
        <w:rPr>
          <w:rFonts w:ascii="Garamond" w:hAnsi="Garamond"/>
          <w:sz w:val="24"/>
          <w:szCs w:val="24"/>
        </w:rPr>
      </w:pPr>
      <w:r w:rsidRPr="009672FC">
        <w:rPr>
          <w:rFonts w:ascii="Garamond" w:hAnsi="Garamond"/>
          <w:i/>
          <w:iCs/>
          <w:sz w:val="24"/>
          <w:szCs w:val="24"/>
        </w:rPr>
        <w:t>Trust</w:t>
      </w:r>
      <w:r w:rsidRPr="009672FC">
        <w:rPr>
          <w:rFonts w:ascii="Garamond" w:hAnsi="Garamond"/>
          <w:sz w:val="24"/>
          <w:szCs w:val="24"/>
        </w:rPr>
        <w:t xml:space="preserve">. </w:t>
      </w:r>
      <w:r w:rsidR="005C5F35" w:rsidRPr="009672FC">
        <w:rPr>
          <w:rFonts w:ascii="Garamond" w:hAnsi="Garamond"/>
          <w:sz w:val="24"/>
          <w:szCs w:val="24"/>
        </w:rPr>
        <w:t xml:space="preserve">Many contributions discussed the social and relational dynamics of inter-organizational innovation projects as summarized in table 4. Scholars recognize the benefits of formal and informal interactions and the geographic locale, space, where such interactions take place (e.g.,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{"citationItems":[{"id":"ITEM-1","itemData":{"DOI":"10.1108/F-07-2015-0049","ISSN":"02632772","abstract":"This study suggests that the facility and its co-located actors tend to form a vivid network of business actors in the facility's external environment, when co-located with a large number of actors.","author":[{"dropping-particle":"","family":"Artto","given":"Karlos","non-dropping-particle":"","parse-names":false,"suffix":""},{"dropping-particle":"","family":"Ahola","given":"Tuomas","non-dropping-particle":"","parse-names":false,"suffix":""},{"dropping-particle":"","family":"Kyrö","given":"Riikka","non-dropping-particle":"","parse-names":false,"suffix":""},{"dropping-particle":"","family":"Peltokorpi","given":"Antti","non-dropping-particle":"","parse-names":false,"suffix":""}],"container-title":"Facilities","id":"ITEM-1","issue":"1-2","issued":{"date-parts":[["2017"]]},"page":"99-115","title":"Managing business networks for value creation in facilities and their external environments: A study on co-location","type":"article-journal","volume":"35"},"uris":["http://www.mendeley.com/documents/?uuid=0a109017-4c64-4e31-980e-2550cf9be13b"]}],"mendeley":{"formattedCitation":"(Artto et al., 2017)","manualFormatting":"Artto et al., 2017;","plainTextFormattedCitation":"(Artto et al., 2017)","previouslyFormattedCitation":"(Artto &lt;i&gt;et al.&lt;/i&gt;, 2017)"},"properties":{"noteIndex":0},"schema":"https://github.com/citation-style-language/schema/raw/master/csl-citation.json"}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Artto et al., 2017;</w:t>
      </w:r>
      <w:r w:rsidR="005C5F35" w:rsidRPr="009672FC">
        <w:rPr>
          <w:rFonts w:ascii="Garamond" w:hAnsi="Garamond"/>
          <w:sz w:val="24"/>
          <w:szCs w:val="24"/>
        </w:rPr>
        <w:fldChar w:fldCharType="end"/>
      </w:r>
      <w:r w:rsidR="005C5F35" w:rsidRPr="009672FC">
        <w:rPr>
          <w:rFonts w:ascii="Garamond" w:hAnsi="Garamond"/>
          <w:sz w:val="24"/>
          <w:szCs w:val="24"/>
        </w:rPr>
        <w:t xml:space="preserve">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{"citationItems":[{"id":"ITEM-1","itemData":{"DOI":"10.1016/j.indmarman.2016.06.008","ISSN":"00198501","abstract":"Interactive processes constitute a core notion in business exchange, leading to the concepts of relationships and networks. The constitution of process, comprising unfolding events, activities, and connected structures, relies on difference in space and time. While research has been devoted to time, the concept of space has thus far remained largely unexplored within business network research. This conceptual paper focuses on spatial dimensions for conducting research according to the IMP business network approach. Business actors create connected relationships and networks that exist and change as continuous emerging spatial structures and as mental maps in the managerial mindset. These relational network processes and structures are located, distributed and experienced in and across space. Drawing on economic geography and conceptual frameworks from the business network approach, we propose new dimensions and conceptualizations of space for the study of these networks. The paper delivers proposals to extend our current understanding of business networks as emerging and changing spatio-temporal entities with implications for theory development, research and practice.","author":[{"dropping-particle":"","family":"Törnroos","given":"Jan Åke","non-dropping-particle":"","parse-names":false,"suffix":""},{"dropping-particle":"","family":"Halinen","given":"Aino","non-dropping-particle":"","parse-names":false,"suffix":""},{"dropping-particle":"","family":"Medlin","given":"Christopher J.","non-dropping-particle":"","parse-names":false,"suffix":""}],"container-title":"Industrial Marketing Management","id":"ITEM-1","issued":{"date-parts":[["2017"]]},"page":"10-19","publisher":"The Author(s)","title":"Dimensions of space in business network research","type":"article-journal","volume":"61"},"uris":["http://www.mendeley.com/documents/?uuid=89ef8eb0-1b3b-4479-a797-a56193638c9f"]}],"mendeley":{"formattedCitation":"(Törnroos, Halinen, &amp; Medlin, 2017)","manualFormatting":"Törnroos, Halinen and Medlin, 2017)","plainTextFormattedCitation":"(Törnroos, Halinen, &amp; Medlin, 2017)","previouslyFormattedCitation":"(Törnroos, Halinen and Medlin, 2017)"},"properties":{"noteIndex":0},"schema":"https://github.com/citation-style-language/schema/raw/master/csl-citation.json"}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Törnroos, Halinen and Medlin, 2017)</w:t>
      </w:r>
      <w:r w:rsidR="005C5F35" w:rsidRPr="009672FC">
        <w:rPr>
          <w:rFonts w:ascii="Garamond" w:hAnsi="Garamond"/>
          <w:sz w:val="24"/>
          <w:szCs w:val="24"/>
        </w:rPr>
        <w:fldChar w:fldCharType="end"/>
      </w:r>
      <w:r w:rsidR="005C5F35" w:rsidRPr="009672FC">
        <w:rPr>
          <w:rFonts w:ascii="Garamond" w:hAnsi="Garamond"/>
          <w:sz w:val="24"/>
          <w:szCs w:val="24"/>
        </w:rPr>
        <w:t>. These studies find that embedding a network in a location provides a social context for interactions and a shared community of practice. According to scholars, such interaction strengthens communication and the culture of interdependence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{"citationItems":[{"id":"ITEM-1","itemData":{"DOI":"10.1016/j.ibusrev.2011.12.002","ISSN":"09695931","abstract":"Many studies have focused on the effects of MNC subsidiaries' external relational embeddedness. Little attention has been given to its antecedents and especially to the potential effect that the business network context might have. We try to fill this gap and attempt to explain variation among subsidiaries' degree of relational embeddedness. Our results show a strong and robust effect of the business network context - i.e. the network context in which the direct business relationships between the subsidiary and its partners are embedded - on the degree of relational embeddedness. However, contrary to previous literature, we find an inverted u-shaped relationship. We discuss our findings with regard to the issue of over-embeddedness and the literature on the strength of weak vs. strong ties. © 2011 Elsevier Ltd.","author":[{"dropping-particle":"","family":"Nell","given":"Phillip C.","non-dropping-particle":"","parse-names":false,"suffix":""},{"dropping-particle":"","family":"Andersson","given":"Ulf","non-dropping-particle":"","parse-names":false,"suffix":""}],"container-title":"International Business Review","id":"ITEM-1","issue":"6","issued":{"date-parts":[["2012"]]},"page":"1087-1098","publisher":"Elsevier Ltd","title":"The complexity of the business network context and its effect on subsidiary relational (over-) embeddedness","type":"article-journal","volume":"21"},"uris":["http://www.mendeley.com/documents/?uuid=f2a6a01d-2554-427e-b84d-ac1006c3595c"]}],"mendeley":{"formattedCitation":"(Nell &amp; Andersson, 2012)","manualFormatting":"Nell and Andersson, 2012)","plainTextFormattedCitation":"(Nell &amp; Andersson, 2012)","previouslyFormattedCitation":"(Nell and Andersson, 2012)"},"properties":{"noteIndex":0},"schema":"https://github.com/citation-style-language/schema/raw/master/csl-citation.json"}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Nell and Andersson, 2012)</w:t>
      </w:r>
      <w:r w:rsidR="005C5F35" w:rsidRPr="009672FC">
        <w:rPr>
          <w:rFonts w:ascii="Garamond" w:hAnsi="Garamond"/>
          <w:sz w:val="24"/>
          <w:szCs w:val="24"/>
        </w:rPr>
        <w:fldChar w:fldCharType="end"/>
      </w:r>
      <w:r w:rsidR="005C5F35" w:rsidRPr="009672FC">
        <w:rPr>
          <w:rFonts w:ascii="Garamond" w:hAnsi="Garamond"/>
          <w:sz w:val="24"/>
          <w:szCs w:val="24"/>
        </w:rPr>
        <w:t xml:space="preserve">. However,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{"citationItems":[{"id":"ITEM-1","itemData":{"DOI":"10.1016/j.indmarman.2012.01.013","ISSN":"00198501","abstract":"In this paper, we argue that industrial innovation processes can productively be analysed as consisting of two sub-processes that over time create and mobilise contrary forces within both internal and external interactions of the innovation project. One of these forces emerges from the process of mobilising resources, activities, and actors in ensuring commitments to the project over time. The other is the process of explorative learning, which continues to create revised or even new propositions about the realities of the project and its opportunities. We argue that this analytical distinction permits us to expand our understanding of how friction forces develop over time in business networks (Håkansson &amp; Waluszewski, 2001a,b), the patterns of divergence and convergence in innovation processes as identified by Van de Ven et al. (1999) and the processes of \"path creation through mindful deviation\" as argued by Garud and Karnøe (2001). © 2012 Elsevier Inc..","author":[{"dropping-particle":"","family":"Hoholm","given":"Thomas","non-dropping-particle":"","parse-names":false,"suffix":""},{"dropping-particle":"","family":"Olsen","given":"Per Ingvar","non-dropping-particle":"","parse-names":false,"suffix":""}],"container-title":"Industrial Marketing Management","id":"ITEM-1","issue":"2","issued":{"date-parts":[["2012"]]},"page":"344-356","publisher":"Elsevier Inc.","title":"The contrary forces of innovation. A conceptual model for studying networked innovation processes.","type":"article-journal","volume":"41"},"uris":["http://www.mendeley.com/documents/?uuid=3b16a75f-091c-48fe-8f3d-5126e100268f"]}],"mendeley":{"formattedCitation":"(Hoholm &amp; Olsen, 2012)","manualFormatting":"Hoholm and Olsen (2012)","plainTextFormattedCitation":"(Hoholm &amp; Olsen, 2012)","previouslyFormattedCitation":"(Hoholm and Olsen, 2012)"},"properties":{"noteIndex":0},"schema":"https://github.com/citation-style-language/schema/raw/master/csl-citation.json"}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Hoholm and Olsen (2012)</w:t>
      </w:r>
      <w:r w:rsidR="005C5F35" w:rsidRPr="009672FC">
        <w:rPr>
          <w:rFonts w:ascii="Garamond" w:hAnsi="Garamond"/>
          <w:sz w:val="24"/>
          <w:szCs w:val="24"/>
        </w:rPr>
        <w:fldChar w:fldCharType="end"/>
      </w:r>
      <w:r w:rsidR="005C5F35" w:rsidRPr="009672FC">
        <w:rPr>
          <w:rFonts w:ascii="Garamond" w:hAnsi="Garamond"/>
          <w:sz w:val="24"/>
          <w:szCs w:val="24"/>
        </w:rPr>
        <w:t xml:space="preserve"> argue that a co-located environment fosters exploitative learning and collective goal alignment. Industrial district scholars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{"citationItems":[{"id":"ITEM-1","itemData":{"ISBN":"8778731690","abstract":"Despite the diffusion of communication tools and boundary spanning technologies, knowledge flows in innovation processes retain a distinct localized nature in many industries and geographical clusters emerge as critical areas to foster technological diffusion. In this paper we focus on the role of focal firms in industrial clusters as “gatekeepers” introducing external technological novelties in the cluster and enacting new useful knowledge production locally, thus enhancing international competitive capabilities of all firms in the cluster. We analyze a longitudinal dataset of 720 patents granted by USPTO between 1990 and 2003 to firms in the automatic packaging machinery industrial district of Emilia-Romagna in Northern Italy, and a matched-sample to control for the uneven geographical distribution of R&amp;D and patenting activities. Our results show that firms within the cluster use local knowledge to a greater extent and more rapidly than knowledge from the outside than it would be expected given the geographic distribution of innovative activity in the industry. Moreover, focal firms use external knowledge to a greater extent than other firms operating in the cluster, and other (non focal) firms within the cluster use knowledge from focal firms to a greater extent than would be expected given the geographic distribution of innovative activity in the industry. Implications for research on the geographical distribution of innovation activities are discussed.","author":[{"dropping-particle":"","family":"Malipiero","given":"Alessandro","non-dropping-particle":"","parse-names":false,"suffix":""},{"dropping-particle":"","family":"Munari","given":"Federico","non-dropping-particle":"","parse-names":false,"suffix":""},{"dropping-particle":"","family":"Sobrero","given":"Maurizio","non-dropping-particle":"","parse-names":false,"suffix":""}],"container-title":"DRUID Academy Winter 2005 PhD Conference","id":"ITEM-1","issue":"February","issued":{"date-parts":[["2005"]]},"title":"Focal firms as technological gatekeepers within industrial districts: knowledge creation and dissemination in the Italian packaging machinery industry","type":"paper-conference"},"uris":["http://www.mendeley.com/documents/?uuid=6df3577a-bed6-431a-b147-a87fb7c49a36"]}],"mendeley":{"formattedCitation":"(Malipiero, Munari, &amp; Sobrero, 2005)","manualFormatting":"(e.g., Malipiero, Munari and Sobrero, 2005)","plainTextFormattedCitation":"(Malipiero, Munari, &amp; Sobrero, 2005)","previouslyFormattedCitation":"(Malipiero, Munari and Sobrero, 2005)"},"properties":{"noteIndex":0},"schema":"https://github.com/citation-style-language/schema/raw/master/csl-citation.json"}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(e.g., Malipiero, Munari and Sobrero, 2005)</w:t>
      </w:r>
      <w:r w:rsidR="005C5F35" w:rsidRPr="009672FC">
        <w:rPr>
          <w:rFonts w:ascii="Garamond" w:hAnsi="Garamond"/>
          <w:sz w:val="24"/>
          <w:szCs w:val="24"/>
        </w:rPr>
        <w:fldChar w:fldCharType="end"/>
      </w:r>
      <w:r w:rsidR="005C5F35" w:rsidRPr="009672FC">
        <w:rPr>
          <w:rFonts w:ascii="Garamond" w:hAnsi="Garamond"/>
          <w:sz w:val="24"/>
          <w:szCs w:val="24"/>
        </w:rPr>
        <w:t xml:space="preserve"> suggest knowledge flows more easily through frequent interactions among actors rather than outsiders.</w:t>
      </w:r>
    </w:p>
    <w:p w14:paraId="35B587A5" w14:textId="237FF9F0"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sz w:val="24"/>
          <w:szCs w:val="24"/>
        </w:rPr>
        <w:t>Trust between firms enables network members to co-create through active participation and interaction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{"citationItems":[{"id":"ITEM-1","itemData":{"DOI":"10.1016/j.ijproman.2019.05.005","ISSN":"02637863","abstract":"While research on the relationship between quality management practices and inter-organizational project performance has found inconsistent results, few studies have considered the contextual factors of quality management practices. Inter-organizational projects involve external participants in quality management and thus, this study tested the moderating role of governance mechanisms (contract governance and trust) on the relationship between quality management practices and inter-organizational project performance. Results of 265 valid questionnaires from China indicated that quality management practices contribute to inter-organizational project performance. Contract governance magnifies the positive effect of quality management practices on inter-organizational project performance while the moderating effect of trust is insignificant. The moderating effect of contract governance indicates a means for strengthening the effect of quality management practices in inter-organizational projects. Further research on more contextual factors of quality management practices should be conducted.","author":[{"dropping-particle":"","family":"Lu","given":"Ping","non-dropping-particle":"","parse-names":false,"suffix":""},{"dropping-particle":"","family":"Cai","given":"Xiangyang","non-dropping-particle":"","parse-names":false,"suffix":""},{"dropping-particle":"","family":"Wei","given":"Zhuping","non-dropping-particle":"","parse-names":false,"suffix":""},{"dropping-particle":"","family":"Song","given":"Yinqiu","non-dropping-particle":"","parse-names":false,"suffix":""},{"dropping-particle":"","family":"Wu","given":"Jianlin","non-dropping-particle":"","parse-names":false,"suffix":""}],"container-title":"International Journal of Project Management","id":"ITEM-1","issue":"6","issued":{"date-parts":[["2019"]]},"page":"855-869","publisher":"Elsevier Ltd and Association for Project Management and the International Project Management Association","title":"Quality management practices and inter-organizational project performance: Moderating effect of governance mechanisms","type":"article-journal","volume":"37"},"uris":["http://www.mendeley.com/documents/?uuid=05534784-aaca-4b17-9c56-056be3422304"]}],"mendeley":{"formattedCitation":"(Lu, Cai, Wei, Song, &amp; Wu, 2019)","manualFormatting":"Bagheri, Kusters and Trienekens, 2019; Ekici, 2013)","plainTextFormattedCitation":"(Lu, Cai, Wei, Song, &amp; Wu, 2019)","previouslyFormattedCitation":"(Lu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{"citationItems":[{"id":"ITEM-1","itemData":{"DOI":"10.1016/j.ijinfomgt.2018.12.019","ISSN":"02684012","abstract":"In today's interconnected global marketplace, where customers have become increasingly knowledgeable and empowered, a customer-centric view is becoming a prominent differentiating strategy for firms. Accordingly, firms with the aim of delivering a seamless customer experience strive to offer integrated solutions. This quite often relies on inter-organizational collaboration in the context of a value network In this context, customer-related knowledge is regarded as one of the primary sources in the provisioning process of integrated solutions. This, in turn, implies the importance of effective sharing of customer knowledge among actors of a value network. Customer knowledge transfer is difficult due to some recognizable challenges such as a lack of trust. Because of the added complexity of a value network, achieving a shared understanding among actors about customer knowledge transfer challenges in a value network setting (VN-CKTC) might be more difficult. A systematic and comprehensive overview of the VN-CKTC (in the form of a reference model) might support this by providing additional structure. Although scholars have long studied knowledge transfer challenges within business network settings, they are usually limited in scope and their resulting challenges differ widely. Therefore, they provide insufficient coverage of the possible challenges. A more comprehensive view is thus needed. Our research aims at designing and validating a reference model that provides a systematic and wider spectrum of possible VN-CKTC. To this end, a design science research approach is followed. In the design phase, by conducting a systematic literature review followed by a structured classification, a reference model of VN-CKTC is designed. In the evaluation phase, the validation of this designed artifact is evaluated in a value network setting by conducting multiple case studies. The results of this study give us both theoretically and context-speciﬁc descriptions of the significant relevant of these challenges. The proposed reference model provides a rich picture of VN-CKTC. Decision makers of value networks can use this reference model as a means to achieve a shared understanding about customer knowledge transfer challenges and to come to an agreement on these challenges. They can also apply it to be aware of which challenges to focus on, so they are provided with a much stronger basis to make better-informed decisions to address and mitigate these challenges.","author":[{"dropping-particle":"","family":"Bagheri","given":"Samaneh","non-dropping-particle":"","parse-names":false,"suffix":""},{"dropping-particle":"","family":"Kusters","given":"Rob J.","non-dropping-particle":"","parse-names":false,"suffix":""},{"dropping-particle":"","family":"Trienekens","given":"Jos J.M.","non-dropping-particle":"","parse-names":false,"suffix":""}],"container-title":"International Journal of Information Management","id":"ITEM-1","issue":"March","issued":{"date-parts":[["2019"]]},"page":"198-214","publisher":"Elsevier","title":"Customer knowledge transfer challenges in a co-creation value network: Toward a reference model","type":"article-journal","volume":"47"},"uris":["http://www.mendeley.com/documents/?uuid=e697617a-8ba0-4191-b3d0-1de1e081ba3f"]}],"mendeley":{"formattedCitation":"(Bagheri et al., 2019)","manualFormatting":"Bagheri, Kusters and Trienekens, 2019; Ekici, 2013)","plainTextFormattedCitation":"(Bagheri et al., 2019)","previouslyFormattedCitation":"(Bagheri et al., 2019)"},"properties":{"noteIndex":0},"schema":"https://github.com/citation-style-language/schema/raw/master/csl-citation.json"}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 xml:space="preserve">Bagheri, Kusters and Trienekens, 2019;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{"citationItems":[{"id":"ITEM-1","itemData":{"DOI":"10.1016/j.indmarman.2013.03.008","ISSN":"00198501","abstract":"This paper reports the results of a qualitative study undertaken to understand the nature of trust and its consequences for both suppliers and buyers in short term (relatively new) and long term (older/more mature) relationships in inter-organizational contexts. Scholars have recently pointed out the importance of research that investigates the temporal characteristics and dynamics of trust in inter-organizational studies. Our paper responds to this call by indentifying the changing nature of the level of trust as the buyer-supplier relationship matures. Our findings contribute to sparse and conflicting previous research on the relationship between length of partnership and perceptions of trust, types of dark side consequences of trusting relationships, and reasons buyers and suppliers continue or terminate low/no-trust associations. Specifically, we illustrate that buyers and suppliers draw on substantially different metaphors for understanding the nature of trust in long and short term exchange relationships. Suppliers see marked differences in trust with long term versus short term exchange partners, while buyers see little or no difference. Suppliers and buyers also appear to have different conceptions of how trust is nested (or not) within the broader economic and/or personal relationship. Through our inductive model, we elaborate several types of betrayal and disappointment, distinguish several factors that lead suppliers and buyers to stay in relationships with partners they don't trust, and identify key issues that topple untrusting relationships into terminated relationships. © 2013 Elsevier Inc.","author":[{"dropping-particle":"","family":"Ekici","given":"Ahmet","non-dropping-particle":"","parse-names":false,"suffix":""}],"container-title":"Industrial Marketing Management","id":"ITEM-1","issue":"6","issued":{"date-parts":[["2013"]]},"page":"932-949","publisher":"Elsevier Inc.","title":"Temporal dynamics of trust in ongoing inter-organizational relationships","type":"article-journal","volume":"42"},"uris":["http://www.mendeley.com/documents/?uuid=90e5475c-7741-4540-9887-6a8210ad42e9"]}],"mendeley":{"formattedCitation":"(Ekici, 2013)","manualFormatting":"Ekici, 2013","plainTextFormattedCitation":"(Ekici, 2013)","previouslyFormattedCitation":"(Ekici, 2013)"},"properties":{"noteIndex":0},"schema":"https://github.com/citation-style-language/schema/raw/master/csl-citation.json"}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Ekici, 2013</w:t>
      </w:r>
      <w:r w:rsidRPr="009672FC">
        <w:rPr>
          <w:rFonts w:ascii="Garamond" w:hAnsi="Garamond"/>
          <w:noProof/>
          <w:sz w:val="24"/>
          <w:szCs w:val="24"/>
        </w:rPr>
        <w:fldChar w:fldCharType="end"/>
      </w:r>
      <w:r w:rsidRPr="009672FC">
        <w:rPr>
          <w:rFonts w:ascii="Garamond" w:hAnsi="Garamond"/>
          <w:noProof/>
          <w:sz w:val="24"/>
          <w:szCs w:val="24"/>
        </w:rPr>
        <w:t>)</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thus promoting stronger bond, exchange of relevant knowledge particularly the tacit one between project members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{"citationItems":[{"id":"ITEM-1","itemData":{"DOI":"10.1016/S1075-4253(98)00009-X","ISBN":"5173536381","ISSN":"10754253","abstract":"This article proposes that relational bonding, a concept that measures the strength of a collaborative relationship, mediates between ex-ante alliance variables, namely compatibility, role clarity, resource interdependence, and termination costs and collaborative behavioral processes. The authors theorize bonding to be manifest through two underlying dimensions, namely trust and commitment, and empirically substantiate this assertion. © 1998 Elsevier Science Inc.","author":[{"dropping-particle":"","family":"Sarkar","given":"M. B.","non-dropping-particle":"","parse-names":false,"suffix":""},{"dropping-particle":"","family":"Aulakh","given":"Preet S.","non-dropping-particle":"","parse-names":false,"suffix":""},{"dropping-particle":"","family":"Cavusgil","given":"S. Tamer","non-dropping-particle":"","parse-names":false,"suffix":""}],"container-title":"Journal of International Management","id":"ITEM-1","issue":"2","issued":{"date-parts":[["1998"]]},"page":"85-107","title":"The strategic role of relational bonding in interorganizational collaborations: An empirical study of the global construction industry","type":"article-journal","volume":"4"},"uris":["http://www.mendeley.com/documents/?uuid=59e9f75b-cfd8-4d89-b9e4-4e569dc07d8a"]}],"mendeley":{"formattedCitation":"(Sarkar, Aulakh, &amp; Cavusgil, 1998)","manualFormatting":"(Sarkar, Aulakh and Cavusgil, 1998; Maurer, 2010)","plainTextFormattedCitation":"(Sarkar, Aulakh, &amp; Cavusgil, 1998)","previouslyFormattedCitation":"(Sarkar et al., 1998)"},"properties":{"noteIndex":0},"schema":"https://github.com/citation-style-language/schema/raw/master/csl-citation.json"}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(Sarkar, Aulakh and Cavusgil, 1998;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{"citationItems":[{"id":"ITEM-1","itemData":{"DOI":"10.1016/j.ijproman.2009.11.006","ISSN":"02637863","abstract":"The importance of trust in projects that involve multiple project partners is widely acknowledged. This research analyzes both outcomes and antecedents of trust in inter-organizational projects. On the outcome side, the findings show that trust between project team members working on an inter-organizational project positively impacts the acquisition of external knowledge which, in turn, promotes product innovation. With respect to the antecedents of trust data reveal that a stable pool of project team members and objective project reward criteria facilitate the formation of inter-organizational trust. © 2009 Elsevier Ltd and IPMA.","author":[{"dropping-particle":"","family":"Maurer","given":"Indre","non-dropping-particle":"","parse-names":false,"suffix":""}],"container-title":"International Journal of Project Management","id":"ITEM-1","issue":"7","issued":{"date-parts":[["2010"]]},"page":"629-637","publisher":"Elsevier Ltd and IPMA","title":"How to build trust in inter-organizational projects: The impact of project staffing and project rewards on the formation of trust, knowledge acquisition and product innovation","type":"article-journal","volume":"28"},"uris":["http://www.mendeley.com/documents/?uuid=9f0794b5-78d2-487e-bf74-762e7e028353"]}],"mendeley":{"formattedCitation":"(Maurer, 2010)","manualFormatting":"Maurer, 2010)","plainTextFormattedCitation":"(Maurer, 2010)","previouslyFormattedCitation":"(Maurer, 2010)"},"properties":{"noteIndex":0},"schema":"https://github.com/citation-style-language/schema/raw/master/csl-citation.json"}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Maurer, 2010)</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Such relational </w:t>
      </w:r>
      <w:proofErr w:type="spellStart"/>
      <w:r w:rsidRPr="009672FC">
        <w:rPr>
          <w:rFonts w:ascii="Garamond" w:hAnsi="Garamond"/>
          <w:sz w:val="24"/>
          <w:szCs w:val="24"/>
        </w:rPr>
        <w:t>behaviours</w:t>
      </w:r>
      <w:proofErr w:type="spellEnd"/>
      <w:r w:rsidRPr="009672FC">
        <w:rPr>
          <w:rFonts w:ascii="Garamond" w:hAnsi="Garamond"/>
          <w:sz w:val="24"/>
          <w:szCs w:val="24"/>
        </w:rPr>
        <w:t xml:space="preserve"> may help minimize the risk of a partner’s opportunism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{"citationItems":[{"id":"ITEM-1","itemData":{"DOI":"10.1016/j.indmarman.2013.03.008","ISSN":"00198501","abstract":"This paper reports the results of a qualitative study undertaken to understand the nature of trust and its consequences for both suppliers and buyers in short term (relatively new) and long term (older/more mature) relationships in inter-organizational contexts. Scholars have recently pointed out the importance of research that investigates the temporal characteristics and dynamics of trust in inter-organizational studies. Our paper responds to this call by indentifying the changing nature of the level of trust as the buyer-supplier relationship matures. Our findings contribute to sparse and conflicting previous research on the relationship between length of partnership and perceptions of trust, types of dark side consequences of trusting relationships, and reasons buyers and suppliers continue or terminate low/no-trust associations. Specifically, we illustrate that buyers and suppliers draw on substantially different metaphors for understanding the nature of trust in long and short term exchange relationships. Suppliers see marked differences in trust with long term versus short term exchange partners, while buyers see little or no difference. Suppliers and buyers also appear to have different conceptions of how trust is nested (or not) within the broader economic and/or personal relationship. Through our inductive model, we elaborate several types of betrayal and disappointment, distinguish several factors that lead suppliers and buyers to stay in relationships with partners they don't trust, and identify key issues that topple untrusting relationships into terminated relationships. © 2013 Elsevier Inc.","author":[{"dropping-particle":"","family":"Ekici","given":"Ahmet","non-dropping-particle":"","parse-names":false,"suffix":""}],"container-title":"Industrial Marketing Management","id":"ITEM-1","issue":"6","issued":{"date-parts":[["2013"]]},"page":"932-949","publisher":"Elsevier Inc.","title":"Temporal dynamics of trust in ongoing inter-organizational relationships","type":"article-journal","volume":"42"},"uris":["http://www.mendeley.com/documents/?uuid=90e5475c-7741-4540-9887-6a8210ad42e9"]}],"mendeley":{"formattedCitation":"(Ekici, 2013)","manualFormatting":"Ekici, 2013","plainTextFormattedCitation":"(Ekici, 2013)","previouslyFormattedCitation":"(Ekici, 2013)"},"properties":{"noteIndex":0},"schema":"https://github.com/citation-style-language/schema/raw/master/csl-citation.json"}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Ekici, 2013</w:t>
      </w:r>
      <w:r w:rsidRPr="009672FC">
        <w:rPr>
          <w:rFonts w:ascii="Garamond" w:hAnsi="Garamond"/>
          <w:sz w:val="24"/>
          <w:szCs w:val="24"/>
        </w:rPr>
        <w:fldChar w:fldCharType="end"/>
      </w:r>
      <w:r w:rsidRPr="009672FC">
        <w:rPr>
          <w:rFonts w:ascii="Garamond" w:hAnsi="Garamond"/>
          <w:sz w:val="24"/>
          <w:szCs w:val="24"/>
        </w:rPr>
        <w:t>). Scholars describe trust according to various characteristics such as perceived benevolence and integrity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{"citationItems":[{"id":"ITEM-1","itemData":{"DOI":"10.1016/j.ijproman.2014.06.001","ISSN":"02637863","abstract":"We examine the influence of trust on the formation of social network ties for the idea generation and idea realisation stages of innovation. Drawing on data from 153 employees working in project teams at two firms, we find two dimensions of trustworthiness, Ability and Benevolence, predict tie formation for both idea generation and idea realisation, whereas Integrity predicts tie formation for idea generation only. Moderation analyses across both firms and stages of innovation reveal that a lack of benevolence makes ability largely irrelevant as a criterion for choosing a partner for innovation activities, whereas high benevolence increases the extent to which ability influences partner choice. Additionally, a lack of integrity makes ability either irrelevant or a negative criterion for partner section. Overall the results suggest that people need to perceive others as benevolent and not lacking in integrity in order to seek out their skills and knowledge for innovation in project teams.","author":[{"dropping-particle":"","family":"Shazi","given":"Rahmat","non-dropping-particle":"","parse-names":false,"suffix":""},{"dropping-particle":"","family":"Gillespie","given":"Nicole","non-dropping-particle":"","parse-names":false,"suffix":""},{"dropping-particle":"","family":"Steen","given":"John","non-dropping-particle":"","parse-names":false,"suffix":""}],"container-title":"International Journal of Project Management","id":"ITEM-1","issue":"1","issued":{"date-parts":[["2015"]]},"page":"81-91","publisher":"Elsevier B.V.","title":"Trust as a predictor of innovation network ties in project teams","type":"article-journal","volume":"33"},"uris":["http://www.mendeley.com/documents/?uuid=cb9b4ead-4cbe-4556-93e2-f54f6f1c27b9"]}],"mendeley":{"formattedCitation":"(Shazi, Gillespie, &amp; Steen, 2015)","manualFormatting":"Shazi, Gillespie, and Steen, 2015)","plainTextFormattedCitation":"(Shazi, Gillespie, &amp; Steen, 2015)","previouslyFormattedCitation":"(Shazi et al.,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Shazi, Gillespie, and Steen, 2015)</w:t>
      </w:r>
      <w:r w:rsidRPr="009672FC">
        <w:rPr>
          <w:rFonts w:ascii="Garamond" w:hAnsi="Garamond"/>
          <w:sz w:val="24"/>
          <w:szCs w:val="24"/>
        </w:rPr>
        <w:fldChar w:fldCharType="end"/>
      </w:r>
      <w:r w:rsidRPr="009672FC">
        <w:rPr>
          <w:rFonts w:ascii="Garamond" w:hAnsi="Garamond"/>
          <w:sz w:val="24"/>
          <w:szCs w:val="24"/>
        </w:rPr>
        <w:t xml:space="preserve">, cognitive and affective </w:t>
      </w:r>
      <w:r w:rsidR="005C5F35" w:rsidRPr="009672FC">
        <w:rPr>
          <w:rFonts w:ascii="Garamond" w:hAnsi="Garamond"/>
          <w:sz w:val="24"/>
          <w:szCs w:val="24"/>
        </w:rPr>
        <w:t>dimensions</w:t>
      </w:r>
      <w:r w:rsidRPr="009672FC">
        <w:rPr>
          <w:rFonts w:ascii="Garamond" w:hAnsi="Garamond"/>
          <w:sz w:val="24"/>
          <w:szCs w:val="24"/>
        </w:rPr>
        <w:t xml:space="preserve"> of trust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{"citationItems":[{"id":"ITEM-1","itemData":{"DOI":"10.1016/j.indmarman.2018.10.002","ISSN":"00198501","abstract":"Trust enjoys wide acceptance among scholars as a key facilitator of inter-organisational relationship development, and successful relationship development demands an understanding of what drives the propensity to trust between organisations within both cognitive and affective dimensions of trust. The six most salient antecedents of trust within contemporary trust literature have been identified as satisfaction, communication, competence, shared values, benevolence and integrity. This research suggests that co-creation is also an important antecedent of trust in business-to-business relationships. Co-creation is described here as the active participation, interactions and collaboration of the buyer and seller and other actors in the marketing exchange to develop a deeper understanding of the customer problem solving context. The relative strength of the cognitive and affective aspects of trust antecedents, the moderating influence of business experience and seniority on the relationship between significant antecedents and trust is also explored. The analysis uses statistical tools and then probes deeper using fuzzy-set qualitative comparative analysis (fsQCA).","author":[{"dropping-particle":"","family":"Franklin","given":"Drew","non-dropping-particle":"","parse-names":false,"suffix":""},{"dropping-particle":"","family":"Marshall","given":"Roger","non-dropping-particle":"","parse-names":false,"suffix":""}],"container-title":"Industrial Marketing Management","id":"ITEM-1","issue":"October 2018","issued":{"date-parts":[["2019"]]},"page":"170-181","publisher":"Elsevier","title":"Adding co-creation as an antecedent condition leading to trust in business-to-business relationships","type":"article-journal","volume":"77"},"uris":["http://www.mendeley.com/documents/?uuid=762041cb-4766-40cd-b0ee-06ca8c4c2190"]}],"mendeley":{"formattedCitation":"(Franklin &amp; Marshall, 2019)","manualFormatting":"Franklin and Marshall, 2019)","plainTextFormattedCitation":"(Franklin &amp; Marshall, 2019)","previouslyFormattedCitation":"(Franklin &amp; Marshall,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Franklin and Marshall, 2019)</w:t>
      </w:r>
      <w:r w:rsidRPr="009672FC">
        <w:rPr>
          <w:rFonts w:ascii="Garamond" w:hAnsi="Garamond"/>
          <w:sz w:val="24"/>
          <w:szCs w:val="24"/>
        </w:rPr>
        <w:fldChar w:fldCharType="end"/>
      </w:r>
      <w:r w:rsidRPr="009672FC">
        <w:rPr>
          <w:rFonts w:ascii="Garamond" w:hAnsi="Garamond"/>
          <w:sz w:val="24"/>
          <w:szCs w:val="24"/>
        </w:rPr>
        <w:t xml:space="preserve">. To build trust and relational ties in collaborative projects, scholars suggest various institutional arrangements and managerial controls enable resource integration and goal alignment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{"citationItems":[{"id":"ITEM-1","itemData":{"DOI":"10.1016/j.indmarman.2019.08.010","ISSN":"00198501","abstract":"Earlier research has highlighted the dynamic nature of influencing in business networks, and shown that firms may vary considerably in their influence, defined as their potential to achieve changes in the activities, resources, or goals of other firms in the business network. There is, however, limited understanding of the specific means of influencing which may allow firms, over time, to increase their influence with other firms in the same network. Drawing on a longitudinal case study, we describe how a firm, through influencing others by the dynamic enactment of network management activities, gradually increased its influence with other firms in the business network. Based on our observations, we offer a processual model for influencing in business networks that links specific network management activities to conditions under which they are used.","author":[{"dropping-particle":"","family":"Ahola","given":"Tuomas","non-dropping-particle":"","parse-names":false,"suffix":""},{"dropping-particle":"","family":"Aaltonen","given":"K.","non-dropping-particle":"","parse-names":false,"suffix":""},{"dropping-particle":"","family":"Artto","given":"Karlos","non-dropping-particle":"","parse-names":false,"suffix":""},{"dropping-particle":"","family":"Lehtinen","given":"Jere","non-dropping-particle":"","parse-names":false,"suffix":""}],"container-title":"Industrial Marketing Management","id":"ITEM-1","issue":"November 2016","issued":{"date-parts":[["2019"]]},"page":"1-15","publisher":"Elsevier","title":"Making room to manoeuvre: How firms increase their influence with others in business networks","type":"article-journal"},"uris":["http://www.mendeley.com/documents/?uuid=eaeebbb1-7294-4f2b-bc57-f595d4bd2d2f"]}],"mendeley":{"formattedCitation":"(Ahola et al., 2019)","manualFormatting":"(Ahola et al., 2019;","plainTextFormattedCitation":"(Ahola et al., 2019)","previouslyFormattedCitation":"(Ahola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(Ahola et al., 2019;</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{"citationItems":[{"id":"ITEM-1","itemData":{"DOI":"10.1016/S1075-4253(98)00009-X","ISBN":"5173536381","ISSN":"10754253","abstract":"This article proposes that relational bonding, a concept that measures the strength of a collaborative relationship, mediates between ex-ante alliance variables, namely compatibility, role clarity, resource interdependence, and termination costs and collaborative behavioral processes. The authors theorize bonding to be manifest through two underlying dimensions, namely trust and commitment, and empirically substantiate this assertion. © 1998 Elsevier Science Inc.","author":[{"dropping-particle":"","family":"Sarkar","given":"M. B.","non-dropping-particle":"","parse-names":false,"suffix":""},{"dropping-particle":"","family":"Aulakh","given":"Preet S.","non-dropping-particle":"","parse-names":false,"suffix":""},{"dropping-particle":"","family":"Cavusgil","given":"S. Tamer","non-dropping-particle":"","parse-names":false,"suffix":""}],"container-title":"Journal of International Management","id":"ITEM-1","issue":"2","issued":{"date-parts":[["1998"]]},"page":"85-107","title":"The strategic role of relational bonding in interorganizational collaborations: An empirical study of the global construction industry","type":"article-journal","volume":"4"},"uris":["http://www.mendeley.com/documents/?uuid=59e9f75b-cfd8-4d89-b9e4-4e569dc07d8a"]}],"mendeley":{"formattedCitation":"(Sarkar et al., 1998)","manualFormatting":"Sarkar, Aulakh and Cavusgil, 1998)","plainTextFormattedCitation":"(Sarkar et al., 1998)","previouslyFormattedCitation":"(Sarkar et al., 1998)"},"properties":{"noteIndex":0},"schema":"https://github.com/citation-style-language/schema/raw/master/csl-citation.json"}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Sarkar, Aulakh and Cavusgil, 1998)</w:t>
      </w:r>
      <w:r w:rsidRPr="009672FC">
        <w:rPr>
          <w:rFonts w:ascii="Garamond" w:hAnsi="Garamond"/>
          <w:sz w:val="24"/>
          <w:szCs w:val="24"/>
        </w:rPr>
        <w:fldChar w:fldCharType="end"/>
      </w:r>
      <w:r w:rsidRPr="009672FC">
        <w:rPr>
          <w:rFonts w:ascii="Garamond" w:hAnsi="Garamond"/>
          <w:sz w:val="24"/>
          <w:szCs w:val="24"/>
        </w:rPr>
        <w:t xml:space="preserve"> </w:t>
      </w:r>
      <w:r w:rsidR="005C5F35" w:rsidRPr="009672FC">
        <w:rPr>
          <w:rFonts w:ascii="Garamond" w:hAnsi="Garamond"/>
          <w:sz w:val="24"/>
          <w:szCs w:val="24"/>
        </w:rPr>
        <w:t xml:space="preserve">and </w:t>
      </w:r>
      <w:r w:rsidRPr="009672FC">
        <w:rPr>
          <w:rFonts w:ascii="Garamond" w:hAnsi="Garamond"/>
          <w:sz w:val="24"/>
          <w:szCs w:val="24"/>
        </w:rPr>
        <w:t>to address potential inter-firm conflicts.</w:t>
      </w:r>
    </w:p>
    <w:p w14:paraId="700829C9" w14:textId="22DD71CB"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i/>
          <w:iCs/>
          <w:sz w:val="24"/>
          <w:szCs w:val="24"/>
        </w:rPr>
        <w:lastRenderedPageBreak/>
        <w:t>Resource dependency</w:t>
      </w:r>
      <w:r w:rsidRPr="009672FC">
        <w:rPr>
          <w:rFonts w:ascii="Garamond" w:hAnsi="Garamond"/>
          <w:sz w:val="24"/>
          <w:szCs w:val="24"/>
        </w:rPr>
        <w:t xml:space="preserve">. Resource requirements intensify the demand for inter-firm innovation projects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{"citationItems":[{"id":"ITEM-1","itemData":{"PMID":"1552827417","abstract":"Abstract Purpose: The purpose of this paper is to present a systematic review of research linking the networking of firms with their innovation and specify the different dimensions of previous research on the subject and identify the gaps. Design/methodology/approach: A review of the literature on innovation in networks is undertaken using the Scopus database. These keywords: 1) Inter-organizational network, 2) Organizational network, 3) Innovation, 4) Innovative Performance were searched in the title, abstract and keywords of papers. Findings: Our review revealed that the papers were mainly trying to address or explain four phenomena: (1) the impact of networks on innovation and theoretical and empirical evidences of this impact; (2) management of networks (3) structure and content of networks; (4) formation and configuration of networks. These categories are not mutually exclusive but would help us to organize the fragmented literature on the topic. In each category some specific subjects have been the focus of analysis and some special issues have been neglected. For instance there is a need for exploration of the impact of different contents of networks on innovation compare to each other. Originality/value: Research on inter-organizational networks is generally fragmented which hinders a better understanding of the field. This article reviews and discusses the empirical literature on inter-organizational networks and innovation and shows the current state of research and highlights the gaps.","author":[{"dropping-particle":"","family":"Najafian","given":"Mina","non-dropping-particle":"","parse-names":false,"suffix":""},{"dropping-particle":"","family":"Colabi","given":"Amir Mohammad","non-dropping-particle":"","parse-names":false,"suffix":""}],"container-title":"Global Business and Management Research: An International Journal","id":"ITEM-1","issue":"1","issued":{"date-parts":[["2014"]]},"page":"52-70","title":"Inter-organizational Relationship and Innovation : A Review of Literature","type":"article-journal","volume":"6"},"uris":["http://www.mendeley.com/documents/?uuid=3fde6a5e-5066-48ee-88cb-6b5b9c7993d3"]}],"mendeley":{"formattedCitation":"(Najafian &amp; Colabi, 2014)","plainTextFormattedCitation":"(Najafian &amp; Colabi, 2014)","previouslyFormattedCitation":"(Najafian &amp; Colabi,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(Najafian &amp; Colabi, 2014)</w:t>
      </w:r>
      <w:r w:rsidRPr="009672FC">
        <w:rPr>
          <w:rFonts w:ascii="Garamond" w:hAnsi="Garamond"/>
          <w:sz w:val="24"/>
          <w:szCs w:val="24"/>
        </w:rPr>
        <w:fldChar w:fldCharType="end"/>
      </w:r>
      <w:r w:rsidRPr="009672FC">
        <w:rPr>
          <w:rFonts w:ascii="Garamond" w:hAnsi="Garamond"/>
          <w:sz w:val="24"/>
          <w:szCs w:val="24"/>
        </w:rPr>
        <w:t xml:space="preserve">. Several contributions observe the motives firms engage in collaborative relationships, including to boost their public image and legitimacy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{"citationItems":[{"id":"ITEM-1","itemData":{"author":[{"dropping-particle":"","family":"Stuart","given":"Toby E","non-dropping-particle":"","parse-names":false,"suffix":""}],"container-title":"Strategic Management Journal","id":"ITEM-1","issue":"8","issued":{"date-parts":[["2000"]]},"page":"791-811","title":"Interorganizational Alliances and the Performance of Firms : A Study of Growth and Innovation Rates in a High-Technology Industry","type":"article-journal","volume":"21"},"uris":["http://www.mendeley.com/documents/?uuid=b5b36ea4-4ce6-4904-9297-4cd0e719963c"]}],"mendeley":{"formattedCitation":"(Stuart, 2000)","plainTextFormattedCitation":"(Stuart, 2000)","previouslyFormattedCitation":"(Stuart,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(Stuart, 2000)</w:t>
      </w:r>
      <w:r w:rsidRPr="009672FC">
        <w:rPr>
          <w:rFonts w:ascii="Garamond" w:hAnsi="Garamond"/>
          <w:sz w:val="24"/>
          <w:szCs w:val="24"/>
        </w:rPr>
        <w:fldChar w:fldCharType="end"/>
      </w:r>
      <w:r w:rsidRPr="009672FC">
        <w:rPr>
          <w:rFonts w:ascii="Garamond" w:hAnsi="Garamond"/>
          <w:sz w:val="24"/>
          <w:szCs w:val="24"/>
        </w:rPr>
        <w:t>; to harness external proprietary knowledge, financial resources, and intellectual rights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author":[{"dropping-particle":"","family":"Newell","given":"Sue","non-dropping-particle":"","parse-names":false,"suffix":""},{"dropping-particle":"","family":"Swan","given":"Jacky","non-dropping-particle":"","parse-names":false,"suffix":""}],"container-title":"Human Relations","id":"ITEM-1","issue":"10","issued":{"date-parts":[["2000"]]},"page":"1287-1328","title":"Trust and inter-organizational networking","type":"article-journal","volume":"53"},"uris":["http://www.mendeley.com/documents/?uuid=b97d2573-0ead-4a70-af65-7a5fa20d56f1"]}],"mendeley":{"formattedCitation":"(Newell &amp; Swan, 2000)","manualFormatting":"Newell and Swan, 2000)","plainTextFormattedCitation":"(Newell &amp; Swan, 2000)","previouslyFormattedCitation":"(Newell &amp; Swan,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Newell and Swan, 2000)</w:t>
      </w:r>
      <w:r w:rsidRPr="009672FC">
        <w:rPr>
          <w:rFonts w:ascii="Garamond" w:hAnsi="Garamond"/>
          <w:sz w:val="24"/>
          <w:szCs w:val="24"/>
        </w:rPr>
        <w:fldChar w:fldCharType="end"/>
      </w:r>
      <w:r w:rsidRPr="009672FC">
        <w:rPr>
          <w:rFonts w:ascii="Garamond" w:hAnsi="Garamond"/>
          <w:sz w:val="24"/>
          <w:szCs w:val="24"/>
        </w:rPr>
        <w:t>; to acquire network power and influence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{"citationItems":[{"id":"ITEM-1","itemData":{"DOI":"10.1016/j.jbusres.2014.03.017","ISSN":"01482963","abstract":"The purpose of this paper is to investigate the dynamics of networked power in a concentrated business network. Power is a long standing theme in inter-organizational research, yet there is a paucity of studies about how power emerges and is constructed over time at the network level. The paper adopts process, systems and network theory to interpret a rich single case study from the food industry. Three power mechanisms are identified, gatekeeping, decoupling and resource allocation, which form the basis of a model of networked power dynamics. Empirically tracing the dynamics of networked power highlights the economic contents of interactions. The paper extends current understandings of power as 'conflict and coercion' to include influencing, leveraging and strategic maneuvering in the actual performance of networked power.","author":[{"dropping-particle":"","family":"Olsen","given":"Per Ingvar","non-dropping-particle":"","parse-names":false,"suffix":""},{"dropping-particle":"","family":"Prenkert","given":"Frans","non-dropping-particle":"","parse-names":false,"suffix":""},{"dropping-particle":"","family":"Hoholm","given":"Thomas","non-dropping-particle":"","parse-names":false,"suffix":""},{"dropping-particle":"","family":"Harrison","given":"Debbie","non-dropping-particle":"","parse-names":false,"suffix":""}],"container-title":"Journal of Business Research","id":"ITEM-1","issue":"12","issued":{"date-parts":[["2014"]]},"page":"2579-2589","publisher":"Elsevier Inc.","title":"The dynamics of networked power in a concentrated business network","type":"article-journal","volume":"67"},"uris":["http://www.mendeley.com/documents/?uuid=3c720de5-e586-4948-a1d6-f17fe2ca45b7"]}],"mendeley":{"formattedCitation":"(Olsen, Prenkert, Hoholm, &amp; Harrison, 2014)","manualFormatting":"Olsen et al., 2014)","plainTextFormattedCitation":"(Olsen, Prenkert, Hoholm, &amp; Harrison, 2014)","previouslyFormattedCitation":"(Olsen et al.,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Olsen et al., 2014)</w:t>
      </w:r>
      <w:r w:rsidRPr="009672FC">
        <w:rPr>
          <w:rFonts w:ascii="Garamond" w:hAnsi="Garamond"/>
          <w:sz w:val="24"/>
          <w:szCs w:val="24"/>
        </w:rPr>
        <w:fldChar w:fldCharType="end"/>
      </w:r>
      <w:r w:rsidRPr="009672FC">
        <w:rPr>
          <w:rFonts w:ascii="Garamond" w:hAnsi="Garamond"/>
          <w:sz w:val="24"/>
          <w:szCs w:val="24"/>
        </w:rPr>
        <w:t>; and share risk and opportunities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{"citationItems":[{"id":"ITEM-1","itemData":{"DOI":"10.1016/j.pursup.2010.11.001","ISSN":"14784092","abstract":"This paper generates insights into the establishment and maintenance of cooperative, trusting relationships in partnering projects between client and contractor organizations. For this purpose we first explore the concept of trust, and review the literature on trust in inter-organizational relationships. We describe how trust is related to risk, control and performance, and how initial conditions and expectations may lead to positive cycles of increasing trust or, in contrast, to negative cycles of decreasing trust. We confront this stylized theoretical description of inter-organizational trust dynamics with rich data from a project alliance in railroad construction in the Netherlands. We conclude that the initial conditions of this project alliance were conducive to trust, both in terms of opportunities and incentives. However, virtuous trust dynamics do not develop automatically, in particular in the construction industry that has a heritage of adversarial relationships between clients and contractors. The organizations in our case study took some deliberate actions to overcome these adversarial relations, like selection of key employees, increasing informal interactions between these employees and stimulating openness and transparency. © 2010 Elsevier Ltd.","author":[{"dropping-particle":"","family":"Laan","given":"Albertus","non-dropping-particle":"","parse-names":false,"suffix":""},{"dropping-particle":"","family":"Noorderhaven","given":"Niels","non-dropping-particle":"","parse-names":false,"suffix":""},{"dropping-particle":"","family":"Voordijk","given":"Hans","non-dropping-particle":"","parse-names":false,"suffix":""},{"dropping-particle":"","family":"Dewulf","given":"Geert","non-dropping-particle":"","parse-names":false,"suffix":""}],"container-title":"Journal of Purchasing and Supply Management","id":"ITEM-1","issue":"2","issued":{"date-parts":[["2011"]]},"page":"98-108","publisher":"Elsevier","title":"Building trust in construction partnering projects: An exploratory case-study","type":"article-journal","volume":"17"},"uris":["http://www.mendeley.com/documents/?uuid=97dcadfc-b47b-4c26-9dd1-3530363af522"]}],"mendeley":{"formattedCitation":"(Laan et al., 2011)","manualFormatting":"Laan et al., 2011)","plainTextFormattedCitation":"(Laan et al., 2011)","previouslyFormattedCitation":"(Laan et al.,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Laan et al., 2011)</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lang w:val="en-GB"/>
        </w:rPr>
        <w:t xml:space="preserve">It is, however, trivial to rely on partner location, proximity, culture as key selection criteria in innovation projects. Different selection criteria may apply to different innovation projects such as </w:t>
      </w:r>
      <w:r w:rsidRPr="009672FC">
        <w:rPr>
          <w:rFonts w:ascii="Garamond" w:hAnsi="Garamond"/>
          <w:sz w:val="24"/>
          <w:szCs w:val="24"/>
        </w:rPr>
        <w:t xml:space="preserve">seeking compatible external partners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2007.01.003","author":[{"dropping-particle":"","family":"Kadefors","given":"Anna","non-dropping-particle":"","parse-names":false,"suffix":""},{"dropping-particle":"","family":"Bjo","given":"Emma","non-dropping-particle":"","parse-names":false,"suffix":""},{"dropping-particle":"","family":"Karlsson","given":"Andreas","non-dropping-particle":"","parse-names":false,"suffix":""}],"container-title":"International Journal of Project Management","id":"ITEM-1","issued":{"date-parts":[["2007"]]},"page":"375-385","title":"Procuring service innovations: Contractor selection for partnering projects","type":"article-journal","volume":"25"},"uris":["http://www.mendeley.com/documents/?uuid=2b516d0c-ac65-4191-9b85-1d392ee2df26"]}],"mendeley":{"formattedCitation":"(Kadefors, Bjo, &amp; Karlsson, 2007)","manualFormatting":"(e.g., Kadefors, Bjo and Karlsson, 2007;","plainTextFormattedCitation":"(Kadefors, Bjo, &amp; Karlsson, 2007)","previouslyFormattedCitation":"(Kadefors et al., 2007)"},"properties":{"noteIndex":0},"schema":"https://github.com/citation-style-language/schema/raw/master/csl-citation.json"}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(e.g., Kadefors, Bjo and Karlsson, 2007;</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{"citationItems":[{"id":"ITEM-1","itemData":{"DOI":"10.1016/j.technovation.2018.02.005","ISSN":"0166-4972","abstract":"As promoting the engagement of firms and universities through collaborative linkages gathers pace among policymakers, it appears to be pertinent to examine in more detail the mechanisms that underpin their forma- tion. This paper examines the processes by which small firms assess the credibility of their potential partner when engaging in collaborative links with universities. Here, credibility is defined as the ability to deliver the promised knowledge and experience of a particular field when entering into a collaborative linkage with a university, and represents the firms' assessment of the usefulness of the university as a potential partner. The paper presents two main findings; firstly, the credibility of potential university partners is based around the realism, comprehensiveness, and specificity of their knowledge. Secondly, credibility appears to be judged at an individual rather than institutional level. The implications of these findings to theory and practice are also discussed. 1.","author":[{"dropping-particle":"","family":"Johnston","given":"Andrew","non-dropping-particle":"","parse-names":false,"suffix":""},{"dropping-particle":"","family":"Huggins","given":"Robert","non-dropping-particle":"","parse-names":false,"suffix":""}],"container-title":"Technovation","id":"ITEM-1","issue":"May 2016","issued":{"date-parts":[["2018"]]},"page":"15-26","publisher":"Elsevier Ltd","title":"Partner selection and university-industry linkages: Assessing small firms' initial perceptions of the credibility of their partners","type":"article-journal","volume":"78"},"uris":["http://www.mendeley.com/documents/?uuid=06b206ac-c55c-4f66-ad0d-0b46dedbc61d"]}],"mendeley":{"formattedCitation":"(Johnston &amp; Huggins, 2018)","manualFormatting":"Johnston and Huggins, 2018)","plainTextFormattedCitation":"(Johnston &amp; Huggins, 2018)","previouslyFormattedCitation":"(Johnston &amp; Huggins,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Johnston and Huggins, 2018)</w:t>
      </w:r>
      <w:r w:rsidRPr="009672FC">
        <w:rPr>
          <w:rFonts w:ascii="Garamond" w:hAnsi="Garamond"/>
          <w:sz w:val="24"/>
          <w:szCs w:val="24"/>
        </w:rPr>
        <w:fldChar w:fldCharType="end"/>
      </w:r>
      <w:r w:rsidRPr="009672FC">
        <w:rPr>
          <w:rFonts w:ascii="Garamond" w:hAnsi="Garamond"/>
          <w:sz w:val="24"/>
          <w:szCs w:val="24"/>
        </w:rPr>
        <w:t xml:space="preserve">, comprising partners that share common interests, and </w:t>
      </w:r>
      <w:r w:rsidR="00CF726B" w:rsidRPr="009672FC">
        <w:rPr>
          <w:rFonts w:ascii="Garamond" w:hAnsi="Garamond"/>
          <w:sz w:val="24"/>
          <w:szCs w:val="24"/>
        </w:rPr>
        <w:t xml:space="preserve">are </w:t>
      </w:r>
      <w:r w:rsidRPr="009672FC">
        <w:rPr>
          <w:rFonts w:ascii="Garamond" w:hAnsi="Garamond"/>
          <w:sz w:val="24"/>
          <w:szCs w:val="24"/>
        </w:rPr>
        <w:t>willing to work to achieve the collective network goals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{"citationItems":[{"id":"ITEM-1","itemData":{"DOI":"10.1016/j.ins.2019.01.072","ISSN":"00200255","abstract":"Organizational innovation requires strong social collaboration and knowledge networks as well as focused partner selection strategies that complement employee strengths. Therefore, this paper proposes an effective, innovative partner selection method on the basis of collaboration network deconstruction optimization using collaboration and knowledge networks. To ensure collaborative network deconstruction optimization, the proposed method firstly improves the focal actor's management efficiency by eliminating network redundancy and identifying the key primary contacts. Then, to fully consider the knowledge benefits to be gained from joint collaboration, the knowledge fusion process is modeled using knowledge combinations from the knowledge networks. Further, social benefits and knowledge benefits maximization are jointly considered in the selection of suitable partners. And at last, a case study is given that demonstrates the proposed method is highly effective in selecting suitable partners for the focal actor that significantly improves both the social and knowledge benefits.","author":[{"dropping-particle":"","family":"Han","given":"Jing","non-dropping-particle":"","parse-names":false,"suffix":""},{"dropping-particle":"","family":"Teng","given":"Xinyu","non-dropping-particle":"","parse-names":false,"suffix":""},{"dropping-particle":"","family":"Cai","given":"Xun","non-dropping-particle":"","parse-names":false,"suffix":""}],"container-title":"Information Sciences","id":"ITEM-1","issued":{"date-parts":[["2019"]]},"page":"269-285","publisher":"Elsevier Inc.","title":"A novel network optimization partner selection method based on collaborative and knowledge networks","type":"article-journal","volume":"484"},"uris":["http://www.mendeley.com/documents/?uuid=994246b6-202b-4bfb-b560-a6447bca232f"]}],"mendeley":{"formattedCitation":"(Han, Teng, &amp; Cai, 2019)","manualFormatting":"Han, Teng and Cai, 2019)","plainTextFormattedCitation":"(Han, Teng, &amp; Cai, 2019)","previouslyFormattedCitation":"(Han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Han, Teng and Cai, 2019)</w:t>
      </w:r>
      <w:r w:rsidRPr="009672FC">
        <w:rPr>
          <w:rFonts w:ascii="Garamond" w:hAnsi="Garamond"/>
          <w:sz w:val="24"/>
          <w:szCs w:val="24"/>
        </w:rPr>
        <w:fldChar w:fldCharType="end"/>
      </w:r>
      <w:r w:rsidRPr="009672FC">
        <w:rPr>
          <w:rFonts w:ascii="Garamond" w:hAnsi="Garamond"/>
          <w:sz w:val="24"/>
          <w:szCs w:val="24"/>
        </w:rPr>
        <w:t>.</w:t>
      </w:r>
      <w:r w:rsidR="005C5F35" w:rsidRPr="009672FC">
        <w:rPr>
          <w:rFonts w:ascii="Garamond" w:hAnsi="Garamond"/>
          <w:sz w:val="24"/>
          <w:szCs w:val="24"/>
        </w:rPr>
        <w:t xml:space="preserve"> Partners such as universities and research and technology institutions are key sources of technological knowledge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{"citationItems":[{"id":"ITEM-1","itemData":{"DOI":"10.1016/j.techfore.2015.11.027","ISSN":"00401625","abstract":"Over the last decade, social capital concept has received considerable amount of research being regarded as an important value creation mechanism. However, we still have limited understanding about the nature of interaction between the dimensions of this capital, and how it can be useful in mitigating the impediments evolving during government-sponsored (i.e., engineered) university-industry collaboration (UIC). In this paper, we address the previous gap by analyzing the dynamics of social capital dimensions during the preformation and postformation stages of UIC. The paper relies on a unique context that comprises five embedded case studies of UIC for technology transfer: the Faraday Partnership Initiative, a UK government-backed novel scheme for enhancing innovation. The analysis shows that the impact and interaction of the dimensions were not static but rather varying over time. Further, we present a new value creation framework for social capital through mapping its power in reducing the intensity of difficulties emerged during the collaboration lifetime. We also identify two facilitating factors as critical in creating and maintaining social capital in engineered UIC. The present study thus contributes to a deeper understanding of the value of inter-organizational social capital.","author":[{"dropping-particle":"","family":"Al-Tabbaa","given":"Omar","non-dropping-particle":"","parse-names":false,"suffix":""},{"dropping-particle":"","family":"Ankrah","given":"Samuel","non-dropping-particle":"","parse-names":false,"suffix":""}],"container-title":"Technological Forecasting and Social Change","id":"ITEM-1","issued":{"date-parts":[["2016"]]},"page":"1-15","publisher":"The Authors","title":"Social capital to facilitate 'engineered' university-industry collaboration for technology transfer: A dynamic perspective","type":"article-journal","volume":"104"},"uris":["http://www.mendeley.com/documents/?uuid=2ce395ae-2a21-41f3-ab20-acb63595b838"]}],"mendeley":{"formattedCitation":"(Al-Tabbaa &amp; Ankrah, 2016)","manualFormatting":"Al-Tabbaa and Ankrah, 2016)","plainTextFormattedCitation":"(Al-Tabbaa &amp; Ankrah, 2016)","previouslyFormattedCitation":"(Al-Tabbaa and Ankrah, 2016)"},"properties":{"noteIndex":0},"schema":"https://github.com/citation-style-language/schema/raw/master/csl-citation.json"}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Al-Tabbaa and Ankrah, 2016)</w:t>
      </w:r>
      <w:r w:rsidR="005C5F35" w:rsidRPr="009672FC">
        <w:rPr>
          <w:rFonts w:ascii="Garamond" w:hAnsi="Garamond"/>
          <w:sz w:val="24"/>
          <w:szCs w:val="24"/>
        </w:rPr>
        <w:fldChar w:fldCharType="end"/>
      </w:r>
      <w:r w:rsidR="005C5F35" w:rsidRPr="009672FC">
        <w:rPr>
          <w:rFonts w:ascii="Garamond" w:hAnsi="Garamond"/>
          <w:sz w:val="24"/>
          <w:szCs w:val="24"/>
        </w:rPr>
        <w:t>. Other firms’ complementary resources and capabilities are key motives for inter</w:t>
      </w:r>
      <w:r w:rsidR="002663FA" w:rsidRPr="009672FC">
        <w:rPr>
          <w:rFonts w:ascii="Garamond" w:hAnsi="Garamond"/>
          <w:sz w:val="24"/>
          <w:szCs w:val="24"/>
        </w:rPr>
        <w:t>-</w:t>
      </w:r>
      <w:r w:rsidR="005C5F35" w:rsidRPr="009672FC">
        <w:rPr>
          <w:rFonts w:ascii="Garamond" w:hAnsi="Garamond"/>
          <w:sz w:val="24"/>
          <w:szCs w:val="24"/>
        </w:rPr>
        <w:t xml:space="preserve">organizational collaboration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{"citationItems":[{"id":"ITEM-1","itemData":{"DOI":"10.1016/j.techfore.2011.09.003","ISSN":"00401625","abstract":"This paper examines the effects that process, structure and governance dimensions of networks have on innovation performance. The main focus of the paper is the multidimensional aspect of innovation networks and how these dimensions affect network performance. Technology management, resource-based, transaction costs and social capital perspectives are applied in the construction of the model variables of each subsystem or dimension analyzed. With results drawn from a sample of 350 project managers identified in the European Union CORDIS database who are actively involved in European innovation networks, we argue that the performance of innovation networks is increased through the suitable design of process, structure and governance subsystems. Empirical findings also show that interactions between these subsystems have a complementary or synergic effect resulting in improved innovation performance. © 2011 Elsevier Inc.","author":[{"dropping-particle":"","family":"Arranz","given":"Nieves","non-dropping-particle":"","parse-names":false,"suffix":""},{"dropping-particle":"","family":"Fdez. de Arroyabe","given":"J. Carlos","non-dropping-particle":"","parse-names":false,"suffix":""}],"container-title":"Technological Forecasting and Social Change","id":"ITEM-1","issue":"3","issued":{"date-parts":[["2012"]]},"page":"485-497","publisher":"Elsevier Inc.","title":"Can innovation network projects result in efficient performance?","type":"article-journal","volume":"79"},"uris":["http://www.mendeley.com/documents/?uuid=6ac0b5a2-70cf-4e7a-a7e6-5e3ea3d401a8"]}],"mendeley":{"formattedCitation":"(Arranz &amp; Fdez. de Arroyabe, 2012)","plainTextFormattedCitation":"(Arranz &amp; Fdez. de Arroyabe, 2012)","previouslyFormattedCitation":"(Arranz and Fdez. de Arroyabe, 2012)"},"properties":{"noteIndex":0},"schema":"https://github.com/citation-style-language/schema/raw/master/csl-citation.json"}</w:instrText>
      </w:r>
      <w:r w:rsidR="005C5F35" w:rsidRPr="009672FC">
        <w:rPr>
          <w:rFonts w:ascii="Garamond" w:hAnsi="Garamond"/>
          <w:sz w:val="24"/>
          <w:szCs w:val="24"/>
        </w:rPr>
        <w:fldChar w:fldCharType="separate"/>
      </w:r>
      <w:r w:rsidR="00813D37" w:rsidRPr="009672FC">
        <w:rPr>
          <w:rFonts w:ascii="Garamond" w:hAnsi="Garamond"/>
          <w:noProof/>
          <w:sz w:val="24"/>
          <w:szCs w:val="24"/>
        </w:rPr>
        <w:t>(Arranz &amp; Fdez. de Arroyabe, 2012)</w:t>
      </w:r>
      <w:r w:rsidR="005C5F35" w:rsidRPr="009672FC">
        <w:rPr>
          <w:rFonts w:ascii="Garamond" w:hAnsi="Garamond"/>
          <w:sz w:val="24"/>
          <w:szCs w:val="24"/>
        </w:rPr>
        <w:fldChar w:fldCharType="end"/>
      </w:r>
      <w:r w:rsidR="005C5F35" w:rsidRPr="009672FC">
        <w:rPr>
          <w:rFonts w:ascii="Garamond" w:hAnsi="Garamond"/>
          <w:sz w:val="24"/>
          <w:szCs w:val="24"/>
        </w:rPr>
        <w:t xml:space="preserve">. These resources may be financial or unique capabilities and knowledge. Landqvist and Lind (2019) argue that a partner’s resource position is a key driver of interfirm relationships. </w:t>
      </w:r>
    </w:p>
    <w:p w14:paraId="715458AD" w14:textId="52350B79"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Since inter-firm projects are highly resource-dependent partnerships, a partner’s diverse knowledge, credibility and other resources, are critical to partner selection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{"citationItems":[{"id":"ITEM-1","itemData":{"DOI":"10.1016/j.technovation.2018.02.005","ISSN":"0166-4972","abstract":"As promoting the engagement of firms and universities through collaborative linkages gathers pace among policymakers, it appears to be pertinent to examine in more detail the mechanisms that underpin their forma- tion. This paper examines the processes by which small firms assess the credibility of their potential partner when engaging in collaborative links with universities. Here, credibility is defined as the ability to deliver the promised knowledge and experience of a particular field when entering into a collaborative linkage with a university, and represents the firms' assessment of the usefulness of the university as a potential partner. The paper presents two main findings; firstly, the credibility of potential university partners is based around the realism, comprehensiveness, and specificity of their knowledge. Secondly, credibility appears to be judged at an individual rather than institutional level. The implications of these findings to theory and practice are also discussed. 1.","author":[{"dropping-particle":"","family":"Johnston","given":"Andrew","non-dropping-particle":"","parse-names":false,"suffix":""},{"dropping-particle":"","family":"Huggins","given":"Robert","non-dropping-particle":"","parse-names":false,"suffix":""}],"container-title":"Technovation","id":"ITEM-1","issue":"May 2016","issued":{"date-parts":[["2018"]]},"page":"15-26","publisher":"Elsevier Ltd","title":"Partner selection and university-industry linkages: Assessing small firms' initial perceptions of the credibility of their partners","type":"article-journal","volume":"78"},"uris":["http://www.mendeley.com/documents/?uuid=06b206ac-c55c-4f66-ad0d-0b46dedbc61d"]}],"mendeley":{"formattedCitation":"(Johnston &amp; Huggins, 2018)","manualFormatting":"Johnston and Huggins, 2018)","plainTextFormattedCitation":"(Johnston &amp; Huggins, 2018)","previouslyFormattedCitation":"(Johnston and Huggins,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Johnston and Huggins, 2018)</w:t>
      </w:r>
      <w:r w:rsidRPr="009672FC">
        <w:rPr>
          <w:rFonts w:ascii="Garamond" w:hAnsi="Garamond"/>
          <w:sz w:val="24"/>
          <w:szCs w:val="24"/>
        </w:rPr>
        <w:fldChar w:fldCharType="end"/>
      </w:r>
      <w:r w:rsidRPr="009672FC">
        <w:rPr>
          <w:rFonts w:ascii="Garamond" w:hAnsi="Garamond"/>
          <w:sz w:val="24"/>
          <w:szCs w:val="24"/>
        </w:rPr>
        <w:t>. F</w:t>
      </w:r>
      <w:r w:rsidRPr="009672FC">
        <w:rPr>
          <w:rFonts w:ascii="Garamond" w:hAnsi="Garamond"/>
          <w:sz w:val="24"/>
          <w:szCs w:val="24"/>
          <w:shd w:val="clear" w:color="auto" w:fill="FFFFFF"/>
        </w:rPr>
        <w:t>inancial soundness, technical ability, managerial capability, and reputation are found to be important determinants of partner choice</w:t>
      </w:r>
      <w:r w:rsidRPr="009672FC">
        <w:rPr>
          <w:rFonts w:ascii="Garamond" w:hAnsi="Garamond"/>
          <w:sz w:val="24"/>
          <w:szCs w:val="24"/>
        </w:rPr>
        <w:t xml:space="preserve"> (e.g., </w:t>
      </w:r>
      <w:r w:rsidRPr="009672FC">
        <w:rPr>
          <w:rFonts w:ascii="Garamond" w:hAnsi="Garamond"/>
          <w:sz w:val="24"/>
          <w:szCs w:val="24"/>
          <w:shd w:val="clear" w:color="auto" w:fill="FFFFFF"/>
        </w:rPr>
        <w:fldChar w:fldCharType="begin" w:fldLock="1"/>
      </w:r>
      <w:r w:rsidR="00813D37" w:rsidRPr="009672FC">
        <w:rPr>
          <w:rFonts w:ascii="Garamond" w:hAnsi="Garamond"/>
          <w:sz w:val="24"/>
          <w:szCs w:val="24"/>
          <w:shd w:val="clear" w:color="auto" w:fill="FFFFFF"/>
        </w:rPr>
        <w:instrText>ADDIN CSL_CITATION {"citationItems":[{"id":"ITEM-1","itemData":{"DOI":"10.1016/j.ijproman.2007.01.003","author":[{"dropping-particle":"","family":"Kadefors","given":"Anna","non-dropping-particle":"","parse-names":false,"suffix":""},{"dropping-particle":"","family":"Bjo","given":"Emma","non-dropping-particle":"","parse-names":false,"suffix":""},{"dropping-particle":"","family":"Karlsson","given":"Andreas","non-dropping-particle":"","parse-names":false,"suffix":""}],"container-title":"International Journal of Project Management","id":"ITEM-1","issued":{"date-parts":[["2007"]]},"page":"375-385","title":"Procuring service innovations: Contractor selection for partnering projects","type":"article-journal","volume":"25"},"uris":["http://www.mendeley.com/documents/?uuid=2b516d0c-ac65-4191-9b85-1d392ee2df26"]}],"mendeley":{"formattedCitation":"(Kadefors et al., 2007)","manualFormatting":"Kadefors, Bjo and Karlsson, 2007)","plainTextFormattedCitation":"(Kadefors et al., 2007)","previouslyFormattedCitation":"(Kadefors, Bjo and Karlsson, 2007)"},"properties":{"noteIndex":0},"schema":"https://github.com/citation-style-language/schema/raw/master/csl-citation.json"}</w:instrText>
      </w:r>
      <w:r w:rsidRPr="009672FC">
        <w:rPr>
          <w:rFonts w:ascii="Garamond" w:hAnsi="Garamond"/>
          <w:sz w:val="24"/>
          <w:szCs w:val="24"/>
          <w:shd w:val="clear" w:color="auto" w:fill="FFFFFF"/>
        </w:rPr>
        <w:fldChar w:fldCharType="separate"/>
      </w:r>
      <w:r w:rsidRPr="009672FC">
        <w:rPr>
          <w:rFonts w:ascii="Garamond" w:hAnsi="Garamond"/>
          <w:noProof/>
          <w:sz w:val="24"/>
          <w:szCs w:val="24"/>
          <w:shd w:val="clear" w:color="auto" w:fill="FFFFFF"/>
        </w:rPr>
        <w:t>Kadefors, Bjo and Karlsson, 2007)</w:t>
      </w:r>
      <w:r w:rsidRPr="009672FC">
        <w:rPr>
          <w:rFonts w:ascii="Garamond" w:hAnsi="Garamond"/>
          <w:sz w:val="24"/>
          <w:szCs w:val="24"/>
          <w:shd w:val="clear" w:color="auto" w:fill="FFFFFF"/>
        </w:rPr>
        <w:fldChar w:fldCharType="end"/>
      </w:r>
      <w:r w:rsidRPr="009672FC">
        <w:rPr>
          <w:rFonts w:ascii="Garamond" w:hAnsi="Garamond"/>
          <w:sz w:val="24"/>
          <w:szCs w:val="24"/>
          <w:shd w:val="clear" w:color="auto" w:fill="FFFFFF"/>
        </w:rPr>
        <w:t>. Scholars caution that care must be taken to avoid the potential of interfirm competition/rivalry during collaborative partnerships (</w:t>
      </w:r>
      <w:r w:rsidRPr="009672FC">
        <w:rPr>
          <w:rFonts w:ascii="Garamond" w:hAnsi="Garamond"/>
          <w:sz w:val="24"/>
          <w:szCs w:val="24"/>
        </w:rPr>
        <w:t xml:space="preserve">Velu, 2015). </w:t>
      </w:r>
    </w:p>
    <w:p w14:paraId="28B31134" w14:textId="30A3FC35" w:rsidR="005C5F35" w:rsidRPr="009672FC" w:rsidRDefault="007549AA" w:rsidP="005C5F35">
      <w:pPr>
        <w:pStyle w:val="MDPI18keywords"/>
        <w:spacing w:line="360" w:lineRule="auto"/>
        <w:ind w:left="0"/>
        <w:rPr>
          <w:rFonts w:ascii="Garamond" w:hAnsi="Garamond"/>
          <w:sz w:val="24"/>
          <w:szCs w:val="24"/>
          <w:lang w:val="en-GB"/>
        </w:rPr>
      </w:pPr>
      <w:r w:rsidRPr="009672FC">
        <w:rPr>
          <w:rFonts w:ascii="Garamond" w:hAnsi="Garamond"/>
          <w:i/>
          <w:iCs/>
          <w:sz w:val="24"/>
          <w:szCs w:val="24"/>
        </w:rPr>
        <w:t>Stakeholder participation.</w:t>
      </w:r>
      <w:r w:rsidRPr="009672FC">
        <w:rPr>
          <w:rFonts w:ascii="Garamond" w:hAnsi="Garamond"/>
          <w:sz w:val="24"/>
          <w:szCs w:val="24"/>
        </w:rPr>
        <w:t xml:space="preserve"> Scholars recognized </w:t>
      </w:r>
      <w:r w:rsidRPr="009672FC">
        <w:rPr>
          <w:rFonts w:ascii="Garamond" w:hAnsi="Garamond"/>
          <w:sz w:val="24"/>
          <w:szCs w:val="24"/>
          <w:lang w:val="en-GB"/>
        </w:rPr>
        <w:t xml:space="preserve">project stakeholders are important for the success of an inter-firm project, because, they constitute key contributors of projects resources (financial and nonfinancial resources); drafters of project performance indicators, and finally their resistance may cause various risks which may negatively affect the success of the project </w:t>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{"citationItems":[{"id":"ITEM-1","itemData":{"DOI":"10.1177/0149206308324322","ISBN":"2044747553","author":[{"dropping-particle":"","family":"Laplume","given":"André O","non-dropping-particle":"","parse-names":false,"suffix":""},{"dropping-particle":"","family":"Litz","given":"Reginald A","non-dropping-particle":"","parse-names":false,"suffix":""},{"dropping-particle":"","family":"Sonpar","given":"Karan","non-dropping-particle":"","parse-names":false,"suffix":""}],"container-title":"Journal of Management","id":"ITEM-1","issue":"6","issued":{"date-parts":[["2008"]]},"page":"1152-1189","title":"Stakeholder Theory : Reviewing a Theory That Moves Us","type":"article-journal","volume":"34"},"uris":["http://www.mendeley.com/documents/?uuid=a75d2fec-ba7b-4631-9ec9-2445678ed974"]}],"mendeley":{"formattedCitation":"(Laplume, Litz, &amp; Sonpar, 2008)","manualFormatting":"(Frooman, 1999; Laplume, Litz and Sonpar, 2008; Nowell, 2009;","plainTextFormattedCitation":"(Laplume, Litz, &amp; Sonpar, 2008)","previouslyFormattedCitation":"(Laplume et al., 2008)"},"properties":{"noteIndex":0},"schema":"https://github.com/citation-style-language/schema/raw/master/csl-citation.json"}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{"citationItems":[{"id":"ITEM-1","itemData":{"author":[{"dropping-particle":"","family":"Frooman","given":"Jeff","non-dropping-particle":"","parse-names":false,"suffix":""}],"container-title":"The Academy of Management Review","id":"ITEM-1","issue":"2","issued":{"date-parts":[["1999"]]},"page":"191-205","title":"Stakeholder Influence Strategies","type":"article-journal","volume":"24"},"uris":["http://www.mendeley.com/documents/?uuid=7f5227b2-2e0b-448e-945b-3aef3b286e7d"]}],"mendeley":{"formattedCitation":"(Frooman, 1999)","manualFormatting":"Frooman, 1999;","plainTextFormattedCitation":"(Frooman, 1999)","previouslyFormattedCitation":"(Frooman, 1999)"},"properties":{"noteIndex":0},"schema":"https://github.com/citation-style-language/schema/raw/master/csl-citation.json"}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Frooman, 1999;</w:t>
      </w:r>
      <w:r w:rsidRPr="009672FC">
        <w:rPr>
          <w:rFonts w:ascii="Garamond" w:hAnsi="Garamond"/>
          <w:noProof/>
          <w:sz w:val="24"/>
          <w:szCs w:val="24"/>
          <w:lang w:val="en-GB"/>
        </w:rPr>
        <w:fldChar w:fldCharType="end"/>
      </w:r>
      <w:r w:rsidRPr="009672FC">
        <w:rPr>
          <w:rFonts w:ascii="Garamond" w:hAnsi="Garamond"/>
          <w:noProof/>
          <w:sz w:val="24"/>
          <w:szCs w:val="24"/>
          <w:lang w:val="en-GB"/>
        </w:rPr>
        <w:t xml:space="preserve"> Laplume, Litz and Sonpar, 2008; </w:t>
      </w:r>
      <w:r w:rsidRPr="009672FC">
        <w:rPr>
          <w:rFonts w:ascii="Garamond" w:hAnsi="Garamond"/>
          <w:noProof/>
          <w:sz w:val="20"/>
        </w:rPr>
        <w:fldChar w:fldCharType="begin" w:fldLock="1"/>
      </w:r>
      <w:r w:rsidRPr="009672FC">
        <w:rPr>
          <w:rFonts w:ascii="Garamond" w:hAnsi="Garamond"/>
          <w:noProof/>
          <w:sz w:val="24"/>
          <w:szCs w:val="24"/>
          <w:lang w:val="en-GB"/>
        </w:rPr>
        <w:instrText>ADDIN CSL_CITATION {"citationItems":[{"id":"ITEM-1","itemData":{"DOI":"10.1007/s10464-009-9276-2","ISSN":"00910562","abstract":"In response to increasing demands for greater coordination and collaboration among community institutions, interorganizational collaboratives (i. e., coalitions, partnerships, coordinating councils) have emerged as a popular mechanism for strengthening the capacity of a community system to respond to public and social issues. This study adopts a network approach to explore the relative importance of dense networks of cooperative relationships among members of interorganizational collaboratives for two outcomes of effectiveness: improving interorganizational coordination and fostering systems change. Based on survey and social network data collected from 48 different collaboratives, findings indicate that, relative to other key characteristics of collaboratives identified in previous literature, cooperative stakeholder relationships were the strongest predictor of systems change outcomes. However, for coordination outcomes, stakeholder relationships were overshadowed in importance by the leadership and decision making capacity of the collaborative. Collectively, findings suggest key differences in the requisite capacity profiles for coordination and systems change outcomes. © 2009 Society for Community Research and Action.","author":[{"dropping-particle":"","family":"Nowell","given":"Branda","non-dropping-particle":"","parse-names":false,"suffix":""}],"container-title":"American Journal of Community Psychology","id":"ITEM-1","issue":"3","issued":{"date-parts":[["2009"]]},"page":"196-212","title":"Profiling capacity for coordination and systems change: The relative contribution of stakeholder relationships in interorganizational collaboratives","type":"article-journal","volume":"44"},"uris":["http://www.mendeley.com/documents/?uuid=b79d990d-9888-4476-8c93-15eea5388280"]}],"mendeley":{"formattedCitation":"(Nowell, 2009)","manualFormatting":"Nowell, 2009;","plainTextFormattedCitation":"(Nowell, 2009)","previouslyFormattedCitation":"(Nowell, 2009)"},"properties":{"noteIndex":0},"schema":"https://github.com/citation-style-language/schema/raw/master/csl-citation.json"}</w:instrText>
      </w:r>
      <w:r w:rsidRPr="009672FC">
        <w:rPr>
          <w:rFonts w:ascii="Garamond" w:hAnsi="Garamond"/>
          <w:noProof/>
          <w:sz w:val="24"/>
          <w:szCs w:val="24"/>
          <w:lang w:val="en-GB"/>
        </w:rPr>
        <w:fldChar w:fldCharType="separate"/>
      </w:r>
      <w:r w:rsidRPr="009672FC">
        <w:rPr>
          <w:rFonts w:ascii="Garamond" w:hAnsi="Garamond"/>
          <w:noProof/>
          <w:sz w:val="24"/>
          <w:szCs w:val="24"/>
          <w:lang w:val="en-GB"/>
        </w:rPr>
        <w:t>Nowell, 2009;</w:t>
      </w:r>
      <w:r w:rsidRPr="009672FC">
        <w:rPr>
          <w:rFonts w:ascii="Garamond" w:hAnsi="Garamond"/>
          <w:noProof/>
          <w:sz w:val="24"/>
          <w:szCs w:val="24"/>
          <w:lang w:val="en-GB"/>
        </w:rPr>
        <w:fldChar w:fldCharType="end"/>
      </w:r>
      <w:r w:rsidRPr="009672FC">
        <w:rPr>
          <w:rFonts w:ascii="Garamond" w:hAnsi="Garamond"/>
          <w:sz w:val="24"/>
          <w:szCs w:val="24"/>
          <w:lang w:val="en-GB"/>
        </w:rPr>
        <w:fldChar w:fldCharType="end"/>
      </w:r>
      <w:r w:rsidRPr="009672FC">
        <w:rPr>
          <w:rFonts w:ascii="Garamond" w:hAnsi="Garamond"/>
          <w:sz w:val="20"/>
        </w:rPr>
        <w:fldChar w:fldCharType="begin" w:fldLock="1"/>
      </w:r>
      <w:r w:rsidR="00813D37" w:rsidRPr="009672FC">
        <w:rPr>
          <w:rFonts w:ascii="Garamond" w:hAnsi="Garamond"/>
          <w:sz w:val="24"/>
          <w:szCs w:val="24"/>
          <w:lang w:val="en-GB"/>
        </w:rPr>
        <w:instrText>ADDIN CSL_CITATION {"citationItems":[{"id":"ITEM-1","itemData":{"DOI":"10.1016/j.indmarman.2016.03.005","ISSN":"00198501","abstract":"To develop innovative solutions for complex societal and scientific challenges, organizations need to move beyond the boundaries of single firms and engage in collaborative networks. In these networks, multiple, diverse stakeholders are working together to co-create innovative value. Co-creation in a network creates new challenges in terms of changed processes and outcomes. Guided by grounded theory methodology, we explore these aspects by studying a public–private partnership involving 57 stakeholders. We take the number and diversity of stakeholders into account to shed light on the distinct processes through which value is co-created and captured. We also identify the types of value outcomes that accrue to the network and its participants. Overall, we present a multi-level cyclical process framework for leveraging value in multi-stakeholder collaborations and visualize these collaborations as a value space in which all stakeholders are uniquely positioned. In doing so, this study provides novel insights into the systemic, multi-actor nature of value co-creation and supports collaborators in maximizing value for both individual stakeholders and the network as a whole.","author":[{"dropping-particle":"","family":"Reypens","given":"Charlotte","non-dropping-particle":"","parse-names":false,"suffix":""},{"dropping-particle":"","family":"Lievens","given":"Annouk","non-dropping-particle":"","parse-names":false,"suffix":""},{"dropping-particle":"","family":"Blazevic","given":"Vera","non-dropping-particle":"","parse-names":false,"suffix":""}],"container-title":"Industrial Marketing Management","id":"ITEM-1","issued":{"date-parts":[["2016"]]},"page":"40-50","publisher":"Elsevier Inc.","title":"Leveraging value in multi-stakeholder innovation networks: A process framework for value co-creation and capture","type":"article-journal","volume":"56"},"uris":["http://www.mendeley.com/documents/?uuid=a6f6b3ed-5e16-4c14-aad0-e7c366a6e4ca"]}],"mendeley":{"formattedCitation":"(Reypens, Lievens, &amp; Blazevic, 2016)","manualFormatting":" Reypens, Lievens and Blazevic, 2016)","plainTextFormattedCitation":"(Reypens, Lievens, &amp; Blazevic, 2016)","previouslyFormattedCitation":"(Reypens et al., 2016)"},"properties":{"noteIndex":0},"schema":"https://github.com/citation-style-language/schema/raw/master/csl-citation.json"}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 xml:space="preserve"> Reypens, Lievens and Blazevic, 2016)</w:t>
      </w:r>
      <w:r w:rsidRPr="009672FC">
        <w:rPr>
          <w:rFonts w:ascii="Garamond" w:hAnsi="Garamond"/>
          <w:sz w:val="24"/>
          <w:szCs w:val="24"/>
          <w:lang w:val="en-GB"/>
        </w:rPr>
        <w:fldChar w:fldCharType="end"/>
      </w:r>
      <w:r w:rsidRPr="009672FC">
        <w:rPr>
          <w:rFonts w:ascii="Garamond" w:hAnsi="Garamond"/>
          <w:sz w:val="24"/>
          <w:szCs w:val="24"/>
          <w:lang w:val="en-GB"/>
        </w:rPr>
        <w:t xml:space="preserve">. Network stakeholders play diverse roles which make them crucial to network project success. </w:t>
      </w:r>
      <w:r w:rsidRPr="009672FC">
        <w:rPr>
          <w:rFonts w:ascii="Garamond" w:hAnsi="Garamond"/>
          <w:sz w:val="24"/>
          <w:szCs w:val="24"/>
        </w:rPr>
        <w:t xml:space="preserve">Thus, effective engagement </w:t>
      </w:r>
      <w:r w:rsidR="00CF726B" w:rsidRPr="009672FC">
        <w:rPr>
          <w:rFonts w:ascii="Garamond" w:hAnsi="Garamond"/>
          <w:sz w:val="24"/>
          <w:szCs w:val="24"/>
        </w:rPr>
        <w:t xml:space="preserve">with </w:t>
      </w:r>
      <w:r w:rsidRPr="009672FC">
        <w:rPr>
          <w:rFonts w:ascii="Garamond" w:hAnsi="Garamond"/>
          <w:sz w:val="24"/>
          <w:szCs w:val="24"/>
        </w:rPr>
        <w:t xml:space="preserve">various stakeholders bring about the creation of </w:t>
      </w:r>
      <w:r w:rsidRPr="009672FC">
        <w:rPr>
          <w:rFonts w:ascii="Garamond" w:hAnsi="Garamond"/>
          <w:sz w:val="24"/>
          <w:szCs w:val="24"/>
          <w:lang w:val="en-GB"/>
        </w:rPr>
        <w:t>common narratives and shared best practices, thus overcoming the structural challenges of conflict of interest, communication, and interpretation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{"citationItems":[{"id":"ITEM-1","itemData":{"DOI":"10.1016/j.techfore.2015.11.027","ISSN":"00401625","abstract":"Over the last decade, social capital concept has received considerable amount of research being regarded as an important value creation mechanism. However, we still have limited understanding about the nature of interaction between the dimensions of this capital, and how it can be useful in mitigating the impediments evolving during government-sponsored (i.e., engineered) university-industry collaboration (UIC). In this paper, we address the previous gap by analyzing the dynamics of social capital dimensions during the preformation and postformation stages of UIC. The paper relies on a unique context that comprises five embedded case studies of UIC for technology transfer: the Faraday Partnership Initiative, a UK government-backed novel scheme for enhancing innovation. The analysis shows that the impact and interaction of the dimensions were not static but rather varying over time. Further, we present a new value creation framework for social capital through mapping its power in reducing the intensity of difficulties emerged during the collaboration lifetime. We also identify two facilitating factors as critical in creating and maintaining social capital in engineered UIC. The present study thus contributes to a deeper understanding of the value of inter-organizational social capital.","author":[{"dropping-particle":"","family":"Al-Tabbaa","given":"Omar","non-dropping-particle":"","parse-names":false,"suffix":""},{"dropping-particle":"","family":"Ankrah","given":"Samuel","non-dropping-particle":"","parse-names":false,"suffix":""}],"container-title":"Technological Forecasting and Social Change","id":"ITEM-1","issued":{"date-parts":[["2016"]]},"page":"1-15","publisher":"The Authors","title":"Social capital to facilitate 'engineered' university-industry collaboration for technology transfer: A dynamic perspective","type":"article-journal","volume":"104"},"uris":["http://www.mendeley.com/documents/?uuid=2ce395ae-2a21-41f3-ab20-acb63595b838"]}],"mendeley":{"formattedCitation":"(Al-Tabbaa &amp; Ankrah, 2016)","manualFormatting":"Al-Tabbaa and Ankrah, 2016)","plainTextFormattedCitation":"(Al-Tabbaa &amp; Ankrah, 2016)","previouslyFormattedCitation":"(Al-Tabbaa &amp; Ankrah, 2016)"},"properties":{"noteIndex":0},"schema":"https://github.com/citation-style-language/schema/raw/master/csl-citation.json"}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Al-Tabbaa and Ankrah, 2016)</w:t>
      </w:r>
      <w:r w:rsidRPr="009672FC">
        <w:rPr>
          <w:rFonts w:ascii="Garamond" w:hAnsi="Garamond"/>
          <w:sz w:val="24"/>
          <w:szCs w:val="24"/>
          <w:lang w:val="en-GB"/>
        </w:rPr>
        <w:fldChar w:fldCharType="end"/>
      </w:r>
      <w:r w:rsidRPr="009672FC">
        <w:rPr>
          <w:rFonts w:ascii="Garamond" w:hAnsi="Garamond"/>
          <w:sz w:val="24"/>
          <w:szCs w:val="24"/>
          <w:lang w:val="en-GB"/>
        </w:rPr>
        <w:t>.</w:t>
      </w:r>
    </w:p>
    <w:p w14:paraId="373CD88F" w14:textId="19F4E1E4" w:rsidR="005C5F35" w:rsidRPr="009672FC" w:rsidRDefault="005C5F35" w:rsidP="005C5F35">
      <w:pPr>
        <w:pStyle w:val="MDPI18keywords"/>
        <w:spacing w:line="360" w:lineRule="auto"/>
        <w:ind w:left="0"/>
        <w:rPr>
          <w:rFonts w:ascii="Garamond" w:hAnsi="Garamond"/>
          <w:sz w:val="24"/>
          <w:szCs w:val="24"/>
          <w:lang w:val="en-GB"/>
        </w:rPr>
      </w:pPr>
      <w:r w:rsidRPr="009672FC">
        <w:rPr>
          <w:rFonts w:ascii="Garamond" w:hAnsi="Garamond"/>
          <w:sz w:val="24"/>
          <w:szCs w:val="24"/>
          <w:lang w:val="en-GB"/>
        </w:rPr>
        <w:lastRenderedPageBreak/>
        <w:t>Recent studies ha</w:t>
      </w:r>
      <w:r w:rsidR="002663FA" w:rsidRPr="009672FC">
        <w:rPr>
          <w:rFonts w:ascii="Garamond" w:hAnsi="Garamond"/>
          <w:sz w:val="24"/>
          <w:szCs w:val="24"/>
          <w:lang w:val="en-GB"/>
        </w:rPr>
        <w:t>ve</w:t>
      </w:r>
      <w:r w:rsidRPr="009672FC">
        <w:rPr>
          <w:rFonts w:ascii="Garamond" w:hAnsi="Garamond"/>
          <w:sz w:val="24"/>
          <w:szCs w:val="24"/>
          <w:lang w:val="en-GB"/>
        </w:rPr>
        <w:t xml:space="preserve"> it that </w:t>
      </w:r>
      <w:r w:rsidRPr="009672FC">
        <w:rPr>
          <w:rFonts w:ascii="Garamond" w:hAnsi="Garamond"/>
          <w:sz w:val="24"/>
          <w:szCs w:val="24"/>
        </w:rPr>
        <w:t xml:space="preserve">for SMEs and start-ups, participation in the network collaborative process poses unique challenges. Managers must thus learn quickly to adapt the network sensemaking practices to harness network resources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{"citationItems":[{"id":"ITEM-1","itemData":{"DOI":"10.1016/j.indmarman.2017.11.011","ISSN":"00198501","abstract":"Start-up firms are notoriously resource and time poor. One way of addressing these deficits is to develop strategic capability to access, activate and co-shape resources with other firms in the start-up's network. The capability literature assumes such a development is inevitable, provided a start-up survives. But developing network capability depends on the managers of other firms, the deepening managerial understanding of business relationships, and the ability of the start-up managers to adjust to and understand interdependence in networks. We present a processual model of how managerial understanding of network capability develops, comprising of three parts each building on the earlier: (i) in relationships, (ii) through relationships and (iii) in the network. The model was inductively developed from a longitudinal study of a start-up firm. Also, two sensemaking processes were found to predominate – problem solving and social-cognitive processes. Our model highlights the role of the start-up manager in sensemaking with managers across a number of firms to resolve commercial problems. Thus, the independence many start-up managers seek must turn towards interdependence. Second, managers' temporal horizons and the specific temporal profile of events and activities inside the involved business relationships are important in understanding and developing, with other firms, network capability.","author":[{"dropping-particle":"","family":"McGrath","given":"H.","non-dropping-particle":"","parse-names":false,"suffix":""},{"dropping-particle":"","family":"Medlin","given":"Christopher J.","non-dropping-particle":"","parse-names":false,"suffix":""},{"dropping-particle":"","family":"O'Toole","given":"Thomas","non-dropping-particle":"","parse-names":false,"suffix":""}],"container-title":"Industrial Marketing Management","id":"ITEM-1","issue":"December 2015","issued":{"date-parts":[["2019"]]},"page":"214-227","publisher":"Elsevier","title":"A process-based model of network capability development by a start-up firm","type":"article-journal","volume":"80"},"uris":["http://www.mendeley.com/documents/?uuid=71bdbd4e-e0f9-4adf-bb02-7eeaa7902fe6"]}],"mendeley":{"formattedCitation":"(McGrath, Medlin, &amp; O’Toole, 2019)","plainTextFormattedCitation":"(McGrath, Medlin, &amp; O’Toole, 2019)","previouslyFormattedCitation":"(McGrath, Medlin and O’Toole, 2019)"},"properties":{"noteIndex":0},"schema":"https://github.com/citation-style-language/schema/raw/master/csl-citation.json"}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(McGrath, Medlin, &amp; O’Toole, 2019)</w:t>
      </w:r>
      <w:r w:rsidRPr="009672FC">
        <w:rPr>
          <w:rFonts w:ascii="Garamond" w:hAnsi="Garamond"/>
          <w:sz w:val="24"/>
          <w:szCs w:val="24"/>
        </w:rPr>
        <w:fldChar w:fldCharType="end"/>
      </w:r>
      <w:r w:rsidRPr="009672FC">
        <w:rPr>
          <w:rFonts w:ascii="Garamond" w:hAnsi="Garamond"/>
          <w:sz w:val="24"/>
          <w:szCs w:val="24"/>
        </w:rPr>
        <w:t xml:space="preserve"> while contributing to network-level innovations.</w:t>
      </w:r>
    </w:p>
    <w:p w14:paraId="6FA8F54D" w14:textId="65086185" w:rsidR="003D5DE8" w:rsidRPr="009672FC" w:rsidRDefault="007549AA">
      <w:pPr>
        <w:pStyle w:val="MDPI18keywords"/>
        <w:numPr>
          <w:ilvl w:val="2"/>
          <w:numId w:val="8"/>
        </w:numPr>
        <w:spacing w:line="360" w:lineRule="auto"/>
        <w:outlineLvl w:val="2"/>
        <w:rPr>
          <w:rFonts w:ascii="Garamond" w:hAnsi="Garamond"/>
          <w:b/>
          <w:bCs/>
          <w:sz w:val="24"/>
          <w:szCs w:val="24"/>
          <w:lang w:val="en-GB"/>
        </w:rPr>
      </w:pPr>
      <w:bookmarkStart w:id="61" w:name="_Toc85708714"/>
      <w:bookmarkStart w:id="62" w:name="_Toc85709729"/>
      <w:r w:rsidRPr="009672FC">
        <w:rPr>
          <w:rFonts w:ascii="Garamond" w:hAnsi="Garamond"/>
          <w:b/>
          <w:bCs/>
          <w:i/>
          <w:iCs/>
          <w:sz w:val="24"/>
          <w:szCs w:val="24"/>
        </w:rPr>
        <w:t>Network Management</w:t>
      </w:r>
      <w:bookmarkEnd w:id="61"/>
      <w:bookmarkEnd w:id="62"/>
    </w:p>
    <w:p w14:paraId="413012F9" w14:textId="3B501494" w:rsidR="005C5F35" w:rsidRPr="009672FC" w:rsidRDefault="007549AA" w:rsidP="00CF726B">
      <w:pPr>
        <w:pStyle w:val="MDPI18keywords"/>
        <w:spacing w:line="360" w:lineRule="auto"/>
        <w:ind w:left="0"/>
        <w:rPr>
          <w:rFonts w:ascii="Garamond" w:hAnsi="Garamond"/>
          <w:sz w:val="24"/>
          <w:szCs w:val="24"/>
        </w:rPr>
      </w:pPr>
      <w:r w:rsidRPr="009672FC">
        <w:rPr>
          <w:rFonts w:ascii="Garamond" w:hAnsi="Garamond"/>
          <w:i/>
          <w:iCs/>
          <w:sz w:val="24"/>
          <w:szCs w:val="24"/>
        </w:rPr>
        <w:t>Leadership.</w:t>
      </w:r>
      <w:r w:rsidRPr="009672FC">
        <w:rPr>
          <w:rFonts w:ascii="Garamond" w:hAnsi="Garamond"/>
          <w:sz w:val="24"/>
          <w:szCs w:val="24"/>
        </w:rPr>
        <w:t xml:space="preserve"> Numerous scholars recognize top management as a driver of inter-firm project leadership (such as joint-innovation strategy, project staffing and team-building)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{"citationItems":[{"id":"ITEM-1","itemData":{"DOI":"10.2478/ijme-2018-0014","abstract":"Purpose – This study aimed to assess the impact of director-generals’ human and social capitals on the organizational performance of farmers’ cooperatives in Fujian Province. Design/Methodology/Approach – Questionnaire survey data of 303 standard cooperatives in nine cities of Fujian Province were statistically analyzed.Findings – We identified that director-generals’ human and social capitals affect all four dimensions of cooperative performance, through the mediating role of management effectiveness.Practical Implications – We offer suggestions and measures for improving cooperatives’ performance by enhancing the human and social capitals of director-generals. Based on China’s national conditions, we propose measures to improve director-generals’ human and social capitals by the Internal trust, Government policy support, and Business network (IGB) model, which emphasizes establishing a social network of cooperatives’ director-generals, accumulating social capital, and promoting cooperative development through internal members, government departments, and commercial organizations.","author":[{"dropping-particle":"","family":"Liu","given":"Bin","non-dropping-particle":"","parse-names":false,"suffix":""},{"dropping-particle":"","family":"Li","given":"Zhongbin","non-dropping-particle":"","parse-names":false,"suffix":""}],"container-title":"International Journal of Management and Economics","id":"ITEM-1","issue":"2","issued":{"date-parts":[["2018"]]},"page":"149-165","title":"Director-Generals’ Human and Social Capital, and Management Performance of Farmers’ Cooperatives: Evidence from China’s Fujian","type":"article-journal","volume":"54"},"uris":["http://www.mendeley.com/documents/?uuid=70487db3-cfd2-48cb-8ae2-31562c40bae9"]}],"mendeley":{"formattedCitation":"(B. Liu &amp; Li, 2018)","manualFormatting":"Aga, Noorderhaven and Vallejo, 2016; Liu and Li, 2018; Pinto, Slevin and English, 2009)","plainTextFormattedCitation":"(B. Liu &amp; Li, 2018)","previouslyFormattedCitation":"(B. Liu &amp; Li,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0"/>
        </w:rPr>
        <w:fldChar w:fldCharType="begin" w:fldLock="1"/>
      </w:r>
      <w:r w:rsidR="00813D37" w:rsidRPr="009672FC">
        <w:rPr>
          <w:rFonts w:ascii="Garamond" w:hAnsi="Garamond"/>
          <w:noProof/>
          <w:sz w:val="24"/>
          <w:szCs w:val="24"/>
        </w:rPr>
        <w:instrText>ADDIN CSL_CITATION {"citationItems":[{"id":"ITEM-1","itemData":{"DOI":"10.1016/j.ijproman.2016.02.012","ISSN":"02637863","abstract":"Although the effect of transformational leadership on project success is empirically supported, less is known about the mechanisms that explain this effect. To address this issue, we propose the mediating role of team-building as a possible explanation of the relationship between transformational leadership and project success. Based on a field survey of 200 development project managers in the Ethiopian Non-Governmental Organization (NGO) sector, the results of our study indicate that team-building partially mediates the effect of transformational leadership on project success. We discuss the theoretical and practical implications of these findings.","author":[{"dropping-particle":"","family":"Aga","given":"D. A.","non-dropping-particle":"","parse-names":false,"suffix":""},{"dropping-particle":"","family":"Noorderhaven","given":"N.","non-dropping-particle":"","parse-names":false,"suffix":""},{"dropping-particle":"","family":"Vallejo","given":"B.","non-dropping-particle":"","parse-names":false,"suffix":""}],"container-title":"International Journal of Project Management","id":"ITEM-1","issue":"5","issued":{"date-parts":[["2016"]]},"page":"806-818","publisher":"Elsevier Ltd and Association for Project Management and the International Project Management Association","title":"Transformational leadership and project success: The mediating role of team-building","type":"article-journal","volume":"34"},"uris":["http://www.mendeley.com/documents/?uuid=119907fa-81ba-4cab-939a-298630d1c403"]}],"mendeley":{"formattedCitation":"(Aga, Noorderhaven, &amp; Vallejo, 2016)","manualFormatting":"Aga, Noorderhaven and Vallejo, 2016;","plainTextFormattedCitation":"(Aga, Noorderhaven, &amp; Vallejo, 2016)","previouslyFormattedCitation":"(Aga et al., 2016)"},"properties":{"noteIndex":0},"schema":"https://github.com/citation-style-language/schema/raw/master/csl-citation.json"}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Aga, Noorderhaven and Vallejo, 2016;</w:t>
      </w:r>
      <w:r w:rsidRPr="009672FC">
        <w:rPr>
          <w:rFonts w:ascii="Garamond" w:hAnsi="Garamond"/>
          <w:noProof/>
          <w:sz w:val="24"/>
          <w:szCs w:val="24"/>
        </w:rPr>
        <w:fldChar w:fldCharType="end"/>
      </w:r>
      <w:r w:rsidRPr="009672FC">
        <w:rPr>
          <w:rFonts w:ascii="Garamond" w:hAnsi="Garamond"/>
          <w:noProof/>
          <w:sz w:val="24"/>
          <w:szCs w:val="24"/>
        </w:rPr>
        <w:t xml:space="preserve"> Liu and Li, 2018; </w:t>
      </w:r>
      <w:r w:rsidRPr="009672FC">
        <w:rPr>
          <w:rFonts w:ascii="Garamond" w:hAnsi="Garamond"/>
          <w:noProof/>
          <w:sz w:val="20"/>
        </w:rPr>
        <w:fldChar w:fldCharType="begin" w:fldLock="1"/>
      </w:r>
      <w:r w:rsidR="00813D37" w:rsidRPr="009672FC">
        <w:rPr>
          <w:rFonts w:ascii="Garamond" w:hAnsi="Garamond"/>
          <w:noProof/>
          <w:sz w:val="24"/>
          <w:szCs w:val="24"/>
        </w:rPr>
        <w:instrText>ADDIN CSL_CITATION {"citationItems":[{"id":"ITEM-1","itemData":{"DOI":"10.1016/j.ijproman.2008.09.010","ISSN":"02637863","abstract":"A great deal of literature has pointed to the importance of trust as a facilitator of positive relationships among project stakeholders. Trust is argued to enhance a variety of intra-organizational relationships, including project team dynamics, top management support, and coordination across functional departments. Likewise, trust is argued to improve the inter-organizational relationships among principal actors in project development, such as contractors, owners, and suppliers. This paper reports on the results of an empirical study that investigated the impact of trust between project owners and contractors in a number of large construction projects in Canada. We operationalized trust along the Hartman [Hartman FT. The role of trust in project management. In: Slevin DP, Cleland DI, Pinto JK, editors. The frontiers of project management research. Newtown Square, PA: Project Management Institute; 2002, p. 225-35] dimensions as incorporating both competence and integrity and compared the perspectives of project contractors and owners. Using regression and path analysis, we analyzed the differential effects of competence and integrity trust on enhanced owner/contractor relationships and project success. Our findings indicate that trust has different meanings for contractors and owners, as its impact on satisfaction with the relationship and positive project outcomes varies depending upon which group is surveyed. © 2008 Elsevier Ltd and IPMA.","author":[{"dropping-particle":"","family":"Pinto","given":"Jeffrey K.","non-dropping-particle":"","parse-names":false,"suffix":""},{"dropping-particle":"","family":"Slevin","given":"Dennis P.","non-dropping-particle":"","parse-names":false,"suffix":""},{"dropping-particle":"","family":"English","given":"Brent","non-dropping-particle":"","parse-names":false,"suffix":""}],"container-title":"International Journal of Project Management","id":"ITEM-1","issue":"6","issued":{"date-parts":[["2009"]]},"page":"638-648","publisher":"Elsevier Ltd and IPMA","title":"Trust in projects: An empirical assessment of owner/contractor relationships","type":"article-journal","volume":"27"},"uris":["http://www.mendeley.com/documents/?uuid=e6483679-fa52-414b-a769-5a22b04d6210"]}],"mendeley":{"formattedCitation":"(Pinto, Slevin, &amp; English, 2009)","manualFormatting":"Pinto, Slevin and English, 2009)","plainTextFormattedCitation":"(Pinto, Slevin, &amp; English, 2009)","previouslyFormattedCitation":"(Pinto et al., 2009)"},"properties":{"noteIndex":0},"schema":"https://github.com/citation-style-language/schema/raw/master/csl-citation.json"}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Pinto, Slevin and English, 2009)</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Unlike other forms of organization, inter-firm innovation projects are temporal, and thus HRM planning such as attracting, maintaining and developing human resources to ensure the successful implementation of innovation projects is at the heart of project leadership innovation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{"citationItems":[{"id":"ITEM-1","itemData":{"DOI":"10.1016/j.ijproman.2009.11.006","ISSN":"02637863","abstract":"The importance of trust in projects that involve multiple project partners is widely acknowledged. This research analyzes both outcomes and antecedents of trust in inter-organizational projects. On the outcome side, the findings show that trust between project team members working on an inter-organizational project positively impacts the acquisition of external knowledge which, in turn, promotes product innovation. With respect to the antecedents of trust data reveal that a stable pool of project team members and objective project reward criteria facilitate the formation of inter-organizational trust. © 2009 Elsevier Ltd and IPMA.","author":[{"dropping-particle":"","family":"Maurer","given":"Indre","non-dropping-particle":"","parse-names":false,"suffix":""}],"container-title":"International Journal of Project Management","id":"ITEM-1","issue":"7","issued":{"date-parts":[["2010"]]},"page":"629-637","publisher":"Elsevier Ltd and IPMA","title":"How to build trust in inter-organizational projects: The impact of project staffing and project rewards on the formation of trust, knowledge acquisition and product innovation","type":"article-journal","volume":"28"},"uris":["http://www.mendeley.com/documents/?uuid=9f0794b5-78d2-487e-bf74-762e7e028353"]}],"mendeley":{"formattedCitation":"(Maurer, 2010)","manualFormatting":"Maurer, 2010)","plainTextFormattedCitation":"(Maurer, 2010)","previouslyFormattedCitation":"(Maurer,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Maurer, 2010)</w:t>
      </w:r>
      <w:r w:rsidRPr="009672FC">
        <w:rPr>
          <w:rFonts w:ascii="Garamond" w:hAnsi="Garamond"/>
          <w:sz w:val="24"/>
          <w:szCs w:val="24"/>
        </w:rPr>
        <w:fldChar w:fldCharType="end"/>
      </w:r>
      <w:r w:rsidRPr="009672FC">
        <w:rPr>
          <w:rFonts w:ascii="Garamond" w:hAnsi="Garamond"/>
          <w:sz w:val="24"/>
          <w:szCs w:val="24"/>
        </w:rPr>
        <w:t xml:space="preserve">. Under this circumstance, adopting effective leadership help address the challenges of collaborative ventures through defining clear tasks, objectives, and the skills necessary for employees to execute them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{"citationItems":[{"id":"ITEM-1","itemData":{"DOI":"10.1016/j.ijproman.2013.05.010","ISSN":"02637863","abstract":"Projects as a form of temporary organizing are different from standard organizational processes. Due to their temporary and unique nature, projects are characterized by discontinuous personal constellations and work contents. Although leadership research has called for a consideration of context factors and their effects on leadership, leadership in a temporary setting has hardly been investigated. We therefore extend transactional and transformational leadership theory by looking at it from the perspective of the temporary organization. We develop a research model with testable propositions on the effects of the temporary organizations' characteristics on leadership and on followers' commitment in projects. © 2013 Elsevier Ltd and IPMA.","author":[{"dropping-particle":"","family":"Tyssen","given":"Ana K.","non-dropping-particle":"","parse-names":false,"suffix":""},{"dropping-particle":"","family":"Wald","given":"Andreas","non-dropping-particle":"","parse-names":false,"suffix":""},{"dropping-particle":"","family":"Spieth","given":"Patrick","non-dropping-particle":"","parse-names":false,"suffix":""}],"container-title":"International Journal of Project Management","id":"ITEM-1","issue":"3","issued":{"date-parts":[["2014"]]},"page":"365-375","publisher":"Elsevier Ltd and IPMA","title":"The challenge of transactional and transformational leadership in projects","type":"article-journal","volume":"32"},"uris":["http://www.mendeley.com/documents/?uuid=02dd8d3c-f4b7-4d1f-8a36-6838c1c6e67c"]}],"mendeley":{"formattedCitation":"(Tyssen, Wald, &amp; Spieth, 2014)","plainTextFormattedCitation":"(Tyssen, Wald, &amp; Spieth, 2014)","previouslyFormattedCitation":"(Tyssen et al., 2014)"},"properties":{"noteIndex":0},"schema":"https://github.com/citation-style-language/schema/raw/master/csl-citation.json"}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(Tyssen, Wald, &amp; Spieth, 2014)</w:t>
      </w:r>
      <w:r w:rsidRPr="009672FC">
        <w:rPr>
          <w:rFonts w:ascii="Garamond" w:hAnsi="Garamond"/>
          <w:sz w:val="24"/>
          <w:szCs w:val="24"/>
        </w:rPr>
        <w:fldChar w:fldCharType="end"/>
      </w:r>
      <w:r w:rsidRPr="009672FC">
        <w:rPr>
          <w:rFonts w:ascii="Garamond" w:hAnsi="Garamond"/>
          <w:sz w:val="24"/>
          <w:szCs w:val="24"/>
        </w:rPr>
        <w:t xml:space="preserve">. </w:t>
      </w:r>
    </w:p>
    <w:p w14:paraId="0BFB7237" w14:textId="445028DB"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However, while many scholars find the importance of transformational leadership in terms of aligning employees’ needs </w:t>
      </w:r>
      <w:r w:rsidR="00CF726B" w:rsidRPr="009672FC">
        <w:rPr>
          <w:rFonts w:ascii="Garamond" w:hAnsi="Garamond"/>
          <w:sz w:val="24"/>
          <w:szCs w:val="24"/>
        </w:rPr>
        <w:t>concerning</w:t>
      </w:r>
      <w:r w:rsidRPr="009672FC">
        <w:rPr>
          <w:rFonts w:ascii="Garamond" w:hAnsi="Garamond"/>
          <w:sz w:val="24"/>
          <w:szCs w:val="24"/>
        </w:rPr>
        <w:t xml:space="preserve"> project tasks and goals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{"citationItems":[{"id":"ITEM-1","itemData":{"DOI":"10.1111/jpim.12462","ISSN":"15405885","abstract":"By studying the change in employees’ network positions before and after the introduction of a social net- working tool, I find that information-rich networks (low in cohesion and rich in structural holes), enabled by social media, have a positive effect on various work outcomes. Contrary to the notion that network positions are difficult to alter, I show that social media can induce a change in network structure, one from which individuals can derive economic benefits. In addition, I consider two intermediate mechanisms by which an information- rich network is theorized to improve work performance—information diversity and social communication—and quantify their effects on productivity and job security. Analysis shows that productivity, as measured by billable revenue, is more associated with information diversity than with social communication. However, the opposite is true for job security. Social communication is more correlated with reduced layoff risks than with informa- tion diversity. This, in turn, suggests that information-rich networks enabled through the use of social media can drive both work performance and job security, but that there is a trade-off between engaging in social communication and gathering diverse information.","author":[{"dropping-particle":"","family":"Töytäri","given":"Pekka","non-dropping-particle":"","parse-names":false,"suffix":""},{"dropping-particle":"","family":"Turunen","given":"Taija","non-dropping-particle":"","parse-names":false,"suffix":""},{"dropping-particle":"","family":"Klein","given":"Maximilian","non-dropping-particle":"","parse-names":false,"suffix":""},{"dropping-particle":"","family":"Eloranta","given":"Ville","non-dropping-particle":"","parse-names":false,"suffix":""},{"dropping-particle":"","family":"Biehl","given":"Sebastian","non-dropping-particle":"","parse-names":false,"suffix":""},{"dropping-particle":"","family":"Rajala","given":"Risto","non-dropping-particle":"","parse-names":false,"suffix":""}],"container-title":"Journal of Product Innovation Management","id":"ITEM-1","issue":"5","issued":{"date-parts":[["2018"]]},"page":"763-779","title":"Aligning the Mindset and Capabilities within a Business Network for Successful Adoption of Smart Services","type":"article-journal","volume":"35"},"uris":["http://www.mendeley.com/documents/?uuid=a7a700d2-8e30-4255-9ed2-8c5ce8d60dc7"]}],"mendeley":{"formattedCitation":"(Töytäri et al., 2018)","manualFormatting":"Töytäri et al., 2018;","plainTextFormattedCitation":"(Töytäri et al., 2018)","previouslyFormattedCitation":"(Töytäri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Töytäri et al., 2018;</w:t>
      </w:r>
      <w:r w:rsidRPr="009672FC">
        <w:rPr>
          <w:rFonts w:ascii="Garamond" w:hAnsi="Garamond"/>
          <w:sz w:val="24"/>
          <w:szCs w:val="24"/>
        </w:rPr>
        <w:fldChar w:fldCharType="end"/>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{"citationItems":[{"id":"ITEM-1","itemData":{"DOI":"10.1016/j.ijproman.2013.05.010","ISSN":"02637863","abstract":"Projects as a form of temporary organizing are different from standard organizational processes. Due to their temporary and unique nature, projects are characterized by discontinuous personal constellations and work contents. Although leadership research has called for a consideration of context factors and their effects on leadership, leadership in a temporary setting has hardly been investigated. We therefore extend transactional and transformational leadership theory by looking at it from the perspective of the temporary organization. We develop a research model with testable propositions on the effects of the temporary organizations' characteristics on leadership and on followers' commitment in projects. © 2013 Elsevier Ltd and IPMA.","author":[{"dropping-particle":"","family":"Tyssen","given":"Ana K.","non-dropping-particle":"","parse-names":false,"suffix":""},{"dropping-particle":"","family":"Wald","given":"Andreas","non-dropping-particle":"","parse-names":false,"suffix":""},{"dropping-particle":"","family":"Spieth","given":"Patrick","non-dropping-particle":"","parse-names":false,"suffix":""}],"container-title":"International Journal of Project Management","id":"ITEM-1","issue":"3","issued":{"date-parts":[["2014"]]},"page":"365-375","publisher":"Elsevier Ltd and IPMA","title":"The challenge of transactional and transformational leadership in projects","type":"article-journal","volume":"32"},"uris":["http://www.mendeley.com/documents/?uuid=02dd8d3c-f4b7-4d1f-8a36-6838c1c6e67c"]}],"mendeley":{"formattedCitation":"(Tyssen et al., 2014)","manualFormatting":" Tyssen, Wald and Spieth, 2014)","plainTextFormattedCitation":"(Tyssen et al., 2014)","previouslyFormattedCitation":"(Tyssen et al.,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Tyssen, Wald and Spieth, 2014)</w:t>
      </w:r>
      <w:r w:rsidRPr="009672FC">
        <w:rPr>
          <w:rFonts w:ascii="Garamond" w:hAnsi="Garamond"/>
          <w:sz w:val="24"/>
          <w:szCs w:val="24"/>
        </w:rPr>
        <w:fldChar w:fldCharType="end"/>
      </w:r>
      <w:r w:rsidRPr="009672FC">
        <w:rPr>
          <w:rFonts w:ascii="Garamond" w:hAnsi="Garamond"/>
          <w:sz w:val="24"/>
          <w:szCs w:val="24"/>
        </w:rPr>
        <w:t xml:space="preserve">, others recognize its critical roles by creating a balance between tasks and human relations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{"citationItems":[{"id":"ITEM-1","itemData":{"DOI":"10.1016/j.ijproman.2016.02.012","ISSN":"02637863","abstract":"Although the effect of transformational leadership on project success is empirically supported, less is known about the mechanisms that explain this effect. To address this issue, we propose the mediating role of team-building as a possible explanation of the relationship between transformational leadership and project success. Based on a field survey of 200 development project managers in the Ethiopian Non-Governmental Organization (NGO) sector, the results of our study indicate that team-building partially mediates the effect of transformational leadership on project success. We discuss the theoretical and practical implications of these findings.","author":[{"dropping-particle":"","family":"Aga","given":"D. A.","non-dropping-particle":"","parse-names":false,"suffix":""},{"dropping-particle":"","family":"Noorderhaven","given":"N.","non-dropping-particle":"","parse-names":false,"suffix":""},{"dropping-particle":"","family":"Vallejo","given":"B.","non-dropping-particle":"","parse-names":false,"suffix":""}],"container-title":"International Journal of Project Management","id":"ITEM-1","issue":"5","issued":{"date-parts":[["2016"]]},"page":"806-818","publisher":"Elsevier Ltd and Association for Project Management and the International Project Management Association","title":"Transformational leadership and project success: The mediating role of team-building","type":"article-journal","volume":"34"},"uris":["http://www.mendeley.com/documents/?uuid=119907fa-81ba-4cab-939a-298630d1c403"]}],"mendeley":{"formattedCitation":"(Aga et al., 2016)","manualFormatting":"Aga, Noorderhaven, and Vallejo, 2016)","plainTextFormattedCitation":"(Aga et al., 2016)","previouslyFormattedCitation":"(Aga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Aga, Noorderhaven, and Vallejo, 2016)</w:t>
      </w:r>
      <w:r w:rsidRPr="009672FC">
        <w:rPr>
          <w:rFonts w:ascii="Garamond" w:hAnsi="Garamond"/>
          <w:sz w:val="24"/>
          <w:szCs w:val="24"/>
        </w:rPr>
        <w:fldChar w:fldCharType="end"/>
      </w:r>
      <w:r w:rsidRPr="009672FC">
        <w:rPr>
          <w:rFonts w:ascii="Garamond" w:hAnsi="Garamond"/>
          <w:sz w:val="24"/>
          <w:szCs w:val="24"/>
        </w:rPr>
        <w:t xml:space="preserve">. These practices do not only ensure </w:t>
      </w:r>
      <w:r w:rsidR="00CF726B" w:rsidRPr="009672FC">
        <w:rPr>
          <w:rFonts w:ascii="Garamond" w:hAnsi="Garamond"/>
          <w:sz w:val="24"/>
          <w:szCs w:val="24"/>
        </w:rPr>
        <w:t xml:space="preserve">the </w:t>
      </w:r>
      <w:r w:rsidRPr="009672FC">
        <w:rPr>
          <w:rFonts w:ascii="Garamond" w:hAnsi="Garamond"/>
          <w:sz w:val="24"/>
          <w:szCs w:val="24"/>
        </w:rPr>
        <w:t xml:space="preserve">synergy of diverse talents, but they also promote </w:t>
      </w:r>
      <w:r w:rsidR="00CF726B" w:rsidRPr="009672FC">
        <w:rPr>
          <w:rFonts w:ascii="Garamond" w:hAnsi="Garamond"/>
          <w:sz w:val="24"/>
          <w:szCs w:val="24"/>
        </w:rPr>
        <w:t xml:space="preserve">the </w:t>
      </w:r>
      <w:r w:rsidRPr="009672FC">
        <w:rPr>
          <w:rFonts w:ascii="Garamond" w:hAnsi="Garamond"/>
          <w:sz w:val="24"/>
          <w:szCs w:val="24"/>
        </w:rPr>
        <w:t xml:space="preserve">commitment and motivation of project teams to the realization of project goals.  </w:t>
      </w:r>
      <w:r w:rsidR="005C5F35" w:rsidRPr="009672FC">
        <w:rPr>
          <w:rFonts w:ascii="Garamond" w:hAnsi="Garamond"/>
          <w:sz w:val="24"/>
          <w:szCs w:val="24"/>
        </w:rPr>
        <w:t xml:space="preserve">Furthermore,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{"citationItems":[{"id":"ITEM-1","itemData":{"DOI":"10.1016/j.ijproman.2016.02.012","ISSN":"02637863","abstract":"Although the effect of transformational leadership on project success is empirically supported, less is known about the mechanisms that explain this effect. To address this issue, we propose the mediating role of team-building as a possible explanation of the relationship between transformational leadership and project success. Based on a field survey of 200 development project managers in the Ethiopian Non-Governmental Organization (NGO) sector, the results of our study indicate that team-building partially mediates the effect of transformational leadership on project success. We discuss the theoretical and practical implications of these findings.","author":[{"dropping-particle":"","family":"Aga","given":"D. A.","non-dropping-particle":"","parse-names":false,"suffix":""},{"dropping-particle":"","family":"Noorderhaven","given":"N.","non-dropping-particle":"","parse-names":false,"suffix":""},{"dropping-particle":"","family":"Vallejo","given":"B.","non-dropping-particle":"","parse-names":false,"suffix":""}],"container-title":"International Journal of Project Management","id":"ITEM-1","issue":"5","issued":{"date-parts":[["2016"]]},"page":"806-818","publisher":"Elsevier Ltd and Association for Project Management and the International Project Management Association","title":"Transformational leadership and project success: The mediating role of team-building","type":"article-journal","volume":"34"},"uris":["http://www.mendeley.com/documents/?uuid=119907fa-81ba-4cab-939a-298630d1c403"]}],"mendeley":{"formattedCitation":"(Aga et al., 2016)","manualFormatting":"Aga, Noorderhaven, and Vallejo (2016)","plainTextFormattedCitation":"(Aga et al., 2016)","previouslyFormattedCitation":"(Aga, Noorderhaven and Vallejo, 2016)"},"properties":{"noteIndex":0},"schema":"https://github.com/citation-style-language/schema/raw/master/csl-citation.json"}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Aga, Noorderhaven, and Vallejo (2016)</w:t>
      </w:r>
      <w:r w:rsidR="005C5F35" w:rsidRPr="009672FC">
        <w:rPr>
          <w:rFonts w:ascii="Garamond" w:hAnsi="Garamond"/>
          <w:sz w:val="24"/>
          <w:szCs w:val="24"/>
        </w:rPr>
        <w:fldChar w:fldCharType="end"/>
      </w:r>
      <w:r w:rsidR="005C5F35" w:rsidRPr="009672FC">
        <w:rPr>
          <w:rFonts w:ascii="Garamond" w:hAnsi="Garamond"/>
          <w:sz w:val="24"/>
          <w:szCs w:val="24"/>
        </w:rPr>
        <w:t xml:space="preserve"> argue that a transformational leadership approach finds a balance between tasks and human relations. For example, project goal setting, role clarification, and interpersonal relationships are important features of transformational leadership in an interfirm project context. </w:t>
      </w:r>
    </w:p>
    <w:p w14:paraId="13849770" w14:textId="299377A8"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{"citationItems":[{"id":"ITEM-1","itemData":{"DOI":"10.1016/j.ijproman.2016.06.003","ISSN":"02637863","abstract":"Projects involve inter-organizational networks that are central to collaborative project-based value creation. Interest in value creation in the project lifecycle is mounting, and the front-end stage of projects is gaining increasing attention in the research literature. However, little is known about how network management activities facilitate value creation in the front-end and how such activities push a project toward higher end-states of value. The purpose of this research is to identify activities that facilitate the development of inter-organizational networks and augment value creation among multiple organizations in the front-end of projects. To this end, we conduct a qualitative empirical case study of the front-end of a health care campus development project. We identify four activities and five network attributes that explain how inter-organizational network can be managed for value creation in the front-end of the project. These findings contribute to research on management of the front-end of projects and management of inter-organizational networks in projects.","author":[{"dropping-particle":"","family":"Matinheikki","given":"Juri","non-dropping-particle":"","parse-names":false,"suffix":""},{"dropping-particle":"","family":"Artto","given":"Karlos","non-dropping-particle":"","parse-names":false,"suffix":""},{"dropping-particle":"","family":"Peltokorpi","given":"Antti","non-dropping-particle":"","parse-names":false,"suffix":""},{"dropping-particle":"","family":"Rajala","given":"Risto","non-dropping-particle":"","parse-names":false,"suffix":""}],"container-title":"International Journal of Project Management","id":"ITEM-1","issue":"7","issued":{"date-parts":[["2016"]]},"page":"1226-1241","publisher":"Elsevier Ltd and Association for Project Management and the International Project Management Association","title":"Managing inter-organizational networks for value creation in the front-end of projects","type":"article-journal","volume":"34"},"uris":["http://www.mendeley.com/documents/?uuid=0fd3f8cf-b6da-41ca-b626-95a28d77626d"]}],"mendeley":{"formattedCitation":"(Matinheikki et al., 2016)","manualFormatting":"Matinheikki et al. (2016)","plainTextFormattedCitation":"(Matinheikki et al., 2016)","previouslyFormattedCitation":"(Matinheikki &lt;i&gt;et al.&lt;/i&gt;,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Matinheikki et al. (2016)</w:t>
      </w:r>
      <w:r w:rsidRPr="009672FC">
        <w:rPr>
          <w:rFonts w:ascii="Garamond" w:hAnsi="Garamond"/>
          <w:sz w:val="24"/>
          <w:szCs w:val="24"/>
        </w:rPr>
        <w:fldChar w:fldCharType="end"/>
      </w:r>
      <w:r w:rsidRPr="009672FC">
        <w:rPr>
          <w:rFonts w:ascii="Garamond" w:hAnsi="Garamond"/>
          <w:sz w:val="24"/>
          <w:szCs w:val="24"/>
        </w:rPr>
        <w:t xml:space="preserve"> suggest four key leaderships activities that are critical to value creation in the network project namely, (1) assigning a network leader role to one or a few central organizations in the network, (2) establishing a joint coordination body among the network organizations, (3) arranging frequent formal and informal meetings among the network organizations, and (4) engaging internal and external actors in decision-making related to the network. These practices do </w:t>
      </w:r>
      <w:r w:rsidRPr="009672FC">
        <w:rPr>
          <w:rFonts w:ascii="Garamond" w:hAnsi="Garamond"/>
          <w:sz w:val="24"/>
          <w:szCs w:val="24"/>
        </w:rPr>
        <w:lastRenderedPageBreak/>
        <w:t xml:space="preserve">not only promote innovation performance but also enhance network-level teambuilding through open discussions and individual decision making. </w:t>
      </w:r>
    </w:p>
    <w:p w14:paraId="6F34E6FA" w14:textId="11DD7993"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However, other scholars argue that the temporality of interfirm projects requires transactional leadership and thus, is concerned with project task-related domains (e.g.,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{"citationItems":[{"id":"ITEM-1","itemData":{"DOI":"10.1016/j.ijproman.2013.05.010","ISSN":"02637863","abstract":"Projects as a form of temporary organizing are different from standard organizational processes. Due to their temporary and unique nature, projects are characterized by discontinuous personal constellations and work contents. Although leadership research has called for a consideration of context factors and their effects on leadership, leadership in a temporary setting has hardly been investigated. We therefore extend transactional and transformational leadership theory by looking at it from the perspective of the temporary organization. We develop a research model with testable propositions on the effects of the temporary organizations' characteristics on leadership and on followers' commitment in projects. © 2013 Elsevier Ltd and IPMA.","author":[{"dropping-particle":"","family":"Tyssen","given":"Ana K.","non-dropping-particle":"","parse-names":false,"suffix":""},{"dropping-particle":"","family":"Wald","given":"Andreas","non-dropping-particle":"","parse-names":false,"suffix":""},{"dropping-particle":"","family":"Spieth","given":"Patrick","non-dropping-particle":"","parse-names":false,"suffix":""}],"container-title":"International Journal of Project Management","id":"ITEM-1","issue":"3","issued":{"date-parts":[["2014"]]},"page":"365-375","publisher":"Elsevier Ltd and IPMA","title":"The challenge of transactional and transformational leadership in projects","type":"article-journal","volume":"32"},"uris":["http://www.mendeley.com/documents/?uuid=02dd8d3c-f4b7-4d1f-8a36-6838c1c6e67c"]}],"mendeley":{"formattedCitation":"(Tyssen et al., 2014)","manualFormatting":"Tyssen, Wald and Spieth, 2014)","plainTextFormattedCitation":"(Tyssen et al., 2014)","previouslyFormattedCitation":"(Tyssen, Wald and Spieth,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Tyssen, Wald and Spieth, 2014)</w:t>
      </w:r>
      <w:r w:rsidRPr="009672FC">
        <w:rPr>
          <w:rFonts w:ascii="Garamond" w:hAnsi="Garamond"/>
          <w:sz w:val="24"/>
          <w:szCs w:val="24"/>
        </w:rPr>
        <w:fldChar w:fldCharType="end"/>
      </w:r>
      <w:r w:rsidRPr="009672FC">
        <w:rPr>
          <w:rFonts w:ascii="Garamond" w:hAnsi="Garamond"/>
          <w:sz w:val="24"/>
          <w:szCs w:val="24"/>
        </w:rPr>
        <w:t xml:space="preserve">. </w:t>
      </w:r>
      <w:proofErr w:type="spellStart"/>
      <w:r w:rsidRPr="009672FC">
        <w:rPr>
          <w:rFonts w:ascii="Garamond" w:hAnsi="Garamond"/>
          <w:sz w:val="24"/>
          <w:szCs w:val="24"/>
        </w:rPr>
        <w:t>Tyssen</w:t>
      </w:r>
      <w:proofErr w:type="spellEnd"/>
      <w:r w:rsidRPr="009672FC">
        <w:rPr>
          <w:rFonts w:ascii="Garamond" w:hAnsi="Garamond"/>
          <w:sz w:val="24"/>
          <w:szCs w:val="24"/>
        </w:rPr>
        <w:t xml:space="preserve">, Wald and Spieth (2014) demonstrate that </w:t>
      </w:r>
      <w:r w:rsidRPr="009672FC">
        <w:rPr>
          <w:rFonts w:ascii="Garamond" w:hAnsi="Garamond"/>
          <w:i/>
          <w:iCs/>
          <w:sz w:val="24"/>
          <w:szCs w:val="24"/>
        </w:rPr>
        <w:t>project scope, duration, and goal clarity</w:t>
      </w:r>
      <w:r w:rsidRPr="009672FC">
        <w:rPr>
          <w:rFonts w:ascii="Garamond" w:hAnsi="Garamond"/>
          <w:sz w:val="24"/>
          <w:szCs w:val="24"/>
        </w:rPr>
        <w:t xml:space="preserve"> are important characteristics of transactional leadership in interfirm projects. Ultimately, the choice between transactional and transformational leadership is to create </w:t>
      </w:r>
      <w:r w:rsidR="002663FA" w:rsidRPr="009672FC">
        <w:rPr>
          <w:rFonts w:ascii="Garamond" w:hAnsi="Garamond"/>
          <w:sz w:val="24"/>
          <w:szCs w:val="24"/>
        </w:rPr>
        <w:t>the</w:t>
      </w:r>
      <w:r w:rsidRPr="009672FC">
        <w:rPr>
          <w:rFonts w:ascii="Garamond" w:hAnsi="Garamond"/>
          <w:sz w:val="24"/>
          <w:szCs w:val="24"/>
        </w:rPr>
        <w:t xml:space="preserve"> right balance between project tasks, and goals and the consideration for projects teams.</w:t>
      </w:r>
    </w:p>
    <w:p w14:paraId="09BDD3FF" w14:textId="77777777"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i/>
          <w:iCs/>
          <w:sz w:val="24"/>
          <w:szCs w:val="24"/>
        </w:rPr>
        <w:t>Organizational design and structure.</w:t>
      </w:r>
      <w:r w:rsidRPr="009672FC">
        <w:rPr>
          <w:rFonts w:ascii="Garamond" w:hAnsi="Garamond"/>
          <w:sz w:val="24"/>
          <w:szCs w:val="24"/>
        </w:rPr>
        <w:t xml:space="preserve"> We found several contributions that examined the structural and design factors in inter-organizational networks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{"citationItems":[{"id":"ITEM-1","itemData":{"DOI":"10.1016/j.techfore.2011.09.003","ISSN":"00401625","abstract":"This paper examines the effects that process, structure and governance dimensions of networks have on innovation performance. The main focus of the paper is the multidimensional aspect of innovation networks and how these dimensions affect network performance. Technology management, resource-based, transaction costs and social capital perspectives are applied in the construction of the model variables of each subsystem or dimension analyzed. With results drawn from a sample of 350 project managers identified in the European Union CORDIS database who are actively involved in European innovation networks, we argue that the performance of innovation networks is increased through the suitable design of process, structure and governance subsystems. Empirical findings also show that interactions between these subsystems have a complementary or synergic effect resulting in improved innovation performance. © 2011 Elsevier Inc.","author":[{"dropping-particle":"","family":"Arranz","given":"Nieves","non-dropping-particle":"","parse-names":false,"suffix":""},{"dropping-particle":"","family":"Fdez. de Arroyabe","given":"J. Carlos","non-dropping-particle":"","parse-names":false,"suffix":""}],"container-title":"Technological Forecasting and Social Change","id":"ITEM-1","issue":"3","issued":{"date-parts":[["2012"]]},"page":"485-497","publisher":"Elsevier Inc.","title":"Can innovation network projects result in efficient performance?","type":"article-journal","volume":"79"},"uris":["http://www.mendeley.com/documents/?uuid=6ac0b5a2-70cf-4e7a-a7e6-5e3ea3d401a8"]}],"mendeley":{"formattedCitation":"(Arranz &amp; Fdez. de Arroyabe, 2012)","manualFormatting":"Arranz and Fdez. de Arroyabe, 2012","plainTextFormattedCitation":"(Arranz &amp; Fdez. de Arroyabe, 2012)","previouslyFormattedCitation":"(Arranz &amp; Fdez. de Arroyabe,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Arranz and Fdez. de Arroyabe, 2012</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{"citationItems":[{"id":"ITEM-1","itemData":{"DOI":"10.1016/j.sbspro.2014.10.041","ISSN":"18770428","abstract":"Critical success factors (CSFs) are inputs to project management practice which can lead directly or indirectly to project success. It encompasses many elements, which have to be synchronized to ensure the project delivery on time. The purpose of this study is to identify the extent of the relationship between CSFs and project performance. The research findings will be expected to assist the organization in evaluating the performance of project management. Finally, the conceptual framework was developed by identifying five (5) variables for project success namely Project Management Action, Project Procedures, Human Factors, External Issues and Project Related Factors.","author":[{"dropping-particle":"","family":"Alias","given":"Zarina","non-dropping-particle":"","parse-names":false,"suffix":""},{"dropping-particle":"","family":"Zawawi","given":"E.M.A.","non-dropping-particle":"","parse-names":false,"suffix":""},{"dropping-particle":"","family":"Yusof","given":"Khalid","non-dropping-particle":"","parse-names":false,"suffix":""},{"dropping-particle":"","family":"Aris","given":"N.M.","non-dropping-particle":"","parse-names":false,"suffix":""}],"container-title":"Procedia - Social and Behavioral Sciences","id":"ITEM-1","issued":{"date-parts":[["2014"]]},"page":"61-69","publisher":"Elsevier B.V.","title":"Determining Critical Success Factors of Project Management Practice: A Conceptual Framework","type":"article-journal","volume":"153"},"uris":["http://www.mendeley.com/documents/?uuid=f5a6267c-47bf-488c-aec5-92fafcd15543"]}],"mendeley":{"formattedCitation":"(Alias et al., 2014)","manualFormatting":"Alias et al., 2014","plainTextFormattedCitation":"(Alias et al., 2014)","previouslyFormattedCitation":"(Alias et al.,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Alias et al., 2014</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{"citationItems":[{"id":"ITEM-1","itemData":{"DOI":"10.1016/j.ijproman.2019.05.005","ISSN":"02637863","abstract":"While research on the relationship between quality management practices and inter-organizational project performance has found inconsistent results, few studies have considered the contextual factors of quality management practices. Inter-organizational projects involve external participants in quality management and thus, this study tested the moderating role of governance mechanisms (contract governance and trust) on the relationship between quality management practices and inter-organizational project performance. Results of 265 valid questionnaires from China indicated that quality management practices contribute to inter-organizational project performance. Contract governance magnifies the positive effect of quality management practices on inter-organizational project performance while the moderating effect of trust is insignificant. The moderating effect of contract governance indicates a means for strengthening the effect of quality management practices in inter-organizational projects. Further research on more contextual factors of quality management practices should be conducted.","author":[{"dropping-particle":"","family":"Lu","given":"Ping","non-dropping-particle":"","parse-names":false,"suffix":""},{"dropping-particle":"","family":"Cai","given":"Xiangyang","non-dropping-particle":"","parse-names":false,"suffix":""},{"dropping-particle":"","family":"Wei","given":"Zhuping","non-dropping-particle":"","parse-names":false,"suffix":""},{"dropping-particle":"","family":"Song","given":"Yinqiu","non-dropping-particle":"","parse-names":false,"suffix":""},{"dropping-particle":"","family":"Wu","given":"Jianlin","non-dropping-particle":"","parse-names":false,"suffix":""}],"container-title":"International Journal of Project Management","id":"ITEM-1","issue":"6","issued":{"date-parts":[["2019"]]},"page":"855-869","publisher":"Elsevier Ltd and Association for Project Management and the International Project Management Association","title":"Quality management practices and inter-organizational project performance: Moderating effect of governance mechanisms","type":"article-journal","volume":"37"},"uris":["http://www.mendeley.com/documents/?uuid=05534784-aaca-4b17-9c56-056be3422304"]}],"mendeley":{"formattedCitation":"(Lu et al., 2019)","manualFormatting":"Lu et al., 2019","plainTextFormattedCitation":"(Lu et al., 2019)","previouslyFormattedCitation":"(Lu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Lu et al., 2019</w:t>
      </w:r>
      <w:r w:rsidRPr="009672FC">
        <w:rPr>
          <w:rFonts w:ascii="Garamond" w:hAnsi="Garamond"/>
          <w:sz w:val="24"/>
          <w:szCs w:val="24"/>
        </w:rPr>
        <w:fldChar w:fldCharType="end"/>
      </w:r>
      <w:r w:rsidRPr="009672FC">
        <w:rPr>
          <w:rFonts w:ascii="Garamond" w:hAnsi="Garamond"/>
          <w:sz w:val="24"/>
          <w:szCs w:val="24"/>
        </w:rPr>
        <w:t xml:space="preserve">) such as internal processes, network structures, and governance sub-systems. The authors adopt a system approach to inter-firm innovation, arguing that network organizational structure must ensure </w:t>
      </w:r>
      <w:r w:rsidR="00CF726B" w:rsidRPr="009672FC">
        <w:rPr>
          <w:rFonts w:ascii="Garamond" w:hAnsi="Garamond"/>
          <w:sz w:val="24"/>
          <w:szCs w:val="24"/>
        </w:rPr>
        <w:t xml:space="preserve">the </w:t>
      </w:r>
      <w:r w:rsidRPr="009672FC">
        <w:rPr>
          <w:rFonts w:ascii="Garamond" w:hAnsi="Garamond"/>
          <w:sz w:val="24"/>
          <w:szCs w:val="24"/>
        </w:rPr>
        <w:t>alignment of partners and resources to the common network goals. In that case, the governance systems are the relational and contractual controls put in place to regulate inter-firm ties and relationship</w:t>
      </w:r>
      <w:r w:rsidR="00CF726B" w:rsidRPr="009672FC">
        <w:rPr>
          <w:rFonts w:ascii="Garamond" w:hAnsi="Garamond"/>
          <w:sz w:val="24"/>
          <w:szCs w:val="24"/>
        </w:rPr>
        <w:t>s</w:t>
      </w:r>
      <w:r w:rsidRPr="009672FC">
        <w:rPr>
          <w:rFonts w:ascii="Garamond" w:hAnsi="Garamond"/>
          <w:sz w:val="24"/>
          <w:szCs w:val="24"/>
        </w:rPr>
        <w:t>.</w:t>
      </w:r>
    </w:p>
    <w:p w14:paraId="36679543" w14:textId="7CEA3014"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In a conceptual review,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{"citationItems":[{"id":"ITEM-1","itemData":{"DOI":"10.1016/j.sbspro.2014.10.041","ISSN":"18770428","abstract":"Critical success factors (CSFs) are inputs to project management practice which can lead directly or indirectly to project success. It encompasses many elements, which have to be synchronized to ensure the project delivery on time. The purpose of this study is to identify the extent of the relationship between CSFs and project performance. The research findings will be expected to assist the organization in evaluating the performance of project management. Finally, the conceptual framework was developed by identifying five (5) variables for project success namely Project Management Action, Project Procedures, Human Factors, External Issues and Project Related Factors.","author":[{"dropping-particle":"","family":"Alias","given":"Zarina","non-dropping-particle":"","parse-names":false,"suffix":""},{"dropping-particle":"","family":"Zawawi","given":"E.M.A.","non-dropping-particle":"","parse-names":false,"suffix":""},{"dropping-particle":"","family":"Yusof","given":"Khalid","non-dropping-particle":"","parse-names":false,"suffix":""},{"dropping-particle":"","family":"Aris","given":"N.M.","non-dropping-particle":"","parse-names":false,"suffix":""}],"container-title":"Procedia - Social and Behavioral Sciences","id":"ITEM-1","issued":{"date-parts":[["2014"]]},"page":"61-69","publisher":"Elsevier B.V.","title":"Determining Critical Success Factors of Project Management Practice: A Conceptual Framework","type":"article-journal","volume":"153"},"uris":["http://www.mendeley.com/documents/?uuid=f5a6267c-47bf-488c-aec5-92fafcd15543"]}],"mendeley":{"formattedCitation":"(Alias et al., 2014)","manualFormatting":"Alias et al. (2014)","plainTextFormattedCitation":"(Alias et al., 2014)","previouslyFormattedCitation":"(Alias &lt;i&gt;et al.&lt;/i&gt;,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Alias et al. (2014)</w:t>
      </w:r>
      <w:r w:rsidRPr="009672FC">
        <w:rPr>
          <w:rFonts w:ascii="Garamond" w:hAnsi="Garamond"/>
          <w:sz w:val="24"/>
          <w:szCs w:val="24"/>
        </w:rPr>
        <w:fldChar w:fldCharType="end"/>
      </w:r>
      <w:r w:rsidRPr="009672FC">
        <w:rPr>
          <w:rFonts w:ascii="Garamond" w:hAnsi="Garamond"/>
          <w:sz w:val="24"/>
          <w:szCs w:val="24"/>
        </w:rPr>
        <w:t xml:space="preserve"> suggest the reconfiguration of existing business processes in project management and thus enabling the integration of external technical expertise and/or partners in internal practices. These processes are necessary to ensure multi-party resource integration, goal alignment, and participation,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{"citationItems":[{"id":"ITEM-1","itemData":{"DOI":"10.1016/j.ijproman.2019.05.005","ISSN":"02637863","abstract":"While research on the relationship between quality management practices and inter-organizational project performance has found inconsistent results, few studies have considered the contextual factors of quality management practices. Inter-organizational projects involve external participants in quality management and thus, this study tested the moderating role of governance mechanisms (contract governance and trust) on the relationship between quality management practices and inter-organizational project performance. Results of 265 valid questionnaires from China indicated that quality management practices contribute to inter-organizational project performance. Contract governance magnifies the positive effect of quality management practices on inter-organizational project performance while the moderating effect of trust is insignificant. The moderating effect of contract governance indicates a means for strengthening the effect of quality management practices in inter-organizational projects. Further research on more contextual factors of quality management practices should be conducted.","author":[{"dropping-particle":"","family":"Lu","given":"Ping","non-dropping-particle":"","parse-names":false,"suffix":""},{"dropping-particle":"","family":"Cai","given":"Xiangyang","non-dropping-particle":"","parse-names":false,"suffix":""},{"dropping-particle":"","family":"Wei","given":"Zhuping","non-dropping-particle":"","parse-names":false,"suffix":""},{"dropping-particle":"","family":"Song","given":"Yinqiu","non-dropping-particle":"","parse-names":false,"suffix":""},{"dropping-particle":"","family":"Wu","given":"Jianlin","non-dropping-particle":"","parse-names":false,"suffix":""}],"container-title":"International Journal of Project Management","id":"ITEM-1","issue":"6","issued":{"date-parts":[["2019"]]},"page":"855-869","publisher":"Elsevier Ltd and Association for Project Management and the International Project Management Association","title":"Quality management practices and inter-organizational project performance: Moderating effect of governance mechanisms","type":"article-journal","volume":"37"},"uris":["http://www.mendeley.com/documents/?uuid=05534784-aaca-4b17-9c56-056be3422304"]}],"mendeley":{"formattedCitation":"(Lu et al., 2019)","manualFormatting":"Lu et al., 2019)","plainTextFormattedCitation":"(Lu et al., 2019)","previouslyFormattedCitation":"(Lu &lt;i&gt;et al.&lt;/i&gt;,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Lu et al., 2019)</w:t>
      </w:r>
      <w:r w:rsidRPr="009672FC">
        <w:rPr>
          <w:rFonts w:ascii="Garamond" w:hAnsi="Garamond"/>
          <w:sz w:val="24"/>
          <w:szCs w:val="24"/>
        </w:rPr>
        <w:fldChar w:fldCharType="end"/>
      </w:r>
      <w:r w:rsidRPr="009672FC">
        <w:rPr>
          <w:rFonts w:ascii="Garamond" w:hAnsi="Garamond"/>
          <w:sz w:val="24"/>
          <w:szCs w:val="24"/>
        </w:rPr>
        <w:t xml:space="preserve"> and local culture alignment of firms in different international cultures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{"citationItems":[{"id":"ITEM-1","itemData":{"DOI":"10.1016/j.jwb.2010.05.002","ISSN":"10909516","abstract":"We seek to examine how national culture values affect strategic decision-making processes (SDMPs) of internationalized firms. We employ the cultural relativity theory to explain how firms from different countries make international decisions. We advance hypotheses regarding the associations between three SDMP dimensions and three national culture aspects, notably the relationships between hierarchical decentralization and power distance; lateral communication and individualism; and, formalization and uncertainty avoidance. We present evidence from a large-scale study conducted on 528 internationalized small and medium-sized firms based in the USA, UK, Greece and Cyprus. The findings support our hypotheses with the exception of that concerning lateral communication and individualism. The national culture of the focal firm matters as far as SDMPs in internationalization are concerned. Implications and further research directions are discussed. © 2010 Elsevier Inc.","author":[{"dropping-particle":"","family":"Dimitratos","given":"Pavlos","non-dropping-particle":"","parse-names":false,"suffix":""},{"dropping-particle":"","family":"Petrou","given":"Andreas","non-dropping-particle":"","parse-names":false,"suffix":""},{"dropping-particle":"","family":"Plakoyiannaki","given":"Emmanuella","non-dropping-particle":"","parse-names":false,"suffix":""},{"dropping-particle":"","family":"Johnson","given":"Jeffrey E.","non-dropping-particle":"","parse-names":false,"suffix":""}],"container-title":"Journal of World Business","id":"ITEM-1","issue":"2","issued":{"date-parts":[["2011"]]},"page":"194-204","publisher":"Elsevier Inc.","title":"Strategic decision-making processes in internationalization: Does national culture of the focal firm matter?","type":"article-journal","volume":"46"},"uris":["http://www.mendeley.com/documents/?uuid=6aef1f1b-bb57-4b85-8fd9-81705b511d2f"]}],"mendeley":{"formattedCitation":"(Dimitratos et al., 2011)","manualFormatting":"Dimitratos et al., 2011)","plainTextFormattedCitation":"(Dimitratos et al., 2011)","previouslyFormattedCitation":"(Dimitratos &lt;i&gt;et al.&lt;/i&gt;,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Dimitratos et al., 2011)</w:t>
      </w:r>
      <w:r w:rsidRPr="009672FC">
        <w:rPr>
          <w:rFonts w:ascii="Garamond" w:hAnsi="Garamond"/>
          <w:sz w:val="24"/>
          <w:szCs w:val="24"/>
        </w:rPr>
        <w:fldChar w:fldCharType="end"/>
      </w:r>
      <w:r w:rsidRPr="009672FC">
        <w:rPr>
          <w:rFonts w:ascii="Garamond" w:hAnsi="Garamond"/>
          <w:sz w:val="24"/>
          <w:szCs w:val="24"/>
        </w:rPr>
        <w:t xml:space="preserve"> and thus enabling collective interest and actions of all actors.</w:t>
      </w:r>
    </w:p>
    <w:p w14:paraId="719F2586" w14:textId="128D9139"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Rather than a hierarchical organizational form, a network structure has received greater attention in the innovation project context (e.g.,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{"citationItems":[{"id":"ITEM-1","itemData":{"DOI":"10.1016/j.ijproman.2010.04.006","ISSN":"02637863","abstract":"There has recently been noted a rapid increase in research attention to projects that involve outside partners. Our knowledge of such inter-organizational projects, however, is limited. This paper reports large scale data from a repeated trend survey amongst 2000 SMEs in 2006 and 2009 that focused on inter-organizational project ventures. Our major findings indicate that the overall prevalence of inter-organizational project ventures remained significant and stable over time, even despite the economic crisis. Moreover, we find that these ventures predominantly solve repetitive rather than unique tasks and are embedded in prior relations between the partnering organizations. These findings provide empirical support for the recent claims that project management should pay more attention to inter-organizational forms of project organization, and suggest that the archetypical view of projects as being unique in every respect should be reconsidered. Both have important implications for project management, especially in the area of project-based learning. © 2010 International Project Management Association.","author":[{"dropping-particle":"","family":"Bakker","given":"René M.","non-dropping-particle":"","parse-names":false,"suffix":""},{"dropping-particle":"","family":"Knoben","given":"Joris","non-dropping-particle":"","parse-names":false,"suffix":""},{"dropping-particle":"","family":"Vries","given":"Nardo","non-dropping-particle":"de","parse-names":false,"suffix":""},{"dropping-particle":"","family":"Oerlemans","given":"Leon A.G.","non-dropping-particle":"","parse-names":false,"suffix":""}],"container-title":"International Journal of Project Management","id":"ITEM-1","issue":"6","issued":{"date-parts":[["2011"]]},"page":"781-794","publisher":"International Project Management Association","title":"The nature and prevalence of inter-organizational project ventures: Evidence from a large scale field study in the Netherlands 2006-2009","type":"article-journal","volume":"29"},"uris":["http://www.mendeley.com/documents/?uuid=ea843ce0-f920-40b9-a3b8-83d0ded6b7a5"]}],"mendeley":{"formattedCitation":"(Bakker, Knoben, de Vries, &amp; Oerlemans, 2011)","manualFormatting":"Bakker et al., 2011;","plainTextFormattedCitation":"(Bakker, Knoben, de Vries, &amp; Oerlemans, 2011)","previouslyFormattedCitation":"(Bakker &lt;i&gt;et al.&lt;/i&gt;,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Bakker et al., 2011;</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{"citationItems":[{"id":"ITEM-1","itemData":{"DOI":"10.1016/j.lrp.2017.07.009","ISSN":"18731872","abstract":"This research focuses on the project structure used by coopetitors to achieve common innovation projects. Scholars have recently identified an original but complex project structure that they call the Coopetitive Project Team (CPT). However, other project structures can also be implemented by coopetitors to achieve innovation. Therefore, we address the following question: for which types of innovation projects is CPT appropriate? We argue that coopetitors need to use CPT for high-risk and high-cost projects when the aim is to develop radical innovation. CPT allows coopetitors not only to develop innovation capabilities through close resource and knowledge sharing but also to manage the risk of opportunism. Conversely, coopetitors should use another project structure, Separated Project Teams (SPTs), for low-cost and low-risk projects when the aim is to develop incremental innovation. The SPT design allows coopetitors both to achieve the goal of the project and to minimize the risk of opportunism. To confirm our assumptions, we studied the project portfolios of Airbus and Thales, two firms in the space satellite industry. Our findings confirm that coopetitors should implement CPTs to handle innovation projects that are costly, risky and highly innovative. CPTs permit the sharing of knowledge and the management of high opportunism risk, both of which are necessary to achieve radical innovation. Conversely, coopetitors rely on SPTs for low-cost projects that require a low degree of knowledge sharing, thus avoiding the risk of opportunism in achieving their incremental innovation objectives.","author":[{"dropping-particle":"","family":"Fernandez","given":"Anne Sophie","non-dropping-particle":"","parse-names":false,"suffix":""},{"dropping-particle":"","family":"Roy","given":"Frédéric","non-dropping-particle":"Le","parse-names":false,"suffix":""},{"dropping-particle":"","family":"Chiambaretto","given":"Paul","non-dropping-particle":"","parse-names":false,"suffix":""}],"container-title":"Long Range Planning","id":"ITEM-1","issue":"2","issued":{"date-parts":[["2018"]]},"page":"384-405","title":"Implementing the right project structure to achieve coopetitive innovation projects","type":"article-journal","volume":"51"},"uris":["http://www.mendeley.com/documents/?uuid=7d54ef20-f248-493d-9fef-23616c5ca382"]}],"mendeley":{"formattedCitation":"(Fernandez, Le Roy, &amp; Chiambaretto, 2018)","manualFormatting":"Fernandez, Le Roy and Chiambaretto, 2018; Ruuska et al., 2011)","plainTextFormattedCitation":"(Fernandez, Le Roy, &amp; Chiambaretto, 2018)","previouslyFormattedCitation":"(Fernandez, Le Roy and Chiambaretto,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Fernandez, Le Roy and Chiambaretto, 2018; </w:t>
      </w:r>
      <w:r w:rsidRPr="009672FC">
        <w:rPr>
          <w:rFonts w:ascii="Garamond" w:hAnsi="Garamond"/>
          <w:noProof/>
          <w:sz w:val="24"/>
          <w:szCs w:val="24"/>
        </w:rPr>
        <w:fldChar w:fldCharType="begin" w:fldLock="1"/>
      </w:r>
      <w:r w:rsidR="00813D37" w:rsidRPr="009672FC">
        <w:rPr>
          <w:rFonts w:ascii="Garamond" w:hAnsi="Garamond"/>
          <w:noProof/>
          <w:sz w:val="24"/>
          <w:szCs w:val="24"/>
        </w:rPr>
        <w:instrText>ADDIN CSL_CITATION {"citationItems":[{"id":"ITEM-1","itemData":{"DOI":"10.1016/j.ijproman.2010.10.001","ISSN":"02637863","abstract":"We analyze governance in two contemporary nuclear power plant projects: Olkiluoto 3 (Finland) and Flamanville 3 (France). We suggest that in the governance of large multi-firm projects, any of the prevalent governance approaches that rely on market, hierarchy, or hybrid forms, is not adequate as such. This paper opens up avenues towards a novel theory of governance in large projects by adopting a project network view with multiple networked firms within a single project, and by simultaneously going beyond organizational forms that cut across the traditional firm-market dichotomy. Our analysis suggests four changes in the prevailing perspective towards the governance of large projects. First, there should be a shift from viewing multi-firm projects as hierarchical contract organizations to viewing them as supply networks characterized by a complex and networked organizational structure. Second, there should be a shift in the emphasis of the predominant modes of governance, market and hierarchy towards novel governance approaches that emphasize network-level mechanisms such as self-regulation within the project. Third, there should be a shift from viewing projects as temporary endeavors to viewing projects as short-term events or episodes embedded in the long-term sphere of shared history and expected future activities among the involved actors. Fourth, there should be a shift from the prevailing narrow view of a hierarchical project management system towards an open system view of managing in complex and challenging institutional environments. © 2010 Elsevier Ltd and IPMA.","author":[{"dropping-particle":"","family":"Ruuska","given":"Inkeri","non-dropping-particle":"","parse-names":false,"suffix":""},{"dropping-particle":"","family":"Ahola","given":"Tuomas","non-dropping-particle":"","parse-names":false,"suffix":""},{"dropping-particle":"","family":"Artto","given":"Karlos","non-dropping-particle":"","parse-names":false,"suffix":""},{"dropping-particle":"","family":"Locatelli","given":"Giorgio","non-dropping-particle":"","parse-names":false,"suffix":""},{"dropping-particle":"","family":"Mancini","given":"Mauro","non-dropping-particle":"","parse-names":false,"suffix":""}],"container-title":"International Journal of Project Management","id":"ITEM-1","issue":"6","issued":{"date-parts":[["2011"]]},"page":"647-660","publisher":"Elsevier Ltd and IPMA","title":"A new governance approach for multi-firm projects: Lessons from Olkiluoto 3 and Flamanville 3 nuclear power plant projects","type":"article-journal","volume":"29"},"uris":["http://www.mendeley.com/documents/?uuid=85cca034-5b81-4ef6-95de-e80c4bbd42c2"]}],"mendeley":{"formattedCitation":"(Ruuska, Ahola, Artto, Locatelli, &amp; Mancini, 2011)","manualFormatting":"Ruuska et al., 2011","plainTextFormattedCitation":"(Ruuska, Ahola, Artto, Locatelli, &amp; Mancini, 2011)","previouslyFormattedCitation":"(Ruuska &lt;i&gt;et al.&lt;/i&gt;, 2011)"},"properties":{"noteIndex":0},"schema":"https://github.com/citation-style-language/schema/raw/master/csl-citation.json"}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Ruuska et al., 2011</w:t>
      </w:r>
      <w:r w:rsidRPr="009672FC">
        <w:rPr>
          <w:rFonts w:ascii="Garamond" w:hAnsi="Garamond"/>
          <w:noProof/>
          <w:sz w:val="24"/>
          <w:szCs w:val="24"/>
        </w:rPr>
        <w:fldChar w:fldCharType="end"/>
      </w:r>
      <w:r w:rsidRPr="009672FC">
        <w:rPr>
          <w:rFonts w:ascii="Garamond" w:hAnsi="Garamond"/>
          <w:noProof/>
          <w:sz w:val="24"/>
          <w:szCs w:val="24"/>
        </w:rPr>
        <w:t>)</w:t>
      </w:r>
      <w:r w:rsidRPr="009672FC">
        <w:rPr>
          <w:rFonts w:ascii="Garamond" w:hAnsi="Garamond"/>
          <w:sz w:val="24"/>
          <w:szCs w:val="24"/>
        </w:rPr>
        <w:fldChar w:fldCharType="end"/>
      </w:r>
      <w:r w:rsidRPr="009672FC">
        <w:rPr>
          <w:rFonts w:ascii="Garamond" w:hAnsi="Garamond"/>
          <w:sz w:val="24"/>
          <w:szCs w:val="24"/>
        </w:rPr>
        <w:t>. Scholars argue that a shift from traditional hierarchical structures to flexible network-level structures promotes a cooperative project team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{"citationItems":[{"id":"ITEM-1","itemData":{"DOI":"10.1016/j.lrp.2017.07.009","ISSN":"18731872","abstract":"This research focuses on the project structure used by coopetitors to achieve common innovation projects. Scholars have recently identified an original but complex project structure that they call the Coopetitive Project Team (CPT). However, other project structures can also be implemented by coopetitors to achieve innovation. Therefore, we address the following question: for which types of innovation projects is CPT appropriate? We argue that coopetitors need to use CPT for high-risk and high-cost projects when the aim is to develop radical innovation. CPT allows coopetitors not only to develop innovation capabilities through close resource and knowledge sharing but also to manage the risk of opportunism. Conversely, coopetitors should use another project structure, Separated Project Teams (SPTs), for low-cost and low-risk projects when the aim is to develop incremental innovation. The SPT design allows coopetitors both to achieve the goal of the project and to minimize the risk of opportunism. To confirm our assumptions, we studied the project portfolios of Airbus and Thales, two firms in the space satellite industry. Our findings confirm that coopetitors should implement CPTs to handle innovation projects that are costly, risky and highly innovative. CPTs permit the sharing of knowledge and the management of high opportunism risk, both of which are necessary to achieve radical innovation. Conversely, coopetitors rely on SPTs for low-cost projects that require a low degree of knowledge sharing, thus avoiding the risk of opportunism in achieving their incremental innovation objectives.","author":[{"dropping-particle":"","family":"Fernandez","given":"Anne Sophie","non-dropping-particle":"","parse-names":false,"suffix":""},{"dropping-particle":"","family":"Roy","given":"Frédéric","non-dropping-particle":"Le","parse-names":false,"suffix":""},{"dropping-particle":"","family":"Chiambaretto","given":"Paul","non-dropping-particle":"","parse-names":false,"suffix":""}],"container-title":"Long Range Planning","id":"ITEM-1","issue":"2","issued":{"date-parts":[["2018"]]},"page":"384-405","title":"Implementing the right project structure to achieve coopetitive innovation projects","type":"article-journal","volume":"51"},"uris":["http://www.mendeley.com/documents/?uuid=7d54ef20-f248-493d-9fef-23616c5ca382"]}],"mendeley":{"formattedCitation":"(Fernandez et al., 2018)","manualFormatting":"Fernandez, Le Roy and Chiambaretto, 2018)","plainTextFormattedCitation":"(Fernandez et al., 2018)","previouslyFormattedCitation":"(Fernandez, Le Roy and Chiambaretto,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Fernandez, Le Roy and Chiambaretto, 2018)</w:t>
      </w:r>
      <w:r w:rsidRPr="009672FC">
        <w:rPr>
          <w:rFonts w:ascii="Garamond" w:hAnsi="Garamond"/>
          <w:sz w:val="24"/>
          <w:szCs w:val="24"/>
        </w:rPr>
        <w:fldChar w:fldCharType="end"/>
      </w:r>
      <w:r w:rsidRPr="009672FC">
        <w:rPr>
          <w:rFonts w:ascii="Garamond" w:hAnsi="Garamond"/>
          <w:sz w:val="24"/>
          <w:szCs w:val="24"/>
        </w:rPr>
        <w:t xml:space="preserve"> and thus, reduces the risk of opportunistic behavio</w:t>
      </w:r>
      <w:r w:rsidR="002663FA" w:rsidRPr="009672FC">
        <w:rPr>
          <w:rFonts w:ascii="Garamond" w:hAnsi="Garamond"/>
          <w:sz w:val="24"/>
          <w:szCs w:val="24"/>
        </w:rPr>
        <w:t>u</w:t>
      </w:r>
      <w:r w:rsidRPr="009672FC">
        <w:rPr>
          <w:rFonts w:ascii="Garamond" w:hAnsi="Garamond"/>
          <w:sz w:val="24"/>
          <w:szCs w:val="24"/>
        </w:rPr>
        <w:t>r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{"citationItems":[{"id":"ITEM-1","itemData":{"DOI":"10.1016/j.ijproman.2010.04.006","ISSN":"02637863","abstract":"There has recently been noted a rapid increase in research attention to projects that involve outside partners. Our knowledge of such inter-organizational projects, however, is limited. This paper reports large scale data from a repeated trend survey amongst 2000 SMEs in 2006 and 2009 that focused on inter-organizational project ventures. Our major findings indicate that the overall prevalence of inter-organizational project ventures remained significant and stable over time, even despite the economic crisis. Moreover, we find that these ventures predominantly solve repetitive rather than unique tasks and are embedded in prior relations between the partnering organizations. These findings provide empirical support for the recent claims that project management should pay more attention to inter-organizational forms of project organization, and suggest that the archetypical view of projects as being unique in every respect should be reconsidered. Both have important implications for project management, especially in the area of project-based learning. © 2010 International Project Management Association.","author":[{"dropping-particle":"","family":"Bakker","given":"René M.","non-dropping-particle":"","parse-names":false,"suffix":""},{"dropping-particle":"","family":"Knoben","given":"Joris","non-dropping-particle":"","parse-names":false,"suffix":""},{"dropping-particle":"","family":"Vries","given":"Nardo","non-dropping-particle":"de","parse-names":false,"suffix":""},{"dropping-particle":"","family":"Oerlemans","given":"Leon A.G.","non-dropping-particle":"","parse-names":false,"suffix":""}],"container-title":"International Journal of Project Management","id":"ITEM-1","issue":"6","issued":{"date-parts":[["2011"]]},"page":"781-794","publisher":"International Project Management Association","title":"The nature and prevalence of inter-organizational project ventures: Evidence from a large scale field study in the Netherlands 2006-2009","type":"article-journal","volume":"29"},"uris":["http://www.mendeley.com/documents/?uuid=ea843ce0-f920-40b9-a3b8-83d0ded6b7a5"]}],"mendeley":{"formattedCitation":"(Bakker et al., 2011)","manualFormatting":"Bakker et al., 2011)","plainTextFormattedCitation":"(Bakker et al., 2011)","previouslyFormattedCitation":"(Bakker &lt;i&gt;et al.&lt;/i&gt;,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Bakker et al., 2011)</w:t>
      </w:r>
      <w:r w:rsidRPr="009672FC">
        <w:rPr>
          <w:rFonts w:ascii="Garamond" w:hAnsi="Garamond"/>
          <w:sz w:val="24"/>
          <w:szCs w:val="24"/>
        </w:rPr>
        <w:fldChar w:fldCharType="end"/>
      </w:r>
      <w:r w:rsidRPr="009672FC">
        <w:rPr>
          <w:rFonts w:ascii="Garamond" w:hAnsi="Garamond"/>
          <w:sz w:val="24"/>
          <w:szCs w:val="24"/>
        </w:rPr>
        <w:t>. While agile networks structures are characterized by high flexibility in their response and swifter to seize new opportunities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and Yang,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Lee and Yang, 2014)</w:t>
      </w:r>
      <w:r w:rsidRPr="009672FC">
        <w:rPr>
          <w:rFonts w:ascii="Garamond" w:hAnsi="Garamond"/>
          <w:sz w:val="24"/>
          <w:szCs w:val="24"/>
        </w:rPr>
        <w:fldChar w:fldCharType="end"/>
      </w:r>
      <w:r w:rsidRPr="009672FC">
        <w:rPr>
          <w:rFonts w:ascii="Garamond" w:hAnsi="Garamond"/>
          <w:sz w:val="24"/>
          <w:szCs w:val="24"/>
        </w:rPr>
        <w:t>,  hierarchical form structures are noted for inflexibility in their response to environmental changes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{"citationItems":[{"id":"ITEM-1","itemData":{"DOI":"10.1016/j.ijproman.2016.09.013","ISSN":"02637863","abstract":"This article studies disaster response and recovery operations from a project management perspective. In disaster response and recovery projects, characterized by uncertainty and time pressure, inter-organizational collaboration among disaster management organizations is essential. Trust and control are viewed as core aspects for building confidence among collaboration partners. This article sheds more light on this trust-control nexus by studying inter-organizational disaster response and recovery in the Netherlands. On the basis of documents and interviews, the roles of trust and control in the relations between the Dutch armed forces and traditional responders are examined. Findings suggest that trust and control are complementary and mutually reinforcing, while both concepts require multi-level studies to distinguish between inter-personal and inter-organizational trust and control. As a link between the trust-control nexus and power comes to the fore, future research is recommended to focus on the importance of organizational interests and power in post-disaster collaboration efforts.","author":[{"dropping-particle":"","family":"Kalkman","given":"Jori Pascal","non-dropping-particle":"","parse-names":false,"suffix":""},{"dropping-particle":"","family":"Waard","given":"Erik J.","non-dropping-particle":"de","parse-names":false,"suffix":""}],"container-title":"International Journal of Project Management","id":"ITEM-1","issue":"5","issued":{"date-parts":[["2017"]]},"page":"889-899","publisher":"Elsevier Ltd, APM and IPMA","title":"Inter-organizational disaster management projects: Finding the middle way between trust and control","type":"article-journal","volume":"35"},"uris":["http://www.mendeley.com/documents/?uuid=d98ad870-52bc-4c38-94ee-dbefc53464e3"]}],"mendeley":{"formattedCitation":"(Kalkman &amp; de Waard, 2017)","manualFormatting":"Kalkman and de Waard, 2017)","plainTextFormattedCitation":"(Kalkman &amp; de Waard, 2017)","previouslyFormattedCitation":"(Kalkman and de Waard,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Kalkman and de Waard, 2017)</w:t>
      </w:r>
      <w:r w:rsidRPr="009672FC">
        <w:rPr>
          <w:rFonts w:ascii="Garamond" w:hAnsi="Garamond"/>
          <w:sz w:val="24"/>
          <w:szCs w:val="24"/>
        </w:rPr>
        <w:fldChar w:fldCharType="end"/>
      </w:r>
      <w:r w:rsidRPr="009672FC">
        <w:rPr>
          <w:rFonts w:ascii="Garamond" w:hAnsi="Garamond"/>
          <w:sz w:val="24"/>
          <w:szCs w:val="24"/>
        </w:rPr>
        <w:t xml:space="preserve">. </w:t>
      </w:r>
    </w:p>
    <w:p w14:paraId="5C0EE4C8" w14:textId="793A51FB"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lastRenderedPageBreak/>
        <w:t xml:space="preserve">Moreover, in their study of front-end projects,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{"citationItems":[{"id":"ITEM-1","itemData":{"DOI":"10.1016/j.indmarman.2017.06.011","ISSN":"00198501","abstract":"This study focuses on collective goal formation in business networks aimed toward new value creation and innovation. Previous research has depicted such networks as value-creating systems or meta-organizations pursuing a system-level goal. We develop these views by addressing a research question: How can multiple organizations collectively form a system-level goal, and how does this affect new value creation at the level of the whole network? We conducted a multi-case study of two Finnish health care networks in which multiple diverse organizations participated in the formation of a system-level goal for the network and developed innovative joint treatment practices for the better care of patients. We derived six propositions and developed a conceptual model explaining how the collective formation of a system-level goal is linked to network-level value creation by increasing network actors’ resource commitment. Furthermore, we introduced important moderating factors, network architects and domain similarity, which affect collective goal formation. We claim that the conceptual model strengthens pre-existing theories on managing business networks through a system-level goal, collective action, framing, agenda construction, and institutional mobilization. We contribute especially to previous research on networks aiming for new value creation.","author":[{"dropping-particle":"","family":"Matinheikki","given":"Juri","non-dropping-particle":"","parse-names":false,"suffix":""},{"dropping-particle":"","family":"Pesonen","given":"Teemu","non-dropping-particle":"","parse-names":false,"suffix":""},{"dropping-particle":"","family":"Artto","given":"Karlos","non-dropping-particle":"","parse-names":false,"suffix":""},{"dropping-particle":"","family":"Peltokorpi","given":"Antti","non-dropping-particle":"","parse-names":false,"suffix":""}],"container-title":"Industrial Marketing Management","id":"ITEM-1","issue":"April 2016","issued":{"date-parts":[["2017"]]},"page":"122-133","publisher":"Elsevier","title":"New value creation in business networks: The role of collective action in constructing system-level goals","type":"article-journal","volume":"67"},"uris":["http://www.mendeley.com/documents/?uuid=aba20923-c1ab-4a88-b8c2-b77b7a922875"]}],"mendeley":{"formattedCitation":"(Matinheikki, Pesonen, Artto, &amp; Peltokorpi, 2017)","manualFormatting":"Matinheikki et al. (2017)","plainTextFormattedCitation":"(Matinheikki, Pesonen, Artto, &amp; Peltokorpi, 2017)","previouslyFormattedCitation":"(Matinheikki &lt;i&gt;et al.&lt;/i&gt;,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Matinheikki et al. (2017)</w:t>
      </w:r>
      <w:r w:rsidRPr="009672FC">
        <w:rPr>
          <w:rFonts w:ascii="Garamond" w:hAnsi="Garamond"/>
          <w:sz w:val="24"/>
          <w:szCs w:val="24"/>
        </w:rPr>
        <w:fldChar w:fldCharType="end"/>
      </w:r>
      <w:r w:rsidRPr="009672FC">
        <w:rPr>
          <w:rFonts w:ascii="Garamond" w:hAnsi="Garamond"/>
          <w:sz w:val="24"/>
          <w:szCs w:val="24"/>
        </w:rPr>
        <w:t xml:space="preserve"> find that structural dimensions (e.g., the network leader’s role, coordination structure, and formal and informal meetings) of network projects affect the performance of front-end projects. These structural properties recognize multiple stakeholder participation in co-creation practices, and structural alignments promote open interaction and the flow of new knowledge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2015)","plainTextFormattedCitation":"(Rossignoli &amp; Ricciardi, 2015)","previouslyFormattedCitation":"(Rossignoli and Ricciardi, 2015)"},"properties":{"noteIndex":0},"schema":"https://github.com/citation-style-language/schema/raw/master/csl-citation.json"}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(Rossignoli &amp; Ricciardi, 2015)</w:t>
      </w:r>
      <w:r w:rsidRPr="009672FC">
        <w:rPr>
          <w:rFonts w:ascii="Garamond" w:hAnsi="Garamond"/>
          <w:sz w:val="24"/>
          <w:szCs w:val="24"/>
        </w:rPr>
        <w:fldChar w:fldCharType="end"/>
      </w:r>
      <w:r w:rsidRPr="009672FC">
        <w:rPr>
          <w:rFonts w:ascii="Garamond" w:hAnsi="Garamond"/>
          <w:sz w:val="24"/>
          <w:szCs w:val="24"/>
        </w:rPr>
        <w:t>.</w:t>
      </w:r>
    </w:p>
    <w:p w14:paraId="2FC2860B" w14:textId="77777777"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i/>
          <w:iCs/>
          <w:sz w:val="24"/>
          <w:szCs w:val="24"/>
        </w:rPr>
        <w:t>IT and communication practices.</w:t>
      </w:r>
      <w:r w:rsidRPr="009672FC">
        <w:rPr>
          <w:rFonts w:ascii="Garamond" w:hAnsi="Garamond"/>
          <w:sz w:val="24"/>
          <w:szCs w:val="24"/>
        </w:rPr>
        <w:t xml:space="preserve"> Many scholars recognize the importance of information technology, for instance, as a medium for the exchange of knowledge and frequency of interaction between inter-firm actors (e.g., </w:t>
      </w:r>
      <w:r w:rsidRPr="009672FC">
        <w:rPr>
          <w:rFonts w:ascii="Garamond" w:hAnsi="Garamond"/>
          <w:sz w:val="20"/>
        </w:rPr>
        <w:fldChar w:fldCharType="begin" w:fldLock="1"/>
      </w:r>
      <w:r w:rsidRPr="009672FC">
        <w:rPr>
          <w:rFonts w:ascii="Garamond" w:hAnsi="Garamond"/>
          <w:sz w:val="24"/>
          <w:szCs w:val="24"/>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et al., 2018)","manualFormatting":"Shamsuzzoha, Al-Kindi and Al-Hinai, 2018;","plainTextFormattedCitation":"(Shamsuzzoha et al., 2018)","previouslyFormattedCitation":"(Shamsuzzoha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Shamsuzzoha, Al-Kindi and Al-Hinai, 2018;</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et al., 2010)","manualFormatting":"Vaccaro, Parente and Veloso, 2010)","plainTextFormattedCitation":"(Vaccaro et al., 2010)","previouslyFormattedCitation":"(Vaccaro et al.,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Vaccaro, Parente and Veloso, 2010)</w:t>
      </w:r>
      <w:r w:rsidRPr="009672FC">
        <w:rPr>
          <w:rFonts w:ascii="Garamond" w:hAnsi="Garamond"/>
          <w:sz w:val="24"/>
          <w:szCs w:val="24"/>
        </w:rPr>
        <w:fldChar w:fldCharType="end"/>
      </w:r>
      <w:r w:rsidRPr="009672FC">
        <w:rPr>
          <w:rFonts w:ascii="Garamond" w:hAnsi="Garamond"/>
          <w:sz w:val="24"/>
          <w:szCs w:val="24"/>
        </w:rPr>
        <w:t xml:space="preserve"> and a tool for performance evaluation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2016)","manualFormatting":"Nuroğlu, 2016; Comuzzi, Vonk and Grefen, 2012)","plainTextFormattedCitation":"(Nuroğlu, 2016)","previouslyFormattedCitation":"(Nuroğlu,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Nuroğlu, 2016;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{"citationItems":[{"id":"ITEM-1","itemData":{"DOI":"10.1016/j.datak.2011.07.004","ISSN":"0169023X","abstract":"The literature on monitoring of cross-organizational processes, executed within business networks, considers monitoring only in the network formation phase, since network establishment determines what can be monitored during process execution. In particular, the impact of evolution in such networks on monitoring is not considered. When a business network evolves, e.g. contracts are introduced, updated, or dropped, or actors join or leave the network, the monitoring requirements of the network actors change as well. As a result, the monitorability of processes in the network may be disrupted. This paper proposes a framework to solve the problem of preserving the monitorability of processes in an evolving business network. We first propose a formal model of business networks, contracts, and monitoring requirements. Then, we model network evolution and the mechanisms to preserve the monitorability of the processes in the network for different types of evolution. In particular, the preservation of monitorability requires the actors in the network to take appropriate actions in case of dependencies between already established contracts, and update their monitoring infrastructure to satisfy the new monitoring requirements introduced by evolution. We also define a set of metrics that can be used for supporting decisions regarding the potential evolution of a business network. A case study in healthcare and the discussion of a prototype implementation show the applicability of our framework in real-world scenarios. © 2011 Elsevier B.V.","author":[{"dropping-particle":"","family":"Comuzzi","given":"Marco","non-dropping-particle":"","parse-names":false,"suffix":""},{"dropping-particle":"","family":"Vonk","given":"Jochem","non-dropping-particle":"","parse-names":false,"suffix":""},{"dropping-particle":"","family":"Grefen","given":"Paul","non-dropping-particle":"","parse-names":false,"suffix":""}],"container-title":"Data and Knowledge Engineering","id":"ITEM-1","issue":"1","issued":{"date-parts":[["2012"]]},"page":"1-28","publisher":"Elsevier B.V.","title":"Measures and mechanisms for process monitoring in evolving business networks","type":"article-journal","volume":"71"},"uris":["http://www.mendeley.com/documents/?uuid=ba44821f-b29e-4281-8854-ae2c30867d33"]}],"mendeley":{"formattedCitation":"(Comuzzi et al., 2012)","manualFormatting":"Comuzzi, Vonk and Grefen, 2012","plainTextFormattedCitation":"(Comuzzi et al., 2012)","previouslyFormattedCitation":"(Comuzzi et al., 2012)"},"properties":{"noteIndex":0},"schema":"https://github.com/citation-style-language/schema/raw/master/csl-citation.json"}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Comuzzi, Vonk and Grefen, 2012</w:t>
      </w:r>
      <w:r w:rsidRPr="009672FC">
        <w:rPr>
          <w:rFonts w:ascii="Garamond" w:hAnsi="Garamond"/>
          <w:noProof/>
          <w:sz w:val="24"/>
          <w:szCs w:val="24"/>
        </w:rPr>
        <w:fldChar w:fldCharType="end"/>
      </w:r>
      <w:r w:rsidRPr="009672FC">
        <w:rPr>
          <w:rFonts w:ascii="Garamond" w:hAnsi="Garamond"/>
          <w:noProof/>
          <w:sz w:val="24"/>
          <w:szCs w:val="24"/>
        </w:rPr>
        <w:t>)</w:t>
      </w:r>
      <w:r w:rsidRPr="009672FC">
        <w:rPr>
          <w:rFonts w:ascii="Garamond" w:hAnsi="Garamond"/>
          <w:sz w:val="24"/>
          <w:szCs w:val="24"/>
        </w:rPr>
        <w:fldChar w:fldCharType="end"/>
      </w:r>
      <w:r w:rsidRPr="009672FC">
        <w:rPr>
          <w:rFonts w:ascii="Garamond" w:hAnsi="Garamond"/>
          <w:sz w:val="24"/>
          <w:szCs w:val="24"/>
        </w:rPr>
        <w:t>. To advance technological capability in innovation networks, firms must leverage IT capabilities through knowledge exploration and exploitation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{"citationItems":[{"id":"ITEM-1","itemData":{"DOI":"10.1016/j.indmarman.2015.05.036","ISSN":"00198501","abstract":"We seek to understand how ambidexterity of exploring and exploiting is managed in an innovation context. We contribute to the literature by elaborating exploring and exploiting as three processes shared between actors in a dynamic business network. An innovator firm needs to (1) explore the current business network to find partners and gain access to resources, (2) develop business relationships for exploiting the emerging network, and (3) explore and find a network-technology fit inside a future business network. The final process is essential to innovation and commercialization. Further, the quality of the network-technology fit will affect the speed and success of the other two processes. Our contribution provides an understanding of the way in which managers are exploring and exploiting the business network to adapt and commercialize a breakthrough technology. A longitudinal case study of biofuel development and commercialization exemplifies the conceptual issues. Final sections address managerial and research implications.","author":[{"dropping-particle":"","family":"Medlin","given":"Christopher J.","non-dropping-particle":"","parse-names":false,"suffix":""},{"dropping-particle":"","family":"Törnroos","given":"Jan Åke","non-dropping-particle":"","parse-names":false,"suffix":""}],"container-title":"Industrial Marketing Management","id":"ITEM-1","issued":{"date-parts":[["2015"]]},"page":"42-52","publisher":"Elsevier B.V.","title":"Exploring and exploiting network relationships to commercialize technology: A biofuel case","type":"article-journal","volume":"49"},"uris":["http://www.mendeley.com/documents/?uuid=21902d1f-e52e-4d25-8f4c-708d55560699"]}],"mendeley":{"formattedCitation":"(Medlin &amp; Törnroos, 2015)","manualFormatting":"Medlin and Törnroos, 2015)","plainTextFormattedCitation":"(Medlin &amp; Törnroos, 2015)","previouslyFormattedCitation":"(Medlin &amp; Törnroos,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Medlin and Törnroos, 2015)</w:t>
      </w:r>
      <w:r w:rsidRPr="009672FC">
        <w:rPr>
          <w:rFonts w:ascii="Garamond" w:hAnsi="Garamond"/>
          <w:sz w:val="24"/>
          <w:szCs w:val="24"/>
        </w:rPr>
        <w:fldChar w:fldCharType="end"/>
      </w:r>
      <w:r w:rsidRPr="009672FC">
        <w:rPr>
          <w:rFonts w:ascii="Garamond" w:hAnsi="Garamond"/>
          <w:sz w:val="24"/>
          <w:szCs w:val="24"/>
        </w:rPr>
        <w:t>.</w:t>
      </w:r>
    </w:p>
    <w:p w14:paraId="07D98173" w14:textId="6A65DD17"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The use of IT has been mainly dominant in the monitoring system for changes in project scope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{"citationItems":[{"id":"ITEM-1","itemData":{"DOI":"10.1016/j.datak.2011.07.004","ISSN":"0169023X","abstract":"The literature on monitoring of cross-organizational processes, executed within business networks, considers monitoring only in the network formation phase, since network establishment determines what can be monitored during process execution. In particular, the impact of evolution in such networks on monitoring is not considered. When a business network evolves, e.g. contracts are introduced, updated, or dropped, or actors join or leave the network, the monitoring requirements of the network actors change as well. As a result, the monitorability of processes in the network may be disrupted. This paper proposes a framework to solve the problem of preserving the monitorability of processes in an evolving business network. We first propose a formal model of business networks, contracts, and monitoring requirements. Then, we model network evolution and the mechanisms to preserve the monitorability of the processes in the network for different types of evolution. In particular, the preservation of monitorability requires the actors in the network to take appropriate actions in case of dependencies between already established contracts, and update their monitoring infrastructure to satisfy the new monitoring requirements introduced by evolution. We also define a set of metrics that can be used for supporting decisions regarding the potential evolution of a business network. A case study in healthcare and the discussion of a prototype implementation show the applicability of our framework in real-world scenarios. © 2011 Elsevier B.V.","author":[{"dropping-particle":"","family":"Comuzzi","given":"Marco","non-dropping-particle":"","parse-names":false,"suffix":""},{"dropping-particle":"","family":"Vonk","given":"Jochem","non-dropping-particle":"","parse-names":false,"suffix":""},{"dropping-particle":"","family":"Grefen","given":"Paul","non-dropping-particle":"","parse-names":false,"suffix":""}],"container-title":"Data and Knowledge Engineering","id":"ITEM-1","issue":"1","issued":{"date-parts":[["2012"]]},"page":"1-28","publisher":"Elsevier B.V.","title":"Measures and mechanisms for process monitoring in evolving business networks","type":"article-journal","volume":"71"},"uris":["http://www.mendeley.com/documents/?uuid=ba44821f-b29e-4281-8854-ae2c30867d33"]}],"mendeley":{"formattedCitation":"(Comuzzi et al., 2012)","manualFormatting":"Comuzzi, Vonk and Grefen, 2012)","plainTextFormattedCitation":"(Comuzzi et al., 2012)","previouslyFormattedCitation":"(Comuzzi, Vonk and Grefen,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Comuzzi, Vonk and Grefen, 2012)</w:t>
      </w:r>
      <w:r w:rsidRPr="009672FC">
        <w:rPr>
          <w:rFonts w:ascii="Garamond" w:hAnsi="Garamond"/>
          <w:sz w:val="24"/>
          <w:szCs w:val="24"/>
        </w:rPr>
        <w:fldChar w:fldCharType="end"/>
      </w:r>
      <w:r w:rsidRPr="009672FC">
        <w:rPr>
          <w:rFonts w:ascii="Garamond" w:hAnsi="Garamond"/>
          <w:sz w:val="24"/>
          <w:szCs w:val="24"/>
        </w:rPr>
        <w:t xml:space="preserve"> and performance measurement and reporting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et al., 2018)","manualFormatting":"Shamsuzzoha, Al-Kindi and Al-Hinai, 2018)","plainTextFormattedCitation":"(Shamsuzzoha et al., 2018)","previouslyFormattedCitation":"(Shamsuzzoha, Al-Kindi and Al-Hinai,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Shamsuzzoha, Al-Kindi and Al-Hinai, 2018)</w:t>
      </w:r>
      <w:r w:rsidRPr="009672FC">
        <w:rPr>
          <w:rFonts w:ascii="Garamond" w:hAnsi="Garamond"/>
          <w:sz w:val="24"/>
          <w:szCs w:val="24"/>
        </w:rPr>
        <w:fldChar w:fldCharType="end"/>
      </w:r>
      <w:r w:rsidRPr="009672FC">
        <w:rPr>
          <w:rFonts w:ascii="Garamond" w:hAnsi="Garamond"/>
          <w:sz w:val="24"/>
          <w:szCs w:val="24"/>
        </w:rPr>
        <w:t xml:space="preserve">. As a driver of technological innovation, IT, especially the communications tools such as social media, accelerate multi-party interactions and </w:t>
      </w:r>
      <w:r w:rsidR="002663FA" w:rsidRPr="009672FC">
        <w:rPr>
          <w:rFonts w:ascii="Garamond" w:hAnsi="Garamond"/>
          <w:sz w:val="24"/>
          <w:szCs w:val="24"/>
        </w:rPr>
        <w:t xml:space="preserve">has </w:t>
      </w:r>
      <w:r w:rsidRPr="009672FC">
        <w:rPr>
          <w:rFonts w:ascii="Garamond" w:hAnsi="Garamond"/>
          <w:sz w:val="24"/>
          <w:szCs w:val="24"/>
        </w:rPr>
        <w:t>a greater potential to narrow the broader proximity between actors in open innovation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{"citationItems":[{"id":"ITEM-1","itemData":{"DOI":"10.1016/j.sbspro.2014.07.084","ISSN":"18770428","abstract":"Industrial networks and clusters have proven to be driving forces for fueling businesses with innovations, advanced research and for accelerating the entry of products and services into the market. The most important successful factors for their development are intensive collaboration, spread at global level and sustainable innovation. In this context, technology will play the most important role in enhancing these aspects. Consequently, the communications tools will transform the way of managing and organizing the entire activities inside groups of companies/institutions. The main goal of this paper is to explore how the communication process in networks and clusters can be improved and innovated based on an analysis of different examples of tools developed and implemented in the case of a cluster initiative in life sciences. This case study reveals different approaches of social media tools used for networking propose which can be adopted by other networks and clusters interested in innovation and know-how exchange.","author":[{"dropping-particle":"","family":"Negruşa","given":"Adina Letiţia","non-dropping-particle":"","parse-names":false,"suffix":""},{"dropping-particle":"","family":"Rus","given":"Rozalia Veronica","non-dropping-particle":"","parse-names":false,"suffix":""},{"dropping-particle":"","family":"Sofică","given":"Aurelian","non-dropping-particle":"","parse-names":false,"suffix":""}],"container-title":"Procedia - Social and Behavioral Sciences","id":"ITEM-1","issued":{"date-parts":[["2014"]]},"page":"588-595","title":"Innovative Tools Used by Business Networks and Clusters in Communication","type":"article-journal","volume":"148"},"uris":["http://www.mendeley.com/documents/?uuid=96c31636-8ea5-4032-97ab-9e01ab48e25e"]}],"mendeley":{"formattedCitation":"(Negruşa, Rus, &amp; Sofică, 2014)","manualFormatting":"Negruşa, Rus and Sofică, 2014)","plainTextFormattedCitation":"(Negruşa, Rus, &amp; Sofică, 2014)","previouslyFormattedCitation":"(Negruşa, Rus and Sofică,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Negruşa, Rus and Sofică, 2014)</w:t>
      </w:r>
      <w:r w:rsidRPr="009672FC">
        <w:rPr>
          <w:rFonts w:ascii="Garamond" w:hAnsi="Garamond"/>
          <w:sz w:val="24"/>
          <w:szCs w:val="24"/>
        </w:rPr>
        <w:fldChar w:fldCharType="end"/>
      </w:r>
      <w:r w:rsidRPr="009672FC">
        <w:rPr>
          <w:rFonts w:ascii="Garamond" w:hAnsi="Garamond"/>
          <w:sz w:val="24"/>
          <w:szCs w:val="24"/>
        </w:rPr>
        <w:t>. Technological capability in innovation networks stimulates knowledge exploration and exploitation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{"citationItems":[{"id":"ITEM-1","itemData":{"DOI":"10.1016/j.indmarman.2015.05.036","ISSN":"00198501","abstract":"We seek to understand how ambidexterity of exploring and exploiting is managed in an innovation context. We contribute to the literature by elaborating exploring and exploiting as three processes shared between actors in a dynamic business network. An innovator firm needs to (1) explore the current business network to find partners and gain access to resources, (2) develop business relationships for exploiting the emerging network, and (3) explore and find a network-technology fit inside a future business network. The final process is essential to innovation and commercialization. Further, the quality of the network-technology fit will affect the speed and success of the other two processes. Our contribution provides an understanding of the way in which managers are exploring and exploiting the business network to adapt and commercialize a breakthrough technology. A longitudinal case study of biofuel development and commercialization exemplifies the conceptual issues. Final sections address managerial and research implications.","author":[{"dropping-particle":"","family":"Medlin","given":"Christopher J.","non-dropping-particle":"","parse-names":false,"suffix":""},{"dropping-particle":"","family":"Törnroos","given":"Jan Åke","non-dropping-particle":"","parse-names":false,"suffix":""}],"container-title":"Industrial Marketing Management","id":"ITEM-1","issued":{"date-parts":[["2015"]]},"page":"42-52","publisher":"Elsevier B.V.","title":"Exploring and exploiting network relationships to commercialize technology: A biofuel case","type":"article-journal","volume":"49"},"uris":["http://www.mendeley.com/documents/?uuid=21902d1f-e52e-4d25-8f4c-708d55560699"]}],"mendeley":{"formattedCitation":"(Medlin &amp; Törnroos, 2015)","manualFormatting":"Medlin and Törnroos, 2015)","plainTextFormattedCitation":"(Medlin &amp; Törnroos, 2015)","previouslyFormattedCitation":"(Medlin and Törnroos,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Medlin and Törnroos, 2015)</w:t>
      </w:r>
      <w:r w:rsidRPr="009672FC">
        <w:rPr>
          <w:rFonts w:ascii="Garamond" w:hAnsi="Garamond"/>
          <w:sz w:val="24"/>
          <w:szCs w:val="24"/>
        </w:rPr>
        <w:fldChar w:fldCharType="end"/>
      </w:r>
      <w:r w:rsidRPr="009672FC">
        <w:rPr>
          <w:rFonts w:ascii="Garamond" w:hAnsi="Garamond"/>
          <w:sz w:val="24"/>
          <w:szCs w:val="24"/>
        </w:rPr>
        <w:t xml:space="preserve">. </w:t>
      </w:r>
      <w:r w:rsidR="002663FA" w:rsidRPr="009672FC">
        <w:rPr>
          <w:rFonts w:ascii="Garamond" w:hAnsi="Garamond"/>
          <w:sz w:val="24"/>
          <w:szCs w:val="24"/>
        </w:rPr>
        <w:t>R</w:t>
      </w:r>
      <w:r w:rsidRPr="009672FC">
        <w:rPr>
          <w:rFonts w:ascii="Garamond" w:hAnsi="Garamond"/>
          <w:sz w:val="24"/>
          <w:szCs w:val="24"/>
        </w:rPr>
        <w:t>ecent studies posit that the proliferation of IT accelerates the development of start-ups and SMEs through social interaction between actors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et al., 2018)","manualFormatting":"Shamsuzzoha, Al-Kindi and Al-Hinai, 2018)","plainTextFormattedCitation":"(Shamsuzzoha et al., 2018)","previouslyFormattedCitation":"(Shamsuzzoha, Al-Kindi and Al-Hinai,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Shamsuzzoha, Al-Kindi and Al-Hinai, 2018)</w:t>
      </w:r>
      <w:r w:rsidRPr="009672FC">
        <w:rPr>
          <w:rFonts w:ascii="Garamond" w:hAnsi="Garamond"/>
          <w:sz w:val="24"/>
          <w:szCs w:val="24"/>
        </w:rPr>
        <w:fldChar w:fldCharType="end"/>
      </w:r>
      <w:r w:rsidRPr="009672FC">
        <w:rPr>
          <w:rFonts w:ascii="Garamond" w:hAnsi="Garamond"/>
          <w:sz w:val="24"/>
          <w:szCs w:val="24"/>
        </w:rPr>
        <w:t xml:space="preserve">. Thus, network firms must develop IT capabilities by investing in a physical IT infrastructure and promoting managerial IT knowledge and skills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2016)","plainTextFormattedCitation":"(Nuroğlu, 2016)","previouslyFormattedCitation":"(Nuroğlu,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(Nuroğlu, 2016)</w:t>
      </w:r>
      <w:r w:rsidRPr="009672FC">
        <w:rPr>
          <w:rFonts w:ascii="Garamond" w:hAnsi="Garamond"/>
          <w:sz w:val="24"/>
          <w:szCs w:val="24"/>
        </w:rPr>
        <w:fldChar w:fldCharType="end"/>
      </w:r>
      <w:r w:rsidRPr="009672FC">
        <w:rPr>
          <w:rFonts w:ascii="Garamond" w:hAnsi="Garamond"/>
          <w:sz w:val="24"/>
          <w:szCs w:val="24"/>
        </w:rPr>
        <w:t xml:space="preserve">.  Moreover, in open-source software networks,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{"citationItems":[{"id":"ITEM-1","itemData":{"DOI":"10.1287/isre.1080.0207","ISSN":"15265536","abstract":"Peer production phenomena such as open source software (OSS) have been posited as a viable alternative to traditional production models. However, community-based development often falls short of creating software \"products\" in the sense that consumers understand. Our research identifies an emerging business network archetype in the OSS sector, the open source service network (OSSN), which seeks to address the \" productization\" challenge. To do so, OSSNs must overcome the problems associated with exchanging resources between firms. We demonstrate that OSSNs overcome exchange problems by primarily relying on social, rather than legal, mechanisms; similar to the OSS communities from which they emerged. This is made possible because OSSNs use IT infrastructures that provide high visibility for primary value-creating activities. The research utilizes a multimethod theory-building approach, deriving a model from extant research, refining the model through qualitative case study analysis, and further refining the model through quantitative analysis of survey data. The paper reveals the manifestation of social mechanisms in OSSNs and how these are used for coordinating and safeguarding exchanges between firms. Specifically, we illustrate the primary importance of a shared macroculture (goals and norms) and collective sanctions for punishing firms who violate these goals/norms. Furthermore, our research highlights the interplay between digital and social networks within OSSNs, demonstrating that the use of social mechanisms is inherently dependent upon the underlying IT infrastructure. © 2008 INFORMS.","author":[{"dropping-particle":"","family":"Feller","given":"Joseph","non-dropping-particle":"","parse-names":false,"suffix":""},{"dropping-particle":"","family":"Finnegan","given":"Patrick","non-dropping-particle":"","parse-names":false,"suffix":""},{"dropping-particle":"","family":"Fitzgerald","given":"Brian","non-dropping-particle":"","parse-names":false,"suffix":""},{"dropping-particle":"","family":"Hayes","given":"Jeremy","non-dropping-particle":"","parse-names":false,"suffix":""}],"container-title":"Information Systems Research","id":"ITEM-1","issue":"4","issued":{"date-parts":[["2008"]]},"page":"475-493","title":"From peer production to productization: A study of socially enabled business exchanges in open source service networks","type":"article-journal","volume":"19"},"uris":["http://www.mendeley.com/documents/?uuid=f1c4c521-4aaf-43be-a6dd-0e6ec41d8577"]}],"mendeley":{"formattedCitation":"(Feller, Finnegan, Fitzgerald, &amp; Hayes, 2008)","manualFormatting":"Feller et al. (2008)","plainTextFormattedCitation":"(Feller, Finnegan, Fitzgerald, &amp; Hayes, 2008)","previouslyFormattedCitation":"(Feller &lt;i&gt;et al.&lt;/i&gt;, 2008)"},"properties":{"noteIndex":0},"schema":"https://github.com/citation-style-language/schema/raw/master/csl-citation.json"}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Feller et al. (2008)</w:t>
      </w:r>
      <w:r w:rsidRPr="009672FC">
        <w:rPr>
          <w:rFonts w:ascii="Garamond" w:hAnsi="Garamond"/>
          <w:sz w:val="24"/>
          <w:szCs w:val="24"/>
        </w:rPr>
        <w:fldChar w:fldCharType="end"/>
      </w:r>
      <w:r w:rsidRPr="009672FC">
        <w:rPr>
          <w:rFonts w:ascii="Garamond" w:hAnsi="Garamond"/>
          <w:sz w:val="24"/>
          <w:szCs w:val="24"/>
        </w:rPr>
        <w:t xml:space="preserve"> argue that IT infrastructure enhances high visibility for primary value-creating activities and a social community of practice. New communication tools, such as social media, are especially relevant for social interactions among network firms and project teams and thus, promote a strong brand presence and brand image.</w:t>
      </w:r>
    </w:p>
    <w:p w14:paraId="5B1C7A6D" w14:textId="06D6277A"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i/>
          <w:iCs/>
          <w:sz w:val="24"/>
          <w:szCs w:val="24"/>
        </w:rPr>
        <w:t>Governance mechanisms.</w:t>
      </w:r>
      <w:r w:rsidRPr="009672FC">
        <w:rPr>
          <w:rFonts w:ascii="Garamond" w:hAnsi="Garamond"/>
          <w:sz w:val="24"/>
          <w:szCs w:val="24"/>
        </w:rPr>
        <w:t xml:space="preserve"> Scholars have over-emphasized the importance of government control in inter-organizational relationship performance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{"citationItems":[{"id":"ITEM-1","itemData":{"DOI":"10.1016/j.sbspro.2012.02.148","ISSN":"18770428","abstract":"This paper aims to identify conflicts in Partnering arrangement between contractors in Malaysia, the barrier encountered and suggestion in preventing conflict in Partnering. It was found that partnering is an effective way to improve conflict by having good relationships among parties involved which involves mutual objectives, commitment, trust and teamwork among the parties in achieving goals. It is recommended that by attending workshop is the best way to spell out partner responsibility and scope of work. It is hope that possible measure need to be carried out as early as possible to avoid conflicts in the partnership.","author":[{"dropping-particle":"","family":"Adnan","given":"Hamimah","non-dropping-particle":"","parse-names":false,"suffix":""},{"dropping-particle":"","family":"Shamsuddin","given":"Siti Mazuana","non-dropping-particle":"","parse-names":false,"suffix":""},{"dropping-particle":"","family":"Supardi","given":"Azizan","non-dropping-particle":"","parse-names":false,"suffix":""},{"dropping-particle":"","family":"Ahmad","given":"Norizan","non-dropping-particle":"","parse-names":false,"suffix":""}],"container-title":"Procedia - Social and Behavioral Sciences","id":"ITEM-1","issue":"December 2011","issued":{"date-parts":[["2012"]]},"page":"772-781","title":"Conflict Prevention in Partnering Projects","type":"article-journal","volume":"35"},"uris":["http://www.mendeley.com/documents/?uuid=25bd6a31-4509-4be4-aea7-9cc27cff0b60"]}],"mendeley":{"formattedCitation":"(Adnan et al., 2012)","manualFormatting":"Adnan et al., 2012","plainTextFormattedCitation":"(Adnan et al., 2012)","previouslyFormattedCitation":"(Adnan et al.,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Adnan et al., 2012</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{"citationItems":[{"id":"ITEM-1","itemData":{"DOI":"10.1016/j.sbspro.2014.03.026","ISSN":"18770428","abstract":"The situation between client and contractor in infrastructure projects seems to be quite similar in Germany and all over the world. Cost and time overruns seem to be normal occurrences in these projects. Both, client and contractor complain about the bad conditions. Getting out of this situation different partnering approaches have been developed all over the world in the last years. A “partnering guideline for public financed infrastructure projects” has been developed at the University of Kassel in collaboration with the Federal Ministry of Transport, construction associations, client organizations and various construction companies for the special conditions in Germany. During the last four years this guideline has been tested in pilot projects accompanied by the Chair of Project Management to evaluate its usability, find elements which may need improvement and to proof the advantages of this form of project handling. The results of this testing phase show a clear change towards more collaboration. Conflicts could be avoided or at least solved faster and cost savings for the client respectively bonuses for the contractors could be achieved by using value engineering.","author":[{"dropping-particle":"","family":"Spang","given":"Konrad","non-dropping-particle":"","parse-names":false,"suffix":""},{"dropping-particle":"","family":"Riemann","given":"Stefan","non-dropping-particle":"","parse-names":false,"suffix":""}],"container-title":"Procedia - Social and Behavioral Sciences","id":"ITEM-1","issue":"0","issued":{"date-parts":[["2014"]]},"page":"219-228","publisher":"Elsevier B.V.","title":"Partnering in Infrastructure Projects in Germany","type":"article-journal","volume":"119"},"uris":["http://www.mendeley.com/documents/?uuid=b8d4eda4-5f7b-4537-8788-a8c5a32098f2"]}],"mendeley":{"formattedCitation":"(Spang &amp; Riemann, 2014)","manualFormatting":"Spang and Riemann, 2014;","plainTextFormattedCitation":"(Spang &amp; Riemann, 2014)","previouslyFormattedCitation":"(Spang &amp; Riemann,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Spang and Riemann, 2014;</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{"citationItems":[{"id":"ITEM-1","itemData":{"DOI":"10.1016/S0019-8501(02)00227-4","ISSN":"00198501","abstract":"This article focuses on how the phenomenon of conflict between buyer and seller in complex projects can be approached from a theoretical and a methodological angle. Two paradigms for approaching conflict are discussed: conflict as a problem to be removed and conflict as a resource and tool for improvement. Constructs to be used include conflict events that indicate traces of conflict. It is further argued that the conflict events should be related to formal and informal governance mechanisms in order to understand how conflict can be used to strengthen the business relationship between the parties. © 2002 Elsevier Science Inc.","author":[{"dropping-particle":"","family":"Vaaland","given":"Terje I.","non-dropping-particle":"","parse-names":false,"suffix":""},{"dropping-particle":"","family":"Håkansson","given":"Håkan","non-dropping-particle":"","parse-names":false,"suffix":""}],"container-title":"Industrial Marketing Management","id":"ITEM-1","issue":"2","issued":{"date-parts":[["2003"]]},"page":"127-138","title":"Exploring interorganizational conflict in complex projects","type":"article-journal","volume":"32"},"uris":["http://www.mendeley.com/documents/?uuid=4edff275-b07f-4195-bc70-5509425e096b"]}],"mendeley":{"formattedCitation":"(Vaaland &amp; Håkansson, 2003)","manualFormatting":"Vaaland and Håkansson, 2003)","plainTextFormattedCitation":"(Vaaland &amp; Håkansson, 2003)","previouslyFormattedCitation":"(Vaaland &amp; Håkansson,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Vaaland and Håkansson, 2003)</w:t>
      </w:r>
      <w:r w:rsidRPr="009672FC">
        <w:rPr>
          <w:rFonts w:ascii="Garamond" w:hAnsi="Garamond"/>
          <w:sz w:val="24"/>
          <w:szCs w:val="24"/>
        </w:rPr>
        <w:fldChar w:fldCharType="end"/>
      </w:r>
      <w:r w:rsidRPr="009672FC">
        <w:rPr>
          <w:rFonts w:ascii="Garamond" w:hAnsi="Garamond"/>
          <w:sz w:val="24"/>
          <w:szCs w:val="24"/>
        </w:rPr>
        <w:t>. Governance control mitigates conflict between actors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{"citationItems":[{"id":"ITEM-1","itemData":{"DOI":"10.1007/s10799-013-0165-x","ISSN":"1385951X","abstract":"This research explores how inter-organizational relationship interacts with factors affecting the develop- ment and implementation of information sharing. On the basis of the resource-based view and relational risk per- spective, we developed a model which comprises three research hypotheses with three constructs, including rela- tional benefits, relational risk, and information sharing. The constructs are measured by well-supported measures in the literature. Structural equation modeling was used to ana- lyze survey data collected from 528 manufacturing firms that were among the top 1,000 Taiwanese manufacturing firms of 2011 listed by Business Weekly. The results of the empirical study suggest that relational benefits are critical in ensuring information sharing and mitigate relational risk in the process. The findings of the study provide useful insights into how supply chain members can reinforce their relational benefits and mitigate probable risks so as to improve their collaborative behaviors and in turn enhance information sharing for the supply chain as a whole.","author":[{"dropping-particle":"","family":"Cheng","given":"Jao Hong","non-dropping-particle":"","parse-names":false,"suffix":""},{"dropping-particle":"","family":"Chen","given":"Shu Wei","non-dropping-particle":"","parse-names":false,"suffix":""},{"dropping-particle":"","family":"Chen","given":"Fang Yuan","non-dropping-particle":"","parse-names":false,"suffix":""}],"container-title":"Information Technology and Management","id":"ITEM-1","issue":"4","issued":{"date-parts":[["2013"]]},"page":"283-294","title":"Exploring how inter-organizational relational benefits affect information sharing in supply chains","type":"article-journal","volume":"14"},"uris":["http://www.mendeley.com/documents/?uuid=fb367dbc-d533-4535-815e-5c6a26a6bf91"]}],"mendeley":{"formattedCitation":"(Cheng, Chen, &amp; Chen, 2013)","manualFormatting":"Cheng, Chen and Chen, 2013)","plainTextFormattedCitation":"(Cheng, Chen, &amp; Chen, 2013)","previouslyFormattedCitation":"(Cheng et al., 2013)"},"properties":{"noteIndex":0},"schema":"https://github.com/citation-style-language/schema/raw/master/csl-citation.json"}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Cheng, </w:t>
      </w:r>
      <w:r w:rsidRPr="009672FC">
        <w:rPr>
          <w:rFonts w:ascii="Garamond" w:hAnsi="Garamond"/>
          <w:noProof/>
          <w:sz w:val="24"/>
          <w:szCs w:val="24"/>
        </w:rPr>
        <w:lastRenderedPageBreak/>
        <w:t>Chen and Chen, 2013)</w:t>
      </w:r>
      <w:r w:rsidRPr="009672FC">
        <w:rPr>
          <w:rFonts w:ascii="Garamond" w:hAnsi="Garamond"/>
          <w:sz w:val="24"/>
          <w:szCs w:val="24"/>
        </w:rPr>
        <w:fldChar w:fldCharType="end"/>
      </w:r>
      <w:r w:rsidRPr="009672FC">
        <w:rPr>
          <w:rFonts w:ascii="Garamond" w:hAnsi="Garamond"/>
          <w:sz w:val="24"/>
          <w:szCs w:val="24"/>
        </w:rPr>
        <w:t xml:space="preserve">. The type and objective of innovation seem to drive a network’s choice of controls. Scholars argue that a mix of relational and formal contract mechanisms seems to yield better performance results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{"citationItems":[{"id":"ITEM-1","itemData":{"DOI":"10.1287/isre.1080.0207","ISSN":"15265536","abstract":"Peer production phenomena such as open source software (OSS) have been posited as a viable alternative to traditional production models. However, community-based development often falls short of creating software \"products\" in the sense that consumers understand. Our research identifies an emerging business network archetype in the OSS sector, the open source service network (OSSN), which seeks to address the \" productization\" challenge. To do so, OSSNs must overcome the problems associated with exchanging resources between firms. We demonstrate that OSSNs overcome exchange problems by primarily relying on social, rather than legal, mechanisms; similar to the OSS communities from which they emerged. This is made possible because OSSNs use IT infrastructures that provide high visibility for primary value-creating activities. The research utilizes a multimethod theory-building approach, deriving a model from extant research, refining the model through qualitative case study analysis, and further refining the model through quantitative analysis of survey data. The paper reveals the manifestation of social mechanisms in OSSNs and how these are used for coordinating and safeguarding exchanges between firms. Specifically, we illustrate the primary importance of a shared macroculture (goals and norms) and collective sanctions for punishing firms who violate these goals/norms. Furthermore, our research highlights the interplay between digital and social networks within OSSNs, demonstrating that the use of social mechanisms is inherently dependent upon the underlying IT infrastructure. © 2008 INFORMS.","author":[{"dropping-particle":"","family":"Feller","given":"Joseph","non-dropping-particle":"","parse-names":false,"suffix":""},{"dropping-particle":"","family":"Finnegan","given":"Patrick","non-dropping-particle":"","parse-names":false,"suffix":""},{"dropping-particle":"","family":"Fitzgerald","given":"Brian","non-dropping-particle":"","parse-names":false,"suffix":""},{"dropping-particle":"","family":"Hayes","given":"Jeremy","non-dropping-particle":"","parse-names":false,"suffix":""}],"container-title":"Information Systems Research","id":"ITEM-1","issue":"4","issued":{"date-parts":[["2008"]]},"page":"475-493","title":"From peer production to productization: A study of socially enabled business exchanges in open source service networks","type":"article-journal","volume":"19"},"uris":["http://www.mendeley.com/documents/?uuid=f1c4c521-4aaf-43be-a6dd-0e6ec41d8577"]}],"mendeley":{"formattedCitation":"(Feller et al., 2008)","manualFormatting":"Feller et al., 2008","plainTextFormattedCitation":"(Feller et al., 2008)","previouslyFormattedCitation":"(Feller et al., 2008)"},"properties":{"noteIndex":0},"schema":"https://github.com/citation-style-language/schema/raw/master/csl-citation.json"}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Feller et al., 2008</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{"citationItems":[{"id":"ITEM-1","itemData":{"DOI":"10.1016/j.ijproman.2017.09.009","ISSN":"02637863","abstract":"The importance of control in the success of a project was clearly established in project literature. However, the impact mechanisms of intra-organizational and inter-organizational control on the performance of new product development (NPD) performance did not receive considerable attention in the increasingly important context of open innovation. To fill this gap, this study explores intra-organizational and inter-organizational control and their interaction effect on NPD performance in open innovation. The results show that intra-organizational formal control and inter-organizational trust positively influence NPD performance, whereas intra-organizational professional control and inter-organizational contract control have no significant effect. The interaction effect between inter-organizational and inter-organizational control positively influence NPD performance. These findings provide new insights into effective control practices for improving NPD project performance in open innovation.","author":[{"dropping-particle":"","family":"Lu","given":"Ping","non-dropping-particle":"","parse-names":false,"suffix":""},{"dropping-particle":"","family":"Yuan","given":"Shimei","non-dropping-particle":"","parse-names":false,"suffix":""},{"dropping-particle":"","family":"Wu","given":"Jianlin","non-dropping-particle":"","parse-names":false,"suffix":""}],"container-title":"International Journal of Project Management","id":"ITEM-1","issue":"8","issued":{"date-parts":[["2017"]]},"page":"1627-1638","publisher":"Elsevier Ltd, APM and IPMA","title":"The interaction effect between intra-organizational and inter-organizational control on the project performance of new product development in open innovation","type":"article-journal","volume":"35"},"uris":["http://www.mendeley.com/documents/?uuid=fd5a6f9a-a027-4aa5-9942-93f871b24a3f"]}],"mendeley":{"formattedCitation":"(Lu, Yuan, &amp; Wu, 2017)","manualFormatting":"Lu, Yuan and Wu, 2017)","plainTextFormattedCitation":"(Lu, Yuan, &amp; Wu, 2017)","previouslyFormattedCitation":"(Lu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Lu, Yuan and Wu, 2017)</w:t>
      </w:r>
      <w:r w:rsidRPr="009672FC">
        <w:rPr>
          <w:rFonts w:ascii="Garamond" w:hAnsi="Garamond"/>
          <w:sz w:val="24"/>
          <w:szCs w:val="24"/>
        </w:rPr>
        <w:fldChar w:fldCharType="end"/>
      </w:r>
      <w:r w:rsidRPr="009672FC">
        <w:rPr>
          <w:rFonts w:ascii="Garamond" w:hAnsi="Garamond"/>
          <w:sz w:val="24"/>
          <w:szCs w:val="24"/>
        </w:rPr>
        <w:t>. The authors emphasize that relational control promotes trust and enables informal relationships based on cooperation, thus promoting the exchange of explicit and tacit knowledge between actors. Although relational control is characterized by relational risks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{"citationItems":[{"id":"ITEM-1","itemData":{"DOI":"10.1007/s10799-013-0165-x","ISSN":"1385951X","abstract":"This research explores how inter-organizational relationship interacts with factors affecting the develop- ment and implementation of information sharing. On the basis of the resource-based view and relational risk per- spective, we developed a model which comprises three research hypotheses with three constructs, including rela- tional benefits, relational risk, and information sharing. The constructs are measured by well-supported measures in the literature. Structural equation modeling was used to ana- lyze survey data collected from 528 manufacturing firms that were among the top 1,000 Taiwanese manufacturing firms of 2011 listed by Business Weekly. The results of the empirical study suggest that relational benefits are critical in ensuring information sharing and mitigate relational risk in the process. The findings of the study provide useful insights into how supply chain members can reinforce their relational benefits and mitigate probable risks so as to improve their collaborative behaviors and in turn enhance information sharing for the supply chain as a whole.","author":[{"dropping-particle":"","family":"Cheng","given":"Jao Hong","non-dropping-particle":"","parse-names":false,"suffix":""},{"dropping-particle":"","family":"Chen","given":"Shu Wei","non-dropping-particle":"","parse-names":false,"suffix":""},{"dropping-particle":"","family":"Chen","given":"Fang Yuan","non-dropping-particle":"","parse-names":false,"suffix":""}],"container-title":"Information Technology and Management","id":"ITEM-1","issue":"4","issued":{"date-parts":[["2013"]]},"page":"283-294","title":"Exploring how inter-organizational relational benefits affect information sharing in supply chains","type":"article-journal","volume":"14"},"uris":["http://www.mendeley.com/documents/?uuid=fb367dbc-d533-4535-815e-5c6a26a6bf91"]}],"mendeley":{"formattedCitation":"(Cheng et al., 2013)","manualFormatting":"Cheng, Chen and Chen, 2013;","plainTextFormattedCitation":"(Cheng et al., 2013)","previouslyFormattedCitation":"(Cheng et al., 2013)"},"properties":{"noteIndex":0},"schema":"https://github.com/citation-style-language/schema/raw/master/csl-citation.json"}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Cheng, Chen and Chen, 2013;</w:t>
      </w:r>
      <w:r w:rsidRPr="009672FC">
        <w:rPr>
          <w:rFonts w:ascii="Garamond" w:hAnsi="Garamond"/>
          <w:sz w:val="24"/>
          <w:szCs w:val="24"/>
        </w:rPr>
        <w:fldChar w:fldCharType="end"/>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{"citationItems":[{"id":"ITEM-1","itemData":{"DOI":"10.1016/j.ijproman.2003.11.003","ISSN":"02637863","abstract":"The paper aims at exploring how collaboration between clients and major contractors can be improved in situations where tension is challenging relationship continuation. Relationship conflict is reduced through the identification of conflictual events and analysis of differences in both parties' perceptions. By addressing these events it is possible to reveal the underlying dimensions of tension and reluctance for relationship commitment and trust. In order to improve the level of collaboration a process is tested on a Norwegian construction project. The managerial implications of the process is that tension between the contractor and the client can be reduced to a level where the relationship can survive, and even grow stronger than prior to undertaking the process. © 2003 Elsevier Ltd and IPMA. All rights reserved.","author":[{"dropping-particle":"","family":"Vaaland","given":"Terje I.","non-dropping-particle":"","parse-names":false,"suffix":""}],"container-title":"International Journal of Project Management","id":"ITEM-1","issue":"6","issued":{"date-parts":[["2004"]]},"page":"447-454","title":"Improving project collaboration: Start with the conflicts","type":"article-journal","volume":"22"},"uris":["http://www.mendeley.com/documents/?uuid=1e80feaa-440d-4269-9789-66d278481be1"]}],"mendeley":{"formattedCitation":"(Vaaland, 2004)","manualFormatting":" Vaaland, 2004)","plainTextFormattedCitation":"(Vaaland, 2004)","previouslyFormattedCitation":"(Vaaland,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Vaaland, 2004)</w:t>
      </w:r>
      <w:r w:rsidRPr="009672FC">
        <w:rPr>
          <w:rFonts w:ascii="Garamond" w:hAnsi="Garamond"/>
          <w:sz w:val="24"/>
          <w:szCs w:val="24"/>
        </w:rPr>
        <w:fldChar w:fldCharType="end"/>
      </w:r>
      <w:r w:rsidRPr="009672FC">
        <w:rPr>
          <w:rFonts w:ascii="Garamond" w:hAnsi="Garamond"/>
          <w:sz w:val="24"/>
          <w:szCs w:val="24"/>
        </w:rPr>
        <w:t>, undesirable knowledge spillover outside the business network undermines innovation practice.</w:t>
      </w:r>
    </w:p>
    <w:p w14:paraId="53019019" w14:textId="10AF6DC0"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Scholars argue that formal contracts, on the other hand, are perhaps the most applicable control for promoting conformity to management best practices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{"citationItems":[{"id":"ITEM-1","itemData":{"DOI":"10.1016/j.ijproman.2017.09.009","ISSN":"02637863","abstract":"The importance of control in the success of a project was clearly established in project literature. However, the impact mechanisms of intra-organizational and inter-organizational control on the performance of new product development (NPD) performance did not receive considerable attention in the increasingly important context of open innovation. To fill this gap, this study explores intra-organizational and inter-organizational control and their interaction effect on NPD performance in open innovation. The results show that intra-organizational formal control and inter-organizational trust positively influence NPD performance, whereas intra-organizational professional control and inter-organizational contract control have no significant effect. The interaction effect between inter-organizational and inter-organizational control positively influence NPD performance. These findings provide new insights into effective control practices for improving NPD project performance in open innovation.","author":[{"dropping-particle":"","family":"Lu","given":"Ping","non-dropping-particle":"","parse-names":false,"suffix":""},{"dropping-particle":"","family":"Yuan","given":"Shimei","non-dropping-particle":"","parse-names":false,"suffix":""},{"dropping-particle":"","family":"Wu","given":"Jianlin","non-dropping-particle":"","parse-names":false,"suffix":""}],"container-title":"International Journal of Project Management","id":"ITEM-1","issue":"8","issued":{"date-parts":[["2017"]]},"page":"1627-1638","publisher":"Elsevier Ltd, APM and IPMA","title":"The interaction effect between intra-organizational and inter-organizational control on the project performance of new product development in open innovation","type":"article-journal","volume":"35"},"uris":["http://www.mendeley.com/documents/?uuid=fd5a6f9a-a027-4aa5-9942-93f871b24a3f"]}],"mendeley":{"formattedCitation":"(Lu et al., 2017)","manualFormatting":"Lu, Yuan and Wu, 2017)","plainTextFormattedCitation":"(Lu et al., 2017)","previouslyFormattedCitation":"(Lu, Yuan and Wu,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Lu, Yuan and Wu, 2017)</w:t>
      </w:r>
      <w:r w:rsidRPr="009672FC">
        <w:rPr>
          <w:rFonts w:ascii="Garamond" w:hAnsi="Garamond"/>
          <w:sz w:val="24"/>
          <w:szCs w:val="24"/>
        </w:rPr>
        <w:fldChar w:fldCharType="end"/>
      </w:r>
      <w:r w:rsidRPr="009672FC">
        <w:rPr>
          <w:rFonts w:ascii="Garamond" w:hAnsi="Garamond"/>
          <w:sz w:val="24"/>
          <w:szCs w:val="24"/>
        </w:rPr>
        <w:t xml:space="preserve"> and mitigat</w:t>
      </w:r>
      <w:r w:rsidR="002663FA" w:rsidRPr="009672FC">
        <w:rPr>
          <w:rFonts w:ascii="Garamond" w:hAnsi="Garamond"/>
          <w:sz w:val="24"/>
          <w:szCs w:val="24"/>
        </w:rPr>
        <w:t>ing</w:t>
      </w:r>
      <w:r w:rsidRPr="009672FC">
        <w:rPr>
          <w:rFonts w:ascii="Garamond" w:hAnsi="Garamond"/>
          <w:sz w:val="24"/>
          <w:szCs w:val="24"/>
        </w:rPr>
        <w:t xml:space="preserve"> against misappropriation of proprietary knowledge, financial resources, and intellectual rights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author":[{"dropping-particle":"","family":"Newell","given":"Sue","non-dropping-particle":"","parse-names":false,"suffix":""},{"dropping-particle":"","family":"Swan","given":"Jacky","non-dropping-particle":"","parse-names":false,"suffix":""}],"container-title":"Human Relations","id":"ITEM-1","issue":"10","issued":{"date-parts":[["2000"]]},"page":"1287-1328","title":"Trust and inter-organizational networking","type":"article-journal","volume":"53"},"uris":["http://www.mendeley.com/documents/?uuid=b97d2573-0ead-4a70-af65-7a5fa20d56f1"]}],"mendeley":{"formattedCitation":"(Newell &amp; Swan, 2000)","manualFormatting":"Newell and Swan, 2000)","plainTextFormattedCitation":"(Newell &amp; Swan, 2000)","previouslyFormattedCitation":"(Newell and Swan,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Newell and Swan, 2000)</w:t>
      </w:r>
      <w:r w:rsidRPr="009672FC">
        <w:rPr>
          <w:rFonts w:ascii="Garamond" w:hAnsi="Garamond"/>
          <w:sz w:val="24"/>
          <w:szCs w:val="24"/>
        </w:rPr>
        <w:fldChar w:fldCharType="end"/>
      </w:r>
      <w:r w:rsidRPr="009672FC">
        <w:rPr>
          <w:rFonts w:ascii="Garamond" w:hAnsi="Garamond"/>
          <w:sz w:val="24"/>
          <w:szCs w:val="24"/>
        </w:rPr>
        <w:t xml:space="preserve">. However, in the study of complex projects,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{"citationItems":[{"id":"ITEM-1","itemData":{"DOI":"10.1016/S0019-8501(02)00227-4","ISSN":"00198501","abstract":"This article focuses on how the phenomenon of conflict between buyer and seller in complex projects can be approached from a theoretical and a methodological angle. Two paradigms for approaching conflict are discussed: conflict as a problem to be removed and conflict as a resource and tool for improvement. Constructs to be used include conflict events that indicate traces of conflict. It is further argued that the conflict events should be related to formal and informal governance mechanisms in order to understand how conflict can be used to strengthen the business relationship between the parties. © 2002 Elsevier Science Inc.","author":[{"dropping-particle":"","family":"Vaaland","given":"Terje I.","non-dropping-particle":"","parse-names":false,"suffix":""},{"dropping-particle":"","family":"Håkansson","given":"Håkan","non-dropping-particle":"","parse-names":false,"suffix":""}],"container-title":"Industrial Marketing Management","id":"ITEM-1","issue":"2","issued":{"date-parts":[["2003"]]},"page":"127-138","title":"Exploring interorganizational conflict in complex projects","type":"article-journal","volume":"32"},"uris":["http://www.mendeley.com/documents/?uuid=4edff275-b07f-4195-bc70-5509425e096b"]}],"mendeley":{"formattedCitation":"(Vaaland &amp; Håkansson, 2003)","manualFormatting":"Vaaland and Håkansson, (2003)","plainTextFormattedCitation":"(Vaaland &amp; Håkansson, 2003)","previouslyFormattedCitation":"(Vaaland and Håkansson,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Vaaland and Håkansson, (2003)</w:t>
      </w:r>
      <w:r w:rsidRPr="009672FC">
        <w:rPr>
          <w:rFonts w:ascii="Garamond" w:hAnsi="Garamond"/>
          <w:sz w:val="24"/>
          <w:szCs w:val="24"/>
        </w:rPr>
        <w:fldChar w:fldCharType="end"/>
      </w:r>
      <w:r w:rsidRPr="009672FC">
        <w:rPr>
          <w:rFonts w:ascii="Garamond" w:hAnsi="Garamond"/>
          <w:sz w:val="24"/>
          <w:szCs w:val="24"/>
        </w:rPr>
        <w:t xml:space="preserve"> find that formal governance mechanisms are the main sources of conflict and are also inflexible to interfirm relational rent generating practices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1998)","plainTextFormattedCitation":"(Dyer &amp; Singh, 1998)","previouslyFormattedCitation":"(Dyer and Singh, 1998)"},"properties":{"noteIndex":0},"schema":"https://github.com/citation-style-language/schema/raw/master/csl-citation.json"}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(Dyer &amp; Singh, 1998)</w:t>
      </w:r>
      <w:r w:rsidRPr="009672FC">
        <w:rPr>
          <w:rFonts w:ascii="Garamond" w:hAnsi="Garamond"/>
          <w:sz w:val="24"/>
          <w:szCs w:val="24"/>
        </w:rPr>
        <w:fldChar w:fldCharType="end"/>
      </w:r>
      <w:r w:rsidRPr="009672FC">
        <w:rPr>
          <w:rFonts w:ascii="Garamond" w:hAnsi="Garamond"/>
          <w:sz w:val="24"/>
          <w:szCs w:val="24"/>
        </w:rPr>
        <w:t>.</w:t>
      </w:r>
    </w:p>
    <w:p w14:paraId="508B405B" w14:textId="652B12DB"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Several papers discuss ecosystem governa</w:t>
      </w:r>
      <w:r w:rsidR="002663FA" w:rsidRPr="009672FC">
        <w:rPr>
          <w:rFonts w:ascii="Garamond" w:hAnsi="Garamond"/>
          <w:sz w:val="24"/>
          <w:szCs w:val="24"/>
        </w:rPr>
        <w:t>n</w:t>
      </w:r>
      <w:r w:rsidRPr="009672FC">
        <w:rPr>
          <w:rFonts w:ascii="Garamond" w:hAnsi="Garamond"/>
          <w:sz w:val="24"/>
          <w:szCs w:val="24"/>
        </w:rPr>
        <w:t xml:space="preserve">ce practice as </w:t>
      </w:r>
      <w:r w:rsidR="002663FA" w:rsidRPr="009672FC">
        <w:rPr>
          <w:rFonts w:ascii="Garamond" w:hAnsi="Garamond"/>
          <w:sz w:val="24"/>
          <w:szCs w:val="24"/>
        </w:rPr>
        <w:t xml:space="preserve">a </w:t>
      </w:r>
      <w:r w:rsidRPr="009672FC">
        <w:rPr>
          <w:rFonts w:ascii="Garamond" w:hAnsi="Garamond"/>
          <w:sz w:val="24"/>
          <w:szCs w:val="24"/>
        </w:rPr>
        <w:t>mechanism to control inter-firm [structural] tensions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{"citationItems":[{"id":"ITEM-1","itemData":{"DOI":"10.1016/j.jbusres.2019.10.044","ISSN":"01482963","abstract":"This paper examines a Complex Product System (CoPS) project, Metis, an externally occulted coronagraph that is part of the ESA's Solar Orbiter mission and whose development required the involvement of scientists, international firms and space agencies. Specifically, this study attempted to investigate two main issues: (i) the main structural inter-organizational tensions emerged over the years, and (ii) if and how they were solved, distinguishing between contingent and structural solutions. The coronagraph was successfully delivered to the European Space Agency (ESA) in 2017, notwithstanding two main tensions related to the shortage of financial resources and to the organizational design of the ESA mission. This study takes different theoretical lenses (contingency theory, paradox theory, and social balance theory) to infer about how structural inter-organizational tensions were mitigated, proposing the need to combine several theoretical perspectives. The contingent and structural solutions identified and discussed could have implications for several future CoPS projects.","author":[{"dropping-particle":"","family":"Galati","given":"Francesco","non-dropping-particle":"","parse-names":false,"suffix":""},{"dropping-particle":"","family":"Bigliardi","given":"Barbara","non-dropping-particle":"","parse-names":false,"suffix":""},{"dropping-particle":"","family":"Galati","given":"Roberta","non-dropping-particle":"","parse-names":false,"suffix":""},{"dropping-particle":"","family":"Petroni","given":"Giorgio","non-dropping-particle":"","parse-names":false,"suffix":""}],"container-title":"Journal of Business Research","id":"ITEM-1","issue":"March","issued":{"date-parts":[["2019"]]},"page":"1-13","publisher":"Elsevier","title":"Managing structural inter-organizational tensions in complex product systems projects: Lessons from the Metis case","type":"article-journal"},"uris":["http://www.mendeley.com/documents/?uuid=3a0bd941-55ba-4f68-9764-770652a16866"]}],"mendeley":{"formattedCitation":"(Galati et al., 2019)","manualFormatting":"Galati et al., 2019)","plainTextFormattedCitation":"(Galati et al., 2019)","previouslyFormattedCitation":"(Galati &lt;i&gt;et al.&lt;/i&gt;,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Galati et al., 2019)</w:t>
      </w:r>
      <w:r w:rsidRPr="009672FC">
        <w:rPr>
          <w:rFonts w:ascii="Garamond" w:hAnsi="Garamond"/>
          <w:sz w:val="24"/>
          <w:szCs w:val="24"/>
        </w:rPr>
        <w:fldChar w:fldCharType="end"/>
      </w:r>
      <w:r w:rsidRPr="009672FC">
        <w:rPr>
          <w:rFonts w:ascii="Garamond" w:hAnsi="Garamond"/>
          <w:sz w:val="24"/>
          <w:szCs w:val="24"/>
        </w:rPr>
        <w:t>, interpersonal conflicts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{"citationItems":[{"id":"ITEM-1","itemData":{"DOI":"10.1016/j.sbspro.2012.02.148","ISSN":"18770428","abstract":"This paper aims to identify conflicts in Partnering arrangement between contractors in Malaysia, the barrier encountered and suggestion in preventing conflict in Partnering. It was found that partnering is an effective way to improve conflict by having good relationships among parties involved which involves mutual objectives, commitment, trust and teamwork among the parties in achieving goals. It is recommended that by attending workshop is the best way to spell out partner responsibility and scope of work. It is hope that possible measure need to be carried out as early as possible to avoid conflicts in the partnership.","author":[{"dropping-particle":"","family":"Adnan","given":"Hamimah","non-dropping-particle":"","parse-names":false,"suffix":""},{"dropping-particle":"","family":"Shamsuddin","given":"Siti Mazuana","non-dropping-particle":"","parse-names":false,"suffix":""},{"dropping-particle":"","family":"Supardi","given":"Azizan","non-dropping-particle":"","parse-names":false,"suffix":""},{"dropping-particle":"","family":"Ahmad","given":"Norizan","non-dropping-particle":"","parse-names":false,"suffix":""}],"container-title":"Procedia - Social and Behavioral Sciences","id":"ITEM-1","issue":"December 2011","issued":{"date-parts":[["2012"]]},"page":"772-781","title":"Conflict Prevention in Partnering Projects","type":"article-journal","volume":"35"},"uris":["http://www.mendeley.com/documents/?uuid=25bd6a31-4509-4be4-aea7-9cc27cff0b60"]}],"mendeley":{"formattedCitation":"(Adnan et al., 2012)","manualFormatting":"Adnan et al., 2012;","plainTextFormattedCitation":"(Adnan et al., 2012)","previouslyFormattedCitation":"(Adnan &lt;i&gt;et al.&lt;/i&gt;,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Adnan et al., 2012;</w:t>
      </w:r>
      <w:r w:rsidRPr="009672FC">
        <w:rPr>
          <w:rFonts w:ascii="Garamond" w:hAnsi="Garamond"/>
          <w:sz w:val="24"/>
          <w:szCs w:val="24"/>
        </w:rPr>
        <w:fldChar w:fldCharType="end"/>
      </w:r>
      <w:r w:rsidRPr="009672FC">
        <w:rPr>
          <w:rFonts w:ascii="Garamond" w:hAnsi="Garamond"/>
          <w:sz w:val="24"/>
          <w:szCs w:val="24"/>
        </w:rPr>
        <w:t xml:space="preserve"> Nordin, 2006;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{"citationItems":[{"id":"ITEM-1","itemData":{"DOI":"10.1016/j.sbspro.2014.03.026","ISSN":"18770428","abstract":"The situation between client and contractor in infrastructure projects seems to be quite similar in Germany and all over the world. Cost and time overruns seem to be normal occurrences in these projects. Both, client and contractor complain about the bad conditions. Getting out of this situation different partnering approaches have been developed all over the world in the last years. A “partnering guideline for public financed infrastructure projects” has been developed at the University of Kassel in collaboration with the Federal Ministry of Transport, construction associations, client organizations and various construction companies for the special conditions in Germany. During the last four years this guideline has been tested in pilot projects accompanied by the Chair of Project Management to evaluate its usability, find elements which may need improvement and to proof the advantages of this form of project handling. The results of this testing phase show a clear change towards more collaboration. Conflicts could be avoided or at least solved faster and cost savings for the client respectively bonuses for the contractors could be achieved by using value engineering.","author":[{"dropping-particle":"","family":"Spang","given":"Konrad","non-dropping-particle":"","parse-names":false,"suffix":""},{"dropping-particle":"","family":"Riemann","given":"Stefan","non-dropping-particle":"","parse-names":false,"suffix":""}],"container-title":"Procedia - Social and Behavioral Sciences","id":"ITEM-1","issue":"0","issued":{"date-parts":[["2014"]]},"page":"219-228","publisher":"Elsevier B.V.","title":"Partnering in Infrastructure Projects in Germany","type":"article-journal","volume":"119"},"uris":["http://www.mendeley.com/documents/?uuid=b8d4eda4-5f7b-4537-8788-a8c5a32098f2"]}],"mendeley":{"formattedCitation":"(Spang &amp; Riemann, 2014)","manualFormatting":"Spang and Riemann, 2014;","plainTextFormattedCitation":"(Spang &amp; Riemann, 2014)","previouslyFormattedCitation":"(Spang and Riemann,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Spang and Riemann, 2014;</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{"citationItems":[{"id":"ITEM-1","itemData":{"DOI":"10.1016/j.ijproman.2003.11.003","ISSN":"02637863","abstract":"The paper aims at exploring how collaboration between clients and major contractors can be improved in situations where tension is challenging relationship continuation. Relationship conflict is reduced through the identification of conflictual events and analysis of differences in both parties' perceptions. By addressing these events it is possible to reveal the underlying dimensions of tension and reluctance for relationship commitment and trust. In order to improve the level of collaboration a process is tested on a Norwegian construction project. The managerial implications of the process is that tension between the contractor and the client can be reduced to a level where the relationship can survive, and even grow stronger than prior to undertaking the process. © 2003 Elsevier Ltd and IPMA. All rights reserved.","author":[{"dropping-particle":"","family":"Vaaland","given":"Terje I.","non-dropping-particle":"","parse-names":false,"suffix":""}],"container-title":"International Journal of Project Management","id":"ITEM-1","issue":"6","issued":{"date-parts":[["2004"]]},"page":"447-454","title":"Improving project collaboration: Start with the conflicts","type":"article-journal","volume":"22"},"uris":["http://www.mendeley.com/documents/?uuid=1e80feaa-440d-4269-9789-66d278481be1"]}],"mendeley":{"formattedCitation":"(Vaaland, 2004)","manualFormatting":"Vaaland, 2004","plainTextFormattedCitation":"(Vaaland, 2004)","previouslyFormattedCitation":"(Vaaland,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Vaaland, 2004</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{"citationItems":[{"id":"ITEM-1","itemData":{"DOI":"10.1016/S0019-8501(02)00227-4","ISSN":"00198501","abstract":"This article focuses on how the phenomenon of conflict between buyer and seller in complex projects can be approached from a theoretical and a methodological angle. Two paradigms for approaching conflict are discussed: conflict as a problem to be removed and conflict as a resource and tool for improvement. Constructs to be used include conflict events that indicate traces of conflict. It is further argued that the conflict events should be related to formal and informal governance mechanisms in order to understand how conflict can be used to strengthen the business relationship between the parties. © 2002 Elsevier Science Inc.","author":[{"dropping-particle":"","family":"Vaaland","given":"Terje I.","non-dropping-particle":"","parse-names":false,"suffix":""},{"dropping-particle":"","family":"Håkansson","given":"Håkan","non-dropping-particle":"","parse-names":false,"suffix":""}],"container-title":"Industrial Marketing Management","id":"ITEM-1","issue":"2","issued":{"date-parts":[["2003"]]},"page":"127-138","title":"Exploring interorganizational conflict in complex projects","type":"article-journal","volume":"32"},"uris":["http://www.mendeley.com/documents/?uuid=4edff275-b07f-4195-bc70-5509425e096b"]}],"mendeley":{"formattedCitation":"(Vaaland &amp; Håkansson, 2003)","manualFormatting":"Vaaland and Håkansson, 2003","plainTextFormattedCitation":"(Vaaland &amp; Håkansson, 2003)","previouslyFormattedCitation":"(Vaaland and Håkansson,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Vaaland and Håkansson, 2003</w:t>
      </w:r>
      <w:r w:rsidRPr="009672FC">
        <w:rPr>
          <w:rFonts w:ascii="Garamond" w:hAnsi="Garamond"/>
          <w:sz w:val="24"/>
          <w:szCs w:val="24"/>
        </w:rPr>
        <w:fldChar w:fldCharType="end"/>
      </w:r>
      <w:r w:rsidRPr="009672FC">
        <w:rPr>
          <w:rFonts w:ascii="Garamond" w:hAnsi="Garamond"/>
          <w:sz w:val="24"/>
          <w:szCs w:val="24"/>
        </w:rPr>
        <w:t>), and changes in network fields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{"citationItems":[{"id":"ITEM-1","itemData":{"DOI":"10.1080/19420862.2017.1356527","ISSN":"19420870","abstract":"© 2017 Taylor &amp; Francis Group, LLC. We investigated the evolution process of collaborative inter-organizational network of the research and development (R&amp;D) on monoclonal antibody (mAb) over the past 30 y. The annual detection of the collaboration network provides dynamics on network structures and relationship changes among different organizations. Our research showed continuous growth of the network's scale and complexity due to the constant entry of new organizations and the forging of new partnering relationships. The evolving topological features reveal a core-periphery structure that became clearer over time and an increasing heterogeneity within the collaborative mAb R&amp;D network. As measured by the number of network participants, dedicated biotechnology firms (DBFs) were the dominant organization form in the field of mAb development, but their average centrality was reduced during the period of 2004–2009, when pharmaceutical companies took over the positions of DBFs. Along with the network evolution, 2 waves of substitution on the leading positions were driven by technological innovations and mergers and acquisitions (M&amp;A). In addition, this study analyzed organizational-level behaviors to help understand the evolution of network structures over the field of mAb development across the different technologically innovative or economic contexts.","author":[{"dropping-particle":"","family":"Kong","given":"Xiangjun","non-dropping-particle":"","parse-names":false,"suffix":""},{"dropping-particle":"","family":"Wan","given":"Jian bo","non-dropping-particle":"","parse-names":false,"suffix":""},{"dropping-particle":"","family":"Hu","given":"Hao","non-dropping-particle":"","parse-names":false,"suffix":""},{"dropping-particle":"","family":"Su","given":"Shibing","non-dropping-particle":"","parse-names":false,"suffix":""},{"dropping-particle":"","family":"Hu","given":"Yuanjia","non-dropping-particle":"","parse-names":false,"suffix":""}],"container-title":"MABS","id":"ITEM-1","issue":"7","issued":{"date-parts":[["2017"]]},"page":"1041-1051","publisher":"Taylor &amp; Francis","title":"Evolving patterns in a collaboration network of global R&amp;D on monoclonal antibodies","type":"article-journal","volume":"9"},"uris":["http://www.mendeley.com/documents/?uuid=86543542-361b-484b-bdfe-7bf9ead3cb07"]}],"mendeley":{"formattedCitation":"(Kong et al., 2017)","manualFormatting":"Kong et al., 2017; Lee and Yang, 2014)","plainTextFormattedCitation":"(Kong et al., 2017)","previouslyFormattedCitation":"(Kong &lt;i&gt;et al.&lt;/i&gt;,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Kong et al., 2017; </w:t>
      </w:r>
      <w:r w:rsidRPr="009672FC">
        <w:rPr>
          <w:rFonts w:ascii="Garamond" w:hAnsi="Garamond"/>
          <w:noProof/>
          <w:sz w:val="24"/>
          <w:szCs w:val="24"/>
        </w:rPr>
        <w:fldChar w:fldCharType="begin" w:fldLock="1"/>
      </w:r>
      <w:r w:rsidR="00813D37" w:rsidRPr="009672FC">
        <w:rPr>
          <w:rFonts w:ascii="Garamond" w:hAnsi="Garamond"/>
          <w:noProof/>
          <w:sz w:val="24"/>
          <w:szCs w:val="24"/>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and Yang, 2014)"},"properties":{"noteIndex":0},"schema":"https://github.com/citation-style-language/schema/raw/master/csl-citation.json"}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Lee and Yang, 2014)</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These tensions emanate from intense interactions between individual actors in the network. However, scholars argue that integrating external actors requires changes in managerial processes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{"citationItems":[{"id":"ITEM-1","itemData":{"DOI":"10.1016/j.jbusres.2019.10.044","ISSN":"01482963","abstract":"This paper examines a Complex Product System (CoPS) project, Metis, an externally occulted coronagraph that is part of the ESA's Solar Orbiter mission and whose development required the involvement of scientists, international firms and space agencies. Specifically, this study attempted to investigate two main issues: (i) the main structural inter-organizational tensions emerged over the years, and (ii) if and how they were solved, distinguishing between contingent and structural solutions. The coronagraph was successfully delivered to the European Space Agency (ESA) in 2017, notwithstanding two main tensions related to the shortage of financial resources and to the organizational design of the ESA mission. This study takes different theoretical lenses (contingency theory, paradox theory, and social balance theory) to infer about how structural inter-organizational tensions were mitigated, proposing the need to combine several theoretical perspectives. The contingent and structural solutions identified and discussed could have implications for several future CoPS projects.","author":[{"dropping-particle":"","family":"Galati","given":"Francesco","non-dropping-particle":"","parse-names":false,"suffix":""},{"dropping-particle":"","family":"Bigliardi","given":"Barbara","non-dropping-particle":"","parse-names":false,"suffix":""},{"dropping-particle":"","family":"Galati","given":"Roberta","non-dropping-particle":"","parse-names":false,"suffix":""},{"dropping-particle":"","family":"Petroni","given":"Giorgio","non-dropping-particle":"","parse-names":false,"suffix":""}],"container-title":"Journal of Business Research","id":"ITEM-1","issue":"March","issued":{"date-parts":[["2019"]]},"page":"1-13","publisher":"Elsevier","title":"Managing structural inter-organizational tensions in complex product systems projects: Lessons from the Metis case","type":"article-journal"},"uris":["http://www.mendeley.com/documents/?uuid=3a0bd941-55ba-4f68-9764-770652a16866"]}],"mendeley":{"formattedCitation":"(Galati et al., 2019)","manualFormatting":"Galati et al., 2019)","plainTextFormattedCitation":"(Galati et al., 2019)","previouslyFormattedCitation":"(Galati &lt;i&gt;et al.&lt;/i&gt;,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Galati et al., 2019)</w:t>
      </w:r>
      <w:r w:rsidRPr="009672FC">
        <w:rPr>
          <w:rFonts w:ascii="Garamond" w:hAnsi="Garamond"/>
          <w:sz w:val="24"/>
          <w:szCs w:val="24"/>
        </w:rPr>
        <w:fldChar w:fldCharType="end"/>
      </w:r>
      <w:r w:rsidRPr="009672FC">
        <w:rPr>
          <w:rFonts w:ascii="Garamond" w:hAnsi="Garamond"/>
          <w:sz w:val="24"/>
          <w:szCs w:val="24"/>
        </w:rPr>
        <w:t>, and government control and communication processes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{"citationItems":[{"id":"ITEM-1","itemData":{"DOI":"10.1016/j.scaman.2019.101047","ISSN":"09565221","abstract":"This paper contributes to research on inter-organizational relationship dynamics by applying a dialectical approach. We analyze a situation where the relationship parties have divergent understandings of business exchange, and use a longitudinal, in-depth single case study method to investigate their interaction process. The case study focuses on the relationship between a customer and a supplier in the ferrochrome industry, using the acquisition of the supplier as the trigger of the relationship change process. The paper contributes to studies on relationship dynamics by showing how dynamics of inter-organizational relationships may result from struggles when parties’ interests and goals do not align with existing relationship arrangements. In particular, we focus on the process of (re)construction of the relationship and its linkage to the structural properties of the relationship.","author":[{"dropping-particle":"","family":"Alimadadi","given":"Siavash","non-dropping-particle":"","parse-names":false,"suffix":""},{"dropping-particle":"","family":"Bengtson","given":"Anna","non-dropping-particle":"","parse-names":false,"suffix":""},{"dropping-particle":"","family":"Salmi","given":"Asta","non-dropping-particle":"","parse-names":false,"suffix":""}],"container-title":"Scandinavian Journal of Management","id":"ITEM-1","issue":"3","issued":{"date-parts":[["2019"]]},"page":"101047","publisher":"Elsevier","title":"Disruption, dissolution and reconstruction: A dialectical view on inter-organizational relationship development","type":"article-journal","volume":"35"},"uris":["http://www.mendeley.com/documents/?uuid=5b92d178-a1aa-4d46-b929-1f34044c24c6"]}],"mendeley":{"formattedCitation":"(Alimadadi, Bengtson, &amp; Salmi, 2019)","manualFormatting":"Alimadadi, Bengtson and Salmi, 2019)","plainTextFormattedCitation":"(Alimadadi, Bengtson, &amp; Salmi, 2019)","previouslyFormattedCitation":"(Alimadadi, Bengtson and Salmi,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Alimadadi, Bengtson and Salmi, 2019)</w:t>
      </w:r>
      <w:r w:rsidRPr="009672FC">
        <w:rPr>
          <w:rFonts w:ascii="Garamond" w:hAnsi="Garamond"/>
          <w:sz w:val="24"/>
          <w:szCs w:val="24"/>
        </w:rPr>
        <w:fldChar w:fldCharType="end"/>
      </w:r>
      <w:r w:rsidRPr="009672FC">
        <w:rPr>
          <w:rFonts w:ascii="Garamond" w:hAnsi="Garamond"/>
          <w:sz w:val="24"/>
          <w:szCs w:val="24"/>
        </w:rPr>
        <w:t xml:space="preserve"> are critical to accommodating multi-party participation. However, while studies recognize that not all partnership conflicts lead to </w:t>
      </w:r>
      <w:r w:rsidR="002663FA" w:rsidRPr="009672FC">
        <w:rPr>
          <w:rFonts w:ascii="Garamond" w:hAnsi="Garamond"/>
          <w:sz w:val="24"/>
          <w:szCs w:val="24"/>
        </w:rPr>
        <w:t xml:space="preserve">the </w:t>
      </w:r>
      <w:r w:rsidRPr="009672FC">
        <w:rPr>
          <w:rFonts w:ascii="Garamond" w:hAnsi="Garamond"/>
          <w:sz w:val="24"/>
          <w:szCs w:val="24"/>
        </w:rPr>
        <w:t xml:space="preserve">dissolution of the innovation network, some conflicts promote performance improvement and disruptive innovation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{"citationItems":[{"id":"ITEM-1","itemData":{"DOI":"10.1016/S0019-8501(02)00227-4","ISSN":"00198501","abstract":"This article focuses on how the phenomenon of conflict between buyer and seller in complex projects can be approached from a theoretical and a methodological angle. Two paradigms for approaching conflict are discussed: conflict as a problem to be removed and conflict as a resource and tool for improvement. Constructs to be used include conflict events that indicate traces of conflict. It is further argued that the conflict events should be related to formal and informal governance mechanisms in order to understand how conflict can be used to strengthen the business relationship between the parties. © 2002 Elsevier Science Inc.","author":[{"dropping-particle":"","family":"Vaaland","given":"Terje I.","non-dropping-particle":"","parse-names":false,"suffix":""},{"dropping-particle":"","family":"Håkansson","given":"Håkan","non-dropping-particle":"","parse-names":false,"suffix":""}],"container-title":"Industrial Marketing Management","id":"ITEM-1","issue":"2","issued":{"date-parts":[["2003"]]},"page":"127-138","title":"Exploring interorganizational conflict in complex projects","type":"article-journal","volume":"32"},"uris":["http://www.mendeley.com/documents/?uuid=4edff275-b07f-4195-bc70-5509425e096b"]}],"mendeley":{"formattedCitation":"(Vaaland &amp; Håkansson, 2003)","manualFormatting":"(e.g., Vaaland and Håkansson, 2003)","plainTextFormattedCitation":"(Vaaland &amp; Håkansson, 2003)","previouslyFormattedCitation":"(Vaaland and Håkansson, 2003)"},"properties":{"noteIndex":0},"schema":"https://github.com/citation-style-language/schema/raw/master/csl-citation.json"}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(e.g., Vaaland and Håkansson, 2003)</w:t>
      </w:r>
      <w:r w:rsidRPr="009672FC">
        <w:rPr>
          <w:rFonts w:ascii="Garamond" w:hAnsi="Garamond"/>
          <w:sz w:val="24"/>
          <w:szCs w:val="24"/>
        </w:rPr>
        <w:fldChar w:fldCharType="end"/>
      </w:r>
      <w:r w:rsidRPr="009672FC">
        <w:rPr>
          <w:rFonts w:ascii="Garamond" w:hAnsi="Garamond"/>
          <w:sz w:val="24"/>
          <w:szCs w:val="24"/>
        </w:rPr>
        <w:t xml:space="preserve">. Such tensions are what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{"citationItems":[{"id":"ITEM-1","itemData":{"DOI":"10.1016/j.jbusres.2019.10.044","ISSN":"01482963","abstract":"This paper examines a Complex Product System (CoPS) project, Metis, an externally occulted coronagraph that is part of the ESA's Solar Orbiter mission and whose development required the involvement of scientists, international firms and space agencies. Specifically, this study attempted to investigate two main issues: (i) the main structural inter-organizational tensions emerged over the years, and (ii) if and how they were solved, distinguishing between contingent and structural solutions. The coronagraph was successfully delivered to the European Space Agency (ESA) in 2017, notwithstanding two main tensions related to the shortage of financial resources and to the organizational design of the ESA mission. This study takes different theoretical lenses (contingency theory, paradox theory, and social balance theory) to infer about how structural inter-organizational tensions were mitigated, proposing the need to combine several theoretical perspectives. The contingent and structural solutions identified and discussed could have implications for several future CoPS projects.","author":[{"dropping-particle":"","family":"Galati","given":"Francesco","non-dropping-particle":"","parse-names":false,"suffix":""},{"dropping-particle":"","family":"Bigliardi","given":"Barbara","non-dropping-particle":"","parse-names":false,"suffix":""},{"dropping-particle":"","family":"Galati","given":"Roberta","non-dropping-particle":"","parse-names":false,"suffix":""},{"dropping-particle":"","family":"Petroni","given":"Giorgio","non-dropping-particle":"","parse-names":false,"suffix":""}],"container-title":"Journal of Business Research","id":"ITEM-1","issue":"March","issued":{"date-parts":[["2019"]]},"page":"1-13","publisher":"Elsevier","title":"Managing structural inter-organizational tensions in complex product systems projects: Lessons from the Metis case","type":"article-journal"},"uris":["http://www.mendeley.com/documents/?uuid=3a0bd941-55ba-4f68-9764-770652a16866"]}],"mendeley":{"formattedCitation":"(Galati et al., 2019)","manualFormatting":"Galati et al. (2019, p. 4)","plainTextFormattedCitation":"(Galati et al., 2019)","previouslyFormattedCitation":"(Galati &lt;i&gt;et al.&lt;/i&gt;,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Galati et al. (2019, p. 4)</w:t>
      </w:r>
      <w:r w:rsidRPr="009672FC">
        <w:rPr>
          <w:rFonts w:ascii="Garamond" w:hAnsi="Garamond"/>
          <w:sz w:val="24"/>
          <w:szCs w:val="24"/>
        </w:rPr>
        <w:fldChar w:fldCharType="end"/>
      </w:r>
      <w:r w:rsidRPr="009672FC">
        <w:rPr>
          <w:rFonts w:ascii="Garamond" w:hAnsi="Garamond"/>
          <w:sz w:val="24"/>
          <w:szCs w:val="24"/>
        </w:rPr>
        <w:t xml:space="preserve"> describe as “creative tension, the lifeblood of innovative progress that fosters the discovery of alternative ways of achieving improved outcomes.” </w:t>
      </w:r>
    </w:p>
    <w:p w14:paraId="2F6D2986" w14:textId="3F2417E1"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Moreover,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{"citationItems":[{"id":"ITEM-1","itemData":{"DOI":"10.1016/j.ijproman.2003.11.003","ISSN":"02637863","abstract":"The paper aims at exploring how collaboration between clients and major contractors can be improved in situations where tension is challenging relationship continuation. Relationship conflict is reduced through the identification of conflictual events and analysis of differences in both parties' perceptions. By addressing these events it is possible to reveal the underlying dimensions of tension and reluctance for relationship commitment and trust. In order to improve the level of collaboration a process is tested on a Norwegian construction project. The managerial implications of the process is that tension between the contractor and the client can be reduced to a level where the relationship can survive, and even grow stronger than prior to undertaking the process. © 2003 Elsevier Ltd and IPMA. All rights reserved.","author":[{"dropping-particle":"","family":"Vaaland","given":"Terje I.","non-dropping-particle":"","parse-names":false,"suffix":""}],"container-title":"International Journal of Project Management","id":"ITEM-1","issue":"6","issued":{"date-parts":[["2004"]]},"page":"447-454","title":"Improving project collaboration: Start with the conflicts","type":"article-journal","volume":"22"},"uris":["http://www.mendeley.com/documents/?uuid=1e80feaa-440d-4269-9789-66d278481be1"]}],"mendeley":{"formattedCitation":"(Vaaland, 2004)","manualFormatting":"Vaaland (2004)","plainTextFormattedCitation":"(Vaaland, 2004)","previouslyFormattedCitation":"(Vaaland,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Vaaland (2004)</w:t>
      </w:r>
      <w:r w:rsidRPr="009672FC">
        <w:rPr>
          <w:rFonts w:ascii="Garamond" w:hAnsi="Garamond"/>
          <w:sz w:val="24"/>
          <w:szCs w:val="24"/>
        </w:rPr>
        <w:fldChar w:fldCharType="end"/>
      </w:r>
      <w:r w:rsidRPr="009672FC">
        <w:rPr>
          <w:rFonts w:ascii="Garamond" w:hAnsi="Garamond"/>
          <w:sz w:val="24"/>
          <w:szCs w:val="24"/>
        </w:rPr>
        <w:t xml:space="preserve"> advised that conflict is minimized when actors are jointly involved in analyzing potential conflict events. When conflicts arise, they must be resolved in a timely and objective manner, as unresolved conflicts may cause irreparable damage to interfirm ties and innovation practices. Thus, internal practices, such as effective communication, monitoring, and joint problem solving, may less</w:t>
      </w:r>
      <w:r w:rsidR="002663FA" w:rsidRPr="009672FC">
        <w:rPr>
          <w:rFonts w:ascii="Garamond" w:hAnsi="Garamond"/>
          <w:sz w:val="24"/>
          <w:szCs w:val="24"/>
        </w:rPr>
        <w:t>e</w:t>
      </w:r>
      <w:r w:rsidRPr="009672FC">
        <w:rPr>
          <w:rFonts w:ascii="Garamond" w:hAnsi="Garamond"/>
          <w:sz w:val="24"/>
          <w:szCs w:val="24"/>
        </w:rPr>
        <w:t>n inter</w:t>
      </w:r>
      <w:r w:rsidR="002663FA" w:rsidRPr="009672FC">
        <w:rPr>
          <w:rFonts w:ascii="Garamond" w:hAnsi="Garamond"/>
          <w:sz w:val="24"/>
          <w:szCs w:val="24"/>
        </w:rPr>
        <w:t>-</w:t>
      </w:r>
      <w:r w:rsidRPr="009672FC">
        <w:rPr>
          <w:rFonts w:ascii="Garamond" w:hAnsi="Garamond"/>
          <w:sz w:val="24"/>
          <w:szCs w:val="24"/>
        </w:rPr>
        <w:t>firm conflict.</w:t>
      </w:r>
    </w:p>
    <w:p w14:paraId="48AEBB45" w14:textId="0B0347D5"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i/>
          <w:iCs/>
          <w:sz w:val="24"/>
          <w:szCs w:val="24"/>
        </w:rPr>
        <w:lastRenderedPageBreak/>
        <w:t>Network management capabilities.</w:t>
      </w:r>
      <w:r w:rsidRPr="009672FC">
        <w:rPr>
          <w:rFonts w:ascii="Garamond" w:hAnsi="Garamond"/>
          <w:sz w:val="24"/>
          <w:szCs w:val="24"/>
        </w:rPr>
        <w:t xml:space="preserve"> Network management maximizes innovation capabilities by building partnerships and coordinating all innovation processes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{"citationItems":[{"id":"ITEM-1","itemData":{"DOI":"10.1016/j.jbusres.2019.04.001","ISSN":"01482963","abstract":"While there is a significant amount of research on cross-sector collaboration, we still lack an adequate understanding of the nature and dynamics of Alliance Management Capabilities (AMC) that organizations demand when stretching their inter-organizational relationships beyond the boundaries of their sector. We address this gap by investigating the role of AMC in establishing and maintaining cross-sector collaborations, focusing on the perspective of nonprofit organizations (NPOs). Using qualitative data obtained from a diverse group of NPOs that are actively in collaboration with the business sector, we identified a unique set of AMC that are deployed at the pre- and post-formation stages of collaboration, and concomitantly at both stages (or cross-cutting AMC). Moreover, we provide an integrative framework that explains how these capabilities are leveraged and developed within the context of cross-sector collaboration which takes a circular path that comprises strategic actions and learning routines. We draw implications for theory and practice.","author":[{"dropping-particle":"","family":"Al-Tabbaa","given":"Omar","non-dropping-particle":"","parse-names":false,"suffix":""},{"dropping-particle":"","family":"Leach","given":"Desmond","non-dropping-particle":"","parse-names":false,"suffix":""},{"dropping-particle":"","family":"Khan","given":"Zaheer","non-dropping-particle":"","parse-names":false,"suffix":""}],"container-title":"Journal of Business Research","id":"ITEM-1","issue":"March","issued":{"date-parts":[["2019"]]},"page":"268-284","publisher":"Elsevier","title":"Examining alliance management capabilities in cross-sector collaborative partnerships","type":"article-journal","volume":"101"},"uris":["http://www.mendeley.com/documents/?uuid=6f9a0dad-538b-4968-821a-ef7b83e7ed43"]}],"mendeley":{"formattedCitation":"(Al-Tabbaa et al., 2019)","manualFormatting":"Al-Tabbaa, Leach and Khan, 2019","plainTextFormattedCitation":"(Al-Tabbaa et al., 2019)","previouslyFormattedCitation":"(Al-Tabbaa, Leach and Khan,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Al-Tabbaa, Leach and Khan, 2019</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{"citationItems":[{"id":"ITEM-1","itemData":{"DOI":"10.1016/j.ijinfomgt.2015.11.004","ISSN":"02684012","abstract":"Innovation networks are vital in advancing new product and service development. Particularly for small and medium-sized enterprises, partnering within innovation networks allows to enlarge innovation capabilities and to reach new markets. In order to create effective innovation networks, however, firms are required to adapt to the network. To do so, they must overcome three principal challenges: they need to build partnerships, integrate the partners' value contributions, and coordinate innovation processes. We followed three innovation networks over a three-year period and examined how they successfully used information systems (IS) to respond to these challenges. On the basis of their experiences we identify IS categories and measures that support setting up an information management for networked innovation. We explicate relevant tasks for managing the aspects of \"who, what and how\" in networked innovation.","author":[{"dropping-particle":"","family":"Rehm","given":"Sven Volker","non-dropping-particle":"","parse-names":false,"suffix":""},{"dropping-particle":"","family":"Goel","given":"Lakshmi","non-dropping-particle":"","parse-names":false,"suffix":""},{"dropping-particle":"","family":"Junglas","given":"Iris","non-dropping-particle":"","parse-names":false,"suffix":""}],"container-title":"International Journal of Information Management","id":"ITEM-1","issue":"3","issued":{"date-parts":[["2016"]]},"page":"348-359","publisher":"Elsevier Ltd","title":"Information management for innovation networks - An empirical study on the \"who, what and how\" in networked innovation","type":"article-journal","volume":"36"},"uris":["http://www.mendeley.com/documents/?uuid=529368b2-7d7c-49e5-ba25-196d1752cfbe"]}],"mendeley":{"formattedCitation":"(Rehm et al., 2016)","manualFormatting":"Rehm, Goel and Junglas, 2016)","plainTextFormattedCitation":"(Rehm et al., 2016)","previouslyFormattedCitation":"(Rehm, Goel and Junglas,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Rehm, Goel and Junglas, 2016)</w:t>
      </w:r>
      <w:r w:rsidRPr="009672FC">
        <w:rPr>
          <w:rFonts w:ascii="Garamond" w:hAnsi="Garamond"/>
          <w:sz w:val="24"/>
          <w:szCs w:val="24"/>
        </w:rPr>
        <w:fldChar w:fldCharType="end"/>
      </w:r>
      <w:r w:rsidRPr="009672FC">
        <w:rPr>
          <w:rFonts w:ascii="Garamond" w:hAnsi="Garamond"/>
          <w:sz w:val="24"/>
          <w:szCs w:val="24"/>
        </w:rPr>
        <w:t>. Scholars argue that network management enhances the development of network capabilities through the development and commercialization of new products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{"citationItems":[{"id":"ITEM-1","itemData":{"DOI":"10.1108/JBIM-09-2017-0211","ISSN":"08858624","abstract":"Purpose The purpose of this study is to investigate the capabilities and roles of three types of actors, specifically technology-based start-ups, incumbent firms and intermediaries, in co-constructing a network for development and commercialization of an emerging technology. In particular, the research aims to understand how the roles played by network actors evolve during the development and commercialization process and what operational and dynamic capabilities are developed by actors through collaboration. Design/methodology/approach A single longitudinal case study methodology was applied to analyse roles and operational and dynamic capabilities developed in a network setting by multiple parties over time. Findings The findings indicate that actors need to take on new roles to be successful when dealing with an emerging technology in a network context and they need to develop certain dynamic capabilities to enact these roles. The study categorizes roles and capabilities of network actors through vario...","author":[{"dropping-particle":"","family":"Salehi","given":"Fatemeh","non-dropping-particle":"","parse-names":false,"suffix":""},{"dropping-particle":"","family":"Zolkiewski","given":"Judith","non-dropping-particle":"","parse-names":false,"suffix":""},{"dropping-particle":"","family":"Perks","given":"Helen","non-dropping-particle":"","parse-names":false,"suffix":""},{"dropping-particle":"","family":"Bahreini","given":"Mohammad Ali","non-dropping-particle":"","parse-names":false,"suffix":""}],"container-title":"Journal of Business and Industrial Marketing","id":"ITEM-1","issue":"7","issued":{"date-parts":[["2018"]]},"page":"931-944","title":"Exploration of capability and role development in an emerging technology network","type":"article-journal","volume":"33"},"uris":["http://www.mendeley.com/documents/?uuid=f4422c70-a371-4d79-8a50-e32b276090df"]}],"mendeley":{"formattedCitation":"(Salehi, Zolkiewski, Perks, &amp; Bahreini, 2018)","manualFormatting":"Salehi et al., 2018)","plainTextFormattedCitation":"(Salehi, Zolkiewski, Perks, &amp; Bahreini, 2018)","previouslyFormattedCitation":"(Salehi &lt;i&gt;et al.&lt;/i&gt;,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Salehi et al., 2018)</w:t>
      </w:r>
      <w:r w:rsidRPr="009672FC">
        <w:rPr>
          <w:rFonts w:ascii="Garamond" w:hAnsi="Garamond"/>
          <w:sz w:val="24"/>
          <w:szCs w:val="24"/>
        </w:rPr>
        <w:fldChar w:fldCharType="end"/>
      </w:r>
      <w:r w:rsidRPr="009672FC">
        <w:rPr>
          <w:rFonts w:ascii="Garamond" w:hAnsi="Garamond"/>
          <w:sz w:val="24"/>
          <w:szCs w:val="24"/>
        </w:rPr>
        <w:t xml:space="preserve"> and exploitative learning into existing routines, and relationships to increase the knowledge</w:t>
      </w:r>
      <w:r w:rsidR="002663FA" w:rsidRPr="009672FC">
        <w:rPr>
          <w:rFonts w:ascii="Garamond" w:hAnsi="Garamond"/>
          <w:sz w:val="24"/>
          <w:szCs w:val="24"/>
        </w:rPr>
        <w:t>-</w:t>
      </w:r>
      <w:r w:rsidRPr="009672FC">
        <w:rPr>
          <w:rFonts w:ascii="Garamond" w:hAnsi="Garamond"/>
          <w:sz w:val="24"/>
          <w:szCs w:val="24"/>
        </w:rPr>
        <w:t>based of the network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{"citationItems":[{"id":"ITEM-1","itemData":{"DOI":"10.1016/j.indmarman.2012.01.013","ISSN":"00198501","abstract":"In this paper, we argue that industrial innovation processes can productively be analysed as consisting of two sub-processes that over time create and mobilise contrary forces within both internal and external interactions of the innovation project. One of these forces emerges from the process of mobilising resources, activities, and actors in ensuring commitments to the project over time. The other is the process of explorative learning, which continues to create revised or even new propositions about the realities of the project and its opportunities. We argue that this analytical distinction permits us to expand our understanding of how friction forces develop over time in business networks (Håkansson &amp; Waluszewski, 2001a,b), the patterns of divergence and convergence in innovation processes as identified by Van de Ven et al. (1999) and the processes of \"path creation through mindful deviation\" as argued by Garud and Karnøe (2001). © 2012 Elsevier Inc..","author":[{"dropping-particle":"","family":"Hoholm","given":"Thomas","non-dropping-particle":"","parse-names":false,"suffix":""},{"dropping-particle":"","family":"Olsen","given":"Per Ingvar","non-dropping-particle":"","parse-names":false,"suffix":""}],"container-title":"Industrial Marketing Management","id":"ITEM-1","issue":"2","issued":{"date-parts":[["2012"]]},"page":"344-356","publisher":"Elsevier Inc.","title":"The contrary forces of innovation. A conceptual model for studying networked innovation processes.","type":"article-journal","volume":"41"},"uris":["http://www.mendeley.com/documents/?uuid=3b16a75f-091c-48fe-8f3d-5126e100268f"]}],"mendeley":{"formattedCitation":"(Hoholm &amp; Olsen, 2012)","manualFormatting":"Hoholm and Olsen, 2012)","plainTextFormattedCitation":"(Hoholm &amp; Olsen, 2012)","previouslyFormattedCitation":"(Hoholm and Olsen,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Hoholm and Olsen, 2012)</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{"citationItems":[{"id":"ITEM-1","itemData":{"author":[{"dropping-particle":"","family":"Stuart","given":"Toby E","non-dropping-particle":"","parse-names":false,"suffix":""}],"container-title":"Strategic Management Journal","id":"ITEM-1","issue":"8","issued":{"date-parts":[["2000"]]},"page":"791-811","title":"Interorganizational Alliances and the Performance of Firms : A Study of Growth and Innovation Rates in a High-Technology Industry","type":"article-journal","volume":"21"},"uris":["http://www.mendeley.com/documents/?uuid=b5b36ea4-4ce6-4904-9297-4cd0e719963c"]}],"mendeley":{"formattedCitation":"(Stuart, 2000)","manualFormatting":"Stuart (2000)","plainTextFormattedCitation":"(Stuart, 2000)","previouslyFormattedCitation":"(Stuart,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Stuart (2000)</w:t>
      </w:r>
      <w:r w:rsidRPr="009672FC">
        <w:rPr>
          <w:rFonts w:ascii="Garamond" w:hAnsi="Garamond"/>
          <w:sz w:val="24"/>
          <w:szCs w:val="24"/>
        </w:rPr>
        <w:fldChar w:fldCharType="end"/>
      </w:r>
      <w:r w:rsidRPr="009672FC">
        <w:rPr>
          <w:rFonts w:ascii="Garamond" w:hAnsi="Garamond"/>
          <w:sz w:val="24"/>
          <w:szCs w:val="24"/>
        </w:rPr>
        <w:t xml:space="preserve"> argues that through network management, partners can generate public confidence and legitimacy in their partnership with technologically sophisticated and resourced diverse firms. </w:t>
      </w:r>
    </w:p>
    <w:p w14:paraId="21F57711" w14:textId="56FF0A79"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{"citationItems":[{"id":"ITEM-1","itemData":{"DOI":"10.1016/j.indmarman.2019.08.010","ISSN":"00198501","abstract":"Earlier research has highlighted the dynamic nature of influencing in business networks, and shown that firms may vary considerably in their influence, defined as their potential to achieve changes in the activities, resources, or goals of other firms in the business network. There is, however, limited understanding of the specific means of influencing which may allow firms, over time, to increase their influence with other firms in the same network. Drawing on a longitudinal case study, we describe how a firm, through influencing others by the dynamic enactment of network management activities, gradually increased its influence with other firms in the business network. Based on our observations, we offer a processual model for influencing in business networks that links specific network management activities to conditions under which they are used.","author":[{"dropping-particle":"","family":"Ahola","given":"Tuomas","non-dropping-particle":"","parse-names":false,"suffix":""},{"dropping-particle":"","family":"Aaltonen","given":"K.","non-dropping-particle":"","parse-names":false,"suffix":""},{"dropping-particle":"","family":"Artto","given":"Karlos","non-dropping-particle":"","parse-names":false,"suffix":""},{"dropping-particle":"","family":"Lehtinen","given":"Jere","non-dropping-particle":"","parse-names":false,"suffix":""}],"container-title":"Industrial Marketing Management","id":"ITEM-1","issue":"November 2016","issued":{"date-parts":[["2019"]]},"page":"1-15","publisher":"Elsevier","title":"Making room to manoeuvre: How firms increase their influence with others in business networks","type":"article-journal"},"uris":["http://www.mendeley.com/documents/?uuid=eaeebbb1-7294-4f2b-bc57-f595d4bd2d2f"]}],"mendeley":{"formattedCitation":"(Ahola et al., 2019)","manualFormatting":"Ahola et al. (2019)","plainTextFormattedCitation":"(Ahola et al., 2019)","previouslyFormattedCitation":"(Ahola &lt;i&gt;et al.&lt;/i&gt;,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Ahola et al. (2019)</w:t>
      </w:r>
      <w:r w:rsidRPr="009672FC">
        <w:rPr>
          <w:rFonts w:ascii="Garamond" w:hAnsi="Garamond"/>
          <w:sz w:val="24"/>
          <w:szCs w:val="24"/>
        </w:rPr>
        <w:fldChar w:fldCharType="end"/>
      </w:r>
      <w:r w:rsidRPr="009672FC">
        <w:rPr>
          <w:rFonts w:ascii="Garamond" w:hAnsi="Garamond"/>
          <w:sz w:val="24"/>
          <w:szCs w:val="24"/>
        </w:rPr>
        <w:t xml:space="preserve"> suggest three network management activities (new network ties, goal alignment, and operational efficiency) as building blocks of innovation networks. Moreover,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{"citationItems":[{"id":"ITEM-1","itemData":{"DOI":"10.1016/j.jbusres.2019.04.001","ISSN":"01482963","abstract":"While there is a significant amount of research on cross-sector collaboration, we still lack an adequate understanding of the nature and dynamics of Alliance Management Capabilities (AMC) that organizations demand when stretching their inter-organizational relationships beyond the boundaries of their sector. We address this gap by investigating the role of AMC in establishing and maintaining cross-sector collaborations, focusing on the perspective of nonprofit organizations (NPOs). Using qualitative data obtained from a diverse group of NPOs that are actively in collaboration with the business sector, we identified a unique set of AMC that are deployed at the pre- and post-formation stages of collaboration, and concomitantly at both stages (or cross-cutting AMC). Moreover, we provide an integrative framework that explains how these capabilities are leveraged and developed within the context of cross-sector collaboration which takes a circular path that comprises strategic actions and learning routines. We draw implications for theory and practice.","author":[{"dropping-particle":"","family":"Al-Tabbaa","given":"Omar","non-dropping-particle":"","parse-names":false,"suffix":""},{"dropping-particle":"","family":"Leach","given":"Desmond","non-dropping-particle":"","parse-names":false,"suffix":""},{"dropping-particle":"","family":"Khan","given":"Zaheer","non-dropping-particle":"","parse-names":false,"suffix":""}],"container-title":"Journal of Business Research","id":"ITEM-1","issue":"March","issued":{"date-parts":[["2019"]]},"page":"268-284","publisher":"Elsevier","title":"Examining alliance management capabilities in cross-sector collaborative partnerships","type":"article-journal","volume":"101"},"uris":["http://www.mendeley.com/documents/?uuid=6f9a0dad-538b-4968-821a-ef7b83e7ed43"]}],"mendeley":{"formattedCitation":"(Al-Tabbaa et al., 2019)","manualFormatting":"Al-Tabbaa, Leach, and Khan, (2019)","plainTextFormattedCitation":"(Al-Tabbaa et al., 2019)","previouslyFormattedCitation":"(Al-Tabbaa, Leach and Khan,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Al-Tabbaa, Leach, and Khan, (2019)</w:t>
      </w:r>
      <w:r w:rsidRPr="009672FC">
        <w:rPr>
          <w:rFonts w:ascii="Garamond" w:hAnsi="Garamond"/>
          <w:sz w:val="24"/>
          <w:szCs w:val="24"/>
        </w:rPr>
        <w:fldChar w:fldCharType="end"/>
      </w:r>
      <w:r w:rsidRPr="009672FC">
        <w:rPr>
          <w:rFonts w:ascii="Garamond" w:hAnsi="Garamond"/>
          <w:sz w:val="24"/>
          <w:szCs w:val="24"/>
        </w:rPr>
        <w:t xml:space="preserve"> examine the alliance management capabilities (AMC) of inter</w:t>
      </w:r>
      <w:r w:rsidR="002663FA" w:rsidRPr="009672FC">
        <w:rPr>
          <w:rFonts w:ascii="Garamond" w:hAnsi="Garamond"/>
          <w:sz w:val="24"/>
          <w:szCs w:val="24"/>
        </w:rPr>
        <w:t>-</w:t>
      </w:r>
      <w:r w:rsidRPr="009672FC">
        <w:rPr>
          <w:rFonts w:ascii="Garamond" w:hAnsi="Garamond"/>
          <w:sz w:val="24"/>
          <w:szCs w:val="24"/>
        </w:rPr>
        <w:t>organizational business networks. The authors formulate a framework of AMC according to four stages: (1) pre-formation capabilities—the actors design the attractiveness of alliance and structure incentives accordingly; (2) post-formation capabilities— acquiring the powers of control and coordinating activities are promoted, (3) cross-cutting capabilities—stakeholder relationships are stabilized and built; and finally (4) capability deployment and development— a set of activities promote actions, learning systems, and capability action-paths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{"citationItems":[{"id":"ITEM-1","itemData":{"DOI":"10.1016/j.jbusres.2019.04.001","ISSN":"01482963","abstract":"While there is a significant amount of research on cross-sector collaboration, we still lack an adequate understanding of the nature and dynamics of Alliance Management Capabilities (AMC) that organizations demand when stretching their inter-organizational relationships beyond the boundaries of their sector. We address this gap by investigating the role of AMC in establishing and maintaining cross-sector collaborations, focusing on the perspective of nonprofit organizations (NPOs). Using qualitative data obtained from a diverse group of NPOs that are actively in collaboration with the business sector, we identified a unique set of AMC that are deployed at the pre- and post-formation stages of collaboration, and concomitantly at both stages (or cross-cutting AMC). Moreover, we provide an integrative framework that explains how these capabilities are leveraged and developed within the context of cross-sector collaboration which takes a circular path that comprises strategic actions and learning routines. We draw implications for theory and practice.","author":[{"dropping-particle":"","family":"Al-Tabbaa","given":"Omar","non-dropping-particle":"","parse-names":false,"suffix":""},{"dropping-particle":"","family":"Leach","given":"Desmond","non-dropping-particle":"","parse-names":false,"suffix":""},{"dropping-particle":"","family":"Khan","given":"Zaheer","non-dropping-particle":"","parse-names":false,"suffix":""}],"container-title":"Journal of Business Research","id":"ITEM-1","issue":"March","issued":{"date-parts":[["2019"]]},"page":"268-284","publisher":"Elsevier","title":"Examining alliance management capabilities in cross-sector collaborative partnerships","type":"article-journal","volume":"101"},"uris":["http://www.mendeley.com/documents/?uuid=6f9a0dad-538b-4968-821a-ef7b83e7ed43"]}],"mendeley":{"formattedCitation":"(Al-Tabbaa et al., 2019)","manualFormatting":"Al-Tabbaa, Leach and Khan, 2019)","plainTextFormattedCitation":"(Al-Tabbaa et al., 2019)","previouslyFormattedCitation":"(Al-Tabbaa, Leach and Khan,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Al-Tabbaa, Leach and Khan, 2019)</w:t>
      </w:r>
      <w:r w:rsidRPr="009672FC">
        <w:rPr>
          <w:rFonts w:ascii="Garamond" w:hAnsi="Garamond"/>
          <w:sz w:val="24"/>
          <w:szCs w:val="24"/>
        </w:rPr>
        <w:fldChar w:fldCharType="end"/>
      </w:r>
      <w:r w:rsidRPr="009672FC">
        <w:rPr>
          <w:rFonts w:ascii="Garamond" w:hAnsi="Garamond"/>
          <w:sz w:val="24"/>
          <w:szCs w:val="24"/>
        </w:rPr>
        <w:t>.</w:t>
      </w:r>
    </w:p>
    <w:p w14:paraId="4C37458C" w14:textId="68FA9F3E"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{"citationItems":[{"id":"ITEM-1","itemData":{"DOI":"10.1016/j.techfore.2015.11.027","ISSN":"00401625","abstract":"Over the last decade, social capital concept has received considerable amount of research being regarded as an important value creation mechanism. However, we still have limited understanding about the nature of interaction between the dimensions of this capital, and how it can be useful in mitigating the impediments evolving during government-sponsored (i.e., engineered) university-industry collaboration (UIC). In this paper, we address the previous gap by analyzing the dynamics of social capital dimensions during the preformation and postformation stages of UIC. The paper relies on a unique context that comprises five embedded case studies of UIC for technology transfer: the Faraday Partnership Initiative, a UK government-backed novel scheme for enhancing innovation. The analysis shows that the impact and interaction of the dimensions were not static but rather varying over time. Further, we present a new value creation framework for social capital through mapping its power in reducing the intensity of difficulties emerged during the collaboration lifetime. We also identify two facilitating factors as critical in creating and maintaining social capital in engineered UIC. The present study thus contributes to a deeper understanding of the value of inter-organizational social capital.","author":[{"dropping-particle":"","family":"Al-Tabbaa","given":"Omar","non-dropping-particle":"","parse-names":false,"suffix":""},{"dropping-particle":"","family":"Ankrah","given":"Samuel","non-dropping-particle":"","parse-names":false,"suffix":""}],"container-title":"Technological Forecasting and Social Change","id":"ITEM-1","issued":{"date-parts":[["2016"]]},"page":"1-15","publisher":"The Authors","title":"Social capital to facilitate 'engineered' university-industry collaboration for technology transfer: A dynamic perspective","type":"article-journal","volume":"104"},"uris":["http://www.mendeley.com/documents/?uuid=2ce395ae-2a21-41f3-ab20-acb63595b838"]}],"mendeley":{"formattedCitation":"(Al-Tabbaa &amp; Ankrah, 2016)","manualFormatting":"Al-Tabbaa and Ankrah (2016)","plainTextFormattedCitation":"(Al-Tabbaa &amp; Ankrah, 2016)","previouslyFormattedCitation":"(Al-Tabbaa and Ankrah,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Al-Tabbaa and Ankrah (2016)</w:t>
      </w:r>
      <w:r w:rsidRPr="009672FC">
        <w:rPr>
          <w:rFonts w:ascii="Garamond" w:hAnsi="Garamond"/>
          <w:sz w:val="24"/>
          <w:szCs w:val="24"/>
        </w:rPr>
        <w:fldChar w:fldCharType="end"/>
      </w:r>
      <w:r w:rsidRPr="009672FC">
        <w:rPr>
          <w:rFonts w:ascii="Garamond" w:hAnsi="Garamond"/>
          <w:sz w:val="24"/>
          <w:szCs w:val="24"/>
        </w:rPr>
        <w:t xml:space="preserve"> examine how common narratives and shared codes overcome interpretation and communication challenges in an interfirm context. As a conflict avoidance strategy,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{"citationItems":[{"id":"ITEM-1","itemData":{"DOI":"10.1016/j.jwb.2010.05.002","ISSN":"10909516","abstract":"We seek to examine how national culture values affect strategic decision-making processes (SDMPs) of internationalized firms. We employ the cultural relativity theory to explain how firms from different countries make international decisions. We advance hypotheses regarding the associations between three SDMP dimensions and three national culture aspects, notably the relationships between hierarchical decentralization and power distance; lateral communication and individualism; and, formalization and uncertainty avoidance. We present evidence from a large-scale study conducted on 528 internationalized small and medium-sized firms based in the USA, UK, Greece and Cyprus. The findings support our hypotheses with the exception of that concerning lateral communication and individualism. The national culture of the focal firm matters as far as SDMPs in internationalization are concerned. Implications and further research directions are discussed. © 2010 Elsevier Inc.","author":[{"dropping-particle":"","family":"Dimitratos","given":"Pavlos","non-dropping-particle":"","parse-names":false,"suffix":""},{"dropping-particle":"","family":"Petrou","given":"Andreas","non-dropping-particle":"","parse-names":false,"suffix":""},{"dropping-particle":"","family":"Plakoyiannaki","given":"Emmanuella","non-dropping-particle":"","parse-names":false,"suffix":""},{"dropping-particle":"","family":"Johnson","given":"Jeffrey E.","non-dropping-particle":"","parse-names":false,"suffix":""}],"container-title":"Journal of World Business","id":"ITEM-1","issue":"2","issued":{"date-parts":[["2011"]]},"page":"194-204","publisher":"Elsevier Inc.","title":"Strategic decision-making processes in internationalization: Does national culture of the focal firm matter?","type":"article-journal","volume":"46"},"uris":["http://www.mendeley.com/documents/?uuid=6aef1f1b-bb57-4b85-8fd9-81705b511d2f"]}],"mendeley":{"formattedCitation":"(Dimitratos et al., 2011)","manualFormatting":"Dimitratos et al. (2011)","plainTextFormattedCitation":"(Dimitratos et al., 2011)","previouslyFormattedCitation":"(Dimitratos &lt;i&gt;et al.&lt;/i&gt;,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Dimitratos et al. (2011)</w:t>
      </w:r>
      <w:r w:rsidRPr="009672FC">
        <w:rPr>
          <w:rFonts w:ascii="Garamond" w:hAnsi="Garamond"/>
          <w:sz w:val="24"/>
          <w:szCs w:val="24"/>
        </w:rPr>
        <w:fldChar w:fldCharType="end"/>
      </w:r>
      <w:r w:rsidRPr="009672FC">
        <w:rPr>
          <w:rFonts w:ascii="Garamond" w:hAnsi="Garamond"/>
          <w:sz w:val="24"/>
          <w:szCs w:val="24"/>
        </w:rPr>
        <w:t xml:space="preserve"> find that communication between functions and units ensures fair participation and joint decision making. These studies recognize the importance of open, timely communication between actors in innovation projects, which results in a shared vision among actors.</w:t>
      </w:r>
    </w:p>
    <w:p w14:paraId="4632F808" w14:textId="2053EF89"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 xml:space="preserve">Scholars recognize the sources of partner network power.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{"citationItems":[{"id":"ITEM-1","itemData":{"DOI":"10.1016/j.jbusres.2014.03.017","ISSN":"01482963","abstract":"The purpose of this paper is to investigate the dynamics of networked power in a concentrated business network. Power is a long standing theme in inter-organizational research, yet there is a paucity of studies about how power emerges and is constructed over time at the network level. The paper adopts process, systems and network theory to interpret a rich single case study from the food industry. Three power mechanisms are identified, gatekeeping, decoupling and resource allocation, which form the basis of a model of networked power dynamics. Empirically tracing the dynamics of networked power highlights the economic contents of interactions. The paper extends current understandings of power as 'conflict and coercion' to include influencing, leveraging and strategic maneuvering in the actual performance of networked power.","author":[{"dropping-particle":"","family":"Olsen","given":"Per Ingvar","non-dropping-particle":"","parse-names":false,"suffix":""},{"dropping-particle":"","family":"Prenkert","given":"Frans","non-dropping-particle":"","parse-names":false,"suffix":""},{"dropping-particle":"","family":"Hoholm","given":"Thomas","non-dropping-particle":"","parse-names":false,"suffix":""},{"dropping-particle":"","family":"Harrison","given":"Debbie","non-dropping-particle":"","parse-names":false,"suffix":""}],"container-title":"Journal of Business Research","id":"ITEM-1","issue":"12","issued":{"date-parts":[["2014"]]},"page":"2579-2589","publisher":"Elsevier Inc.","title":"The dynamics of networked power in a concentrated business network","type":"article-journal","volume":"67"},"uris":["http://www.mendeley.com/documents/?uuid=3c720de5-e586-4948-a1d6-f17fe2ca45b7"]}],"mendeley":{"formattedCitation":"(Olsen et al., 2014)","manualFormatting":"Olsen et al. (2014)","plainTextFormattedCitation":"(Olsen et al., 2014)","previouslyFormattedCitation":"(Olsen &lt;i&gt;et al.&lt;/i&gt;,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Olsen et al. (2014)</w:t>
      </w:r>
      <w:r w:rsidRPr="009672FC">
        <w:rPr>
          <w:rFonts w:ascii="Garamond" w:hAnsi="Garamond"/>
          <w:sz w:val="24"/>
          <w:szCs w:val="24"/>
        </w:rPr>
        <w:fldChar w:fldCharType="end"/>
      </w:r>
      <w:r w:rsidRPr="009672FC">
        <w:rPr>
          <w:rFonts w:ascii="Garamond" w:hAnsi="Garamond"/>
          <w:sz w:val="24"/>
          <w:szCs w:val="24"/>
        </w:rPr>
        <w:t xml:space="preserve"> posit that a partner’s network power influences the performance of innovation networks. Such powers may be derived from interfirm from boundary</w:t>
      </w:r>
      <w:r w:rsidR="002663FA" w:rsidRPr="009672FC">
        <w:rPr>
          <w:rFonts w:ascii="Garamond" w:hAnsi="Garamond"/>
          <w:sz w:val="24"/>
          <w:szCs w:val="24"/>
        </w:rPr>
        <w:t>-</w:t>
      </w:r>
      <w:r w:rsidRPr="009672FC">
        <w:rPr>
          <w:rFonts w:ascii="Garamond" w:hAnsi="Garamond"/>
          <w:sz w:val="24"/>
          <w:szCs w:val="24"/>
        </w:rPr>
        <w:t xml:space="preserve">spanning relationships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{"citationItems":[{"id":"ITEM-1","itemData":{"DOI":"10.1016/j.jbusres.2014.03.017","ISSN":"01482963","abstract":"The purpose of this paper is to investigate the dynamics of networked power in a concentrated business network. Power is a long standing theme in inter-organizational research, yet there is a paucity of studies about how power emerges and is constructed over time at the network level. The paper adopts process, systems and network theory to interpret a rich single case study from the food industry. Three power mechanisms are identified, gatekeeping, decoupling and resource allocation, which form the basis of a model of networked power dynamics. Empirically tracing the dynamics of networked power highlights the economic contents of interactions. The paper extends current understandings of power as 'conflict and coercion' to include influencing, leveraging and strategic maneuvering in the actual performance of networked power.","author":[{"dropping-particle":"","family":"Olsen","given":"Per Ingvar","non-dropping-particle":"","parse-names":false,"suffix":""},{"dropping-particle":"","family":"Prenkert","given":"Frans","non-dropping-particle":"","parse-names":false,"suffix":""},{"dropping-particle":"","family":"Hoholm","given":"Thomas","non-dropping-particle":"","parse-names":false,"suffix":""},{"dropping-particle":"","family":"Harrison","given":"Debbie","non-dropping-particle":"","parse-names":false,"suffix":""}],"container-title":"Journal of Business Research","id":"ITEM-1","issue":"12","issued":{"date-parts":[["2014"]]},"page":"2579-2589","publisher":"Elsevier Inc.","title":"The dynamics of networked power in a concentrated business network","type":"article-journal","volume":"67"},"uris":["http://www.mendeley.com/documents/?uuid=3c720de5-e586-4948-a1d6-f17fe2ca45b7"]}],"mendeley":{"formattedCitation":"(Olsen et al., 2014)","manualFormatting":"(Ahola et al., 2019)","plainTextFormattedCitation":"(Olsen et al., 2014)","previouslyFormattedCitation":"(Olsen &lt;i&gt;et al.&lt;/i&gt;,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w:t>
      </w:r>
      <w:r w:rsidRPr="009672FC">
        <w:rPr>
          <w:rFonts w:ascii="Garamond" w:hAnsi="Garamond"/>
          <w:noProof/>
          <w:sz w:val="24"/>
          <w:szCs w:val="24"/>
        </w:rPr>
        <w:fldChar w:fldCharType="begin" w:fldLock="1"/>
      </w:r>
      <w:r w:rsidR="00813D37" w:rsidRPr="009672FC">
        <w:rPr>
          <w:rFonts w:ascii="Garamond" w:hAnsi="Garamond"/>
          <w:noProof/>
          <w:sz w:val="24"/>
          <w:szCs w:val="24"/>
        </w:rPr>
        <w:instrText>ADDIN CSL_CITATION {"citationItems":[{"id":"ITEM-1","itemData":{"DOI":"10.1016/j.indmarman.2019.08.010","ISSN":"00198501","abstract":"Earlier research has highlighted the dynamic nature of influencing in business networks, and shown that firms may vary considerably in their influence, defined as their potential to achieve changes in the activities, resources, or goals of other firms in the business network. There is, however, limited understanding of the specific means of influencing which may allow firms, over time, to increase their influence with other firms in the same network. Drawing on a longitudinal case study, we describe how a firm, through influencing others by the dynamic enactment of network management activities, gradually increased its influence with other firms in the business network. Based on our observations, we offer a processual model for influencing in business networks that links specific network management activities to conditions under which they are used.","author":[{"dropping-particle":"","family":"Ahola","given":"Tuomas","non-dropping-particle":"","parse-names":false,"suffix":""},{"dropping-particle":"","family":"Aaltonen","given":"K.","non-dropping-particle":"","parse-names":false,"suffix":""},{"dropping-particle":"","family":"Artto","given":"Karlos","non-dropping-particle":"","parse-names":false,"suffix":""},{"dropping-particle":"","family":"Lehtinen","given":"Jere","non-dropping-particle":"","parse-names":false,"suffix":""}],"container-title":"Industrial Marketing Management","id":"ITEM-1","issue":"November 2016","issued":{"date-parts":[["2019"]]},"page":"1-15","publisher":"Elsevier","title":"Making room to manoeuvre: How firms increase their influence with others in business networks","type":"article-journal"},"uris":["http://www.mendeley.com/documents/?uuid=eaeebbb1-7294-4f2b-bc57-f595d4bd2d2f"]}],"mendeley":{"formattedCitation":"(Ahola et al., 2019)","manualFormatting":"Ahola et al., 2019)","plainTextFormattedCitation":"(Ahola et al., 2019)","previouslyFormattedCitation":"(Ahola &lt;i&gt;et al.&lt;/i&gt;, 2019)"},"properties":{"noteIndex":0},"schema":"https://github.com/citation-style-language/schema/raw/master/csl-citation.json"}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Ahola et al., 2019)</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and resource positions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{"citationItems":[{"id":"ITEM-1","itemData":{"DOI":"10.1016/j.indmarman.2017.12.005","ISSN":"00198501","abstract":"This paper focuses on how newly established technology-based start-up companies become part of the business landscape. In more detail, the aim of the paper is to analyse how a start-up becomes embedded through its networking behaviours in a business network. To approach this phenomenon, the theoretical frame of reference is based on the industrial network approach to industrial markets separating developing, producing and using settings. The business network settings are combined with networking behaviours consisting of both strong and weak ties. Importantly, for a start-up to become embedded through networking, resources of the start-up need to be combined with resources in the three business network settings. The paper relies on a case study methodology focusing on a start-up, founded at a technical university in Sweden, and its networking behaviours. The paper concludes that networking behaviours relying on strong ties are crucial to resource combining. However, the analysis also shows the importance of networking behaviours of weak ties, acquiring information and interaction to sensing new opportunities. The paper ends with managerial implications for start-up managers, pinpointing the need to work with both strong and weak ties as a platform to eventually become embedded in business networks.","author":[{"dropping-particle":"","family":"Landqvist","given":"Maria","non-dropping-particle":"","parse-names":false,"suffix":""},{"dropping-particle":"","family":"Lind","given":"Frida","non-dropping-particle":"","parse-names":false,"suffix":""}],"container-title":"Industrial Marketing Management","id":"ITEM-1","issue":"December 2015","issued":{"date-parts":[["2019"]]},"page":"160-171","publisher":"Elsevier","title":"A start-up embedding in three business network settings – A matter of resource combining","type":"article-journal","volume":"80"},"uris":["http://www.mendeley.com/documents/?uuid=f0fcfc7e-42af-45cb-bebd-804af8d2d4cb"]}],"mendeley":{"formattedCitation":"(Landqvist &amp; Lind, 2019)","plainTextFormattedCitation":"(Landqvist &amp; Lind, 2019)","previouslyFormattedCitation":"(Landqvist and Lind, 2019)"},"properties":{"noteIndex":0},"schema":"https://github.com/citation-style-language/schema/raw/master/csl-citation.json"}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(Landqvist &amp; Lind, 2019)</w:t>
      </w:r>
      <w:r w:rsidRPr="009672FC">
        <w:rPr>
          <w:rFonts w:ascii="Garamond" w:hAnsi="Garamond"/>
          <w:sz w:val="24"/>
          <w:szCs w:val="24"/>
        </w:rPr>
        <w:fldChar w:fldCharType="end"/>
      </w:r>
      <w:r w:rsidRPr="009672FC">
        <w:rPr>
          <w:rFonts w:ascii="Garamond" w:hAnsi="Garamond"/>
          <w:sz w:val="24"/>
          <w:szCs w:val="24"/>
        </w:rPr>
        <w:t xml:space="preserve">, thereby affecting the powers and influence of network partners. Further,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{"citationItems":[{"id":"ITEM-1","itemData":{"DOI":"10.1016/j.jbusres.2014.03.017","ISSN":"01482963","abstract":"The purpose of this paper is to investigate the dynamics of networked power in a concentrated business network. Power is a long standing theme in inter-organizational research, yet there is a paucity of studies about how power emerges and is constructed over time at the network level. The paper adopts process, systems and network theory to interpret a rich single case study from the food industry. Three power mechanisms are identified, gatekeeping, decoupling and resource allocation, which form the basis of a model of networked power dynamics. Empirically tracing the dynamics of networked power highlights the economic contents of interactions. The paper extends current understandings of power as 'conflict and coercion' to include influencing, leveraging and strategic maneuvering in the actual performance of networked power.","author":[{"dropping-particle":"","family":"Olsen","given":"Per Ingvar","non-dropping-particle":"","parse-names":false,"suffix":""},{"dropping-particle":"","family":"Prenkert","given":"Frans","non-dropping-particle":"","parse-names":false,"suffix":""},{"dropping-particle":"","family":"Hoholm","given":"Thomas","non-dropping-particle":"","parse-names":false,"suffix":""},{"dropping-particle":"","family":"Harrison","given":"Debbie","non-dropping-particle":"","parse-names":false,"suffix":""}],"container-title":"Journal of Business Research","id":"ITEM-1","issue":"12","issued":{"date-parts":[["2014"]]},"page":"2579-2589","publisher":"Elsevier Inc.","title":"The dynamics of networked power in a concentrated business network","type":"article-journal","volume":"67"},"uris":["http://www.mendeley.com/documents/?uuid=3c720de5-e586-4948-a1d6-f17fe2ca45b7"]}],"mendeley":{"formattedCitation":"(Olsen et al., 2014)","manualFormatting":"Olsen et al. (2014)","plainTextFormattedCitation":"(Olsen et al., 2014)","previouslyFormattedCitation":"(Olsen &lt;i&gt;et al.&lt;/i&gt;,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Olsen et al. (2014)</w:t>
      </w:r>
      <w:r w:rsidRPr="009672FC">
        <w:rPr>
          <w:rFonts w:ascii="Garamond" w:hAnsi="Garamond"/>
          <w:sz w:val="24"/>
          <w:szCs w:val="24"/>
        </w:rPr>
        <w:fldChar w:fldCharType="end"/>
      </w:r>
      <w:r w:rsidRPr="009672FC">
        <w:rPr>
          <w:rFonts w:ascii="Garamond" w:hAnsi="Garamond"/>
          <w:sz w:val="24"/>
          <w:szCs w:val="24"/>
        </w:rPr>
        <w:t xml:space="preserve"> however, identify three sources of network power positions (e.g., gatekeeper, de-coupling, and resource allocation) that affect network performance. However, scholars argue </w:t>
      </w:r>
      <w:r w:rsidRPr="009672FC">
        <w:rPr>
          <w:rFonts w:ascii="Garamond" w:hAnsi="Garamond"/>
          <w:sz w:val="24"/>
          <w:szCs w:val="24"/>
        </w:rPr>
        <w:lastRenderedPageBreak/>
        <w:t>that such powers must be managed to minimize the missus by ambitious focal firms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{"citationItems":[{"id":"ITEM-1","itemData":{"DOI":"10.1016/j.scaman.2019.101047","ISSN":"09565221","abstract":"This paper contributes to research on inter-organizational relationship dynamics by applying a dialectical approach. We analyze a situation where the relationship parties have divergent understandings of business exchange, and use a longitudinal, in-depth single case study method to investigate their interaction process. The case study focuses on the relationship between a customer and a supplier in the ferrochrome industry, using the acquisition of the supplier as the trigger of the relationship change process. The paper contributes to studies on relationship dynamics by showing how dynamics of inter-organizational relationships may result from struggles when parties’ interests and goals do not align with existing relationship arrangements. In particular, we focus on the process of (re)construction of the relationship and its linkage to the structural properties of the relationship.","author":[{"dropping-particle":"","family":"Alimadadi","given":"Siavash","non-dropping-particle":"","parse-names":false,"suffix":""},{"dropping-particle":"","family":"Bengtson","given":"Anna","non-dropping-particle":"","parse-names":false,"suffix":""},{"dropping-particle":"","family":"Salmi","given":"Asta","non-dropping-particle":"","parse-names":false,"suffix":""}],"container-title":"Scandinavian Journal of Management","id":"ITEM-1","issue":"3","issued":{"date-parts":[["2019"]]},"page":"101047","publisher":"Elsevier","title":"Disruption, dissolution and reconstruction: A dialectical view on inter-organizational relationship development","type":"article-journal","volume":"35"},"uris":["http://www.mendeley.com/documents/?uuid=5b92d178-a1aa-4d46-b929-1f34044c24c6"]}],"mendeley":{"formattedCitation":"(Alimadadi et al., 2019)","manualFormatting":"Alimadadi, Bengtson, and Salmi, 2019)","plainTextFormattedCitation":"(Alimadadi et al., 2019)","previouslyFormattedCitation":"(Alimadadi, Bengtson and Salmi,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Alimadadi, Bengtson, and Salmi, 2019)</w:t>
      </w:r>
      <w:r w:rsidRPr="009672FC">
        <w:rPr>
          <w:rFonts w:ascii="Garamond" w:hAnsi="Garamond"/>
          <w:sz w:val="24"/>
          <w:szCs w:val="24"/>
        </w:rPr>
        <w:fldChar w:fldCharType="end"/>
      </w:r>
      <w:r w:rsidRPr="009672FC">
        <w:rPr>
          <w:rFonts w:ascii="Garamond" w:hAnsi="Garamond"/>
          <w:sz w:val="24"/>
          <w:szCs w:val="24"/>
        </w:rPr>
        <w:t>.</w:t>
      </w:r>
    </w:p>
    <w:p w14:paraId="718FF7ED" w14:textId="43EC812C" w:rsidR="003D5DE8" w:rsidRPr="009672FC" w:rsidRDefault="007549AA" w:rsidP="005C5F35">
      <w:pPr>
        <w:pStyle w:val="MDPI18keywords"/>
        <w:numPr>
          <w:ilvl w:val="2"/>
          <w:numId w:val="8"/>
        </w:numPr>
        <w:spacing w:line="360" w:lineRule="auto"/>
        <w:outlineLvl w:val="2"/>
        <w:rPr>
          <w:rFonts w:ascii="Garamond" w:hAnsi="Garamond"/>
          <w:b/>
          <w:bCs/>
          <w:i/>
          <w:iCs/>
          <w:sz w:val="24"/>
          <w:szCs w:val="24"/>
        </w:rPr>
      </w:pPr>
      <w:bookmarkStart w:id="63" w:name="_Toc85708715"/>
      <w:bookmarkStart w:id="64" w:name="_Toc85709730"/>
      <w:r w:rsidRPr="009672FC">
        <w:rPr>
          <w:rFonts w:ascii="Garamond" w:hAnsi="Garamond"/>
          <w:b/>
          <w:bCs/>
          <w:i/>
          <w:iCs/>
          <w:sz w:val="24"/>
          <w:szCs w:val="24"/>
        </w:rPr>
        <w:t>Network Performance</w:t>
      </w:r>
      <w:bookmarkEnd w:id="63"/>
      <w:bookmarkEnd w:id="64"/>
      <w:r w:rsidRPr="009672FC">
        <w:rPr>
          <w:rFonts w:ascii="Garamond" w:hAnsi="Garamond"/>
          <w:b/>
          <w:bCs/>
          <w:i/>
          <w:iCs/>
          <w:sz w:val="24"/>
          <w:szCs w:val="24"/>
        </w:rPr>
        <w:t xml:space="preserve"> </w:t>
      </w:r>
    </w:p>
    <w:p w14:paraId="302890BD" w14:textId="75FE6713" w:rsidR="005C5F35" w:rsidRPr="009672FC" w:rsidRDefault="007549AA" w:rsidP="005C5F35">
      <w:pPr>
        <w:pStyle w:val="MDPI18keywords"/>
        <w:spacing w:before="0" w:line="360" w:lineRule="auto"/>
        <w:ind w:left="0"/>
        <w:rPr>
          <w:rFonts w:ascii="Garamond" w:hAnsi="Garamond"/>
          <w:sz w:val="24"/>
          <w:szCs w:val="24"/>
        </w:rPr>
      </w:pPr>
      <w:r w:rsidRPr="009672FC">
        <w:rPr>
          <w:rFonts w:ascii="Garamond" w:hAnsi="Garamond"/>
          <w:i/>
          <w:iCs/>
          <w:sz w:val="24"/>
          <w:szCs w:val="24"/>
        </w:rPr>
        <w:t>Internal organizational performance.</w:t>
      </w:r>
      <w:r w:rsidRPr="009672FC">
        <w:rPr>
          <w:rFonts w:ascii="Garamond" w:hAnsi="Garamond"/>
          <w:sz w:val="24"/>
          <w:szCs w:val="24"/>
        </w:rPr>
        <w:t xml:space="preserve"> We found that several internal organizational performance outcomes are attributed to inter-firm relationships, such as public confidence and legitimacy (Stuart, 2000), organizational agility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&amp; Yang, 2014)"},"properties":{"noteIndex":0},"schema":"https://github.com/citation-style-language/schema/raw/master/csl-citation.json"}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Lee and Yang, 2014)</w:t>
      </w:r>
      <w:r w:rsidRPr="009672FC">
        <w:rPr>
          <w:rFonts w:ascii="Garamond" w:hAnsi="Garamond"/>
          <w:sz w:val="24"/>
          <w:szCs w:val="24"/>
        </w:rPr>
        <w:fldChar w:fldCharType="end"/>
      </w:r>
      <w:r w:rsidRPr="009672FC">
        <w:rPr>
          <w:rFonts w:ascii="Garamond" w:hAnsi="Garamond"/>
          <w:sz w:val="24"/>
          <w:szCs w:val="24"/>
        </w:rPr>
        <w:t xml:space="preserve">, business model innovation and network dynamism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{"citationItems":[{"id":"ITEM-1","itemData":{"DOI":"10.1016/j.jbusres.2016.04.154","ISSN":"01482963","abstract":"Firm performance in turbulent business environments strongly depends on the adaptive (re)generation of the firm's business model. However, studies on the enablers of business model innovation are sparse. This study leverages the literature on dynamic capabilities, on organizational ambidexterity/vacillation, and Lewis's view of organizational paradoxes to build an integrated model of organizational dynamism that includes seven dimensions: three pairs of paradoxical constructs (cooperation–competition, exploration–exploitation, and conformity–agency) and dynamic capabilities. The study posits that these seven dimensions of organizational dynamism describe the key enablers of adaptive business model innovation (ABMI). The results of applying a fuzzy set qualitative comparative analysis (fsQCA) to 35 selected cases confirm that the paradoxical dimensions of organizational dynamism, although logically opposed, strongly intertwine in enabling the adaptive (re)generation of a firm's business model. Further, this article highlights fsQCA's suitability to test models that include paradoxical constructs.","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Research","id":"ITEM-1","issue":"11","issued":{"date-parts":[["2016"]]},"page":"5487-5493","publisher":"Elsevier Inc.","title":"Organizational dynamism and adaptive business model innovation: The triple paradox configuration","type":"article-journal","volume":"69"},"uris":["http://www.mendeley.com/documents/?uuid=8acf2015-3e04-469b-b520-98e47f048fc4"]}],"mendeley":{"formattedCitation":"(Ricciardi, Zardini, &amp; Rossignoli, 2016)","manualFormatting":"(Ricciardi et al., 2016;","plainTextFormattedCitation":"(Ricciardi, Zardini, &amp; Rossignoli, 2016)","previouslyFormattedCitation":"(Ricciardi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(Ricciardi et al., 2016;</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{"citationItems":[{"id":"ITEM-1","itemData":{"DOI":"10.1080/19420862.2017.1356527","ISSN":"19420870","abstract":"© 2017 Taylor &amp; Francis Group, LLC. We investigated the evolution process of collaborative inter-organizational network of the research and development (R&amp;D) on monoclonal antibody (mAb) over the past 30 y. The annual detection of the collaboration network provides dynamics on network structures and relationship changes among different organizations. Our research showed continuous growth of the network's scale and complexity due to the constant entry of new organizations and the forging of new partnering relationships. The evolving topological features reveal a core-periphery structure that became clearer over time and an increasing heterogeneity within the collaborative mAb R&amp;D network. As measured by the number of network participants, dedicated biotechnology firms (DBFs) were the dominant organization form in the field of mAb development, but their average centrality was reduced during the period of 2004–2009, when pharmaceutical companies took over the positions of DBFs. Along with the network evolution, 2 waves of substitution on the leading positions were driven by technological innovations and mergers and acquisitions (M&amp;A). In addition, this study analyzed organizational-level behaviors to help understand the evolution of network structures over the field of mAb development across the different technologically innovative or economic contexts.","author":[{"dropping-particle":"","family":"Kong","given":"Xiangjun","non-dropping-particle":"","parse-names":false,"suffix":""},{"dropping-particle":"","family":"Wan","given":"Jian bo","non-dropping-particle":"","parse-names":false,"suffix":""},{"dropping-particle":"","family":"Hu","given":"Hao","non-dropping-particle":"","parse-names":false,"suffix":""},{"dropping-particle":"","family":"Su","given":"Shibing","non-dropping-particle":"","parse-names":false,"suffix":""},{"dropping-particle":"","family":"Hu","given":"Yuanjia","non-dropping-particle":"","parse-names":false,"suffix":""}],"container-title":"MABS","id":"ITEM-1","issue":"7","issued":{"date-parts":[["2017"]]},"page":"1041-1051","publisher":"Taylor &amp; Francis","title":"Evolving patterns in a collaboration network of global R&amp;D on monoclonal antibodies","type":"article-journal","volume":"9"},"uris":["http://www.mendeley.com/documents/?uuid=86543542-361b-484b-bdfe-7bf9ead3cb07"]}],"mendeley":{"formattedCitation":"(Kong et al., 2017)","manualFormatting":"Kong et al., 2017; Krause and Schutte, 2015)","plainTextFormattedCitation":"(Kong et al., 2017)","previouslyFormattedCitation":"(Kong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Kong et al., 2017;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author":[{"dropping-particle":"","family":"Krause","given":"W.","non-dropping-particle":"","parse-names":false,"suffix":""},{"dropping-particle":"","family":"Schutte","given":"C.S.L","non-dropping-particle":"","parse-names":false,"suffix":""}],"container-title":"South African Journal of Industrial Engineering","id":"ITEM-1","issue":"May 2015","issued":{"date-parts":[["2015"]]},"page":"163-178","title":"A perspective on open innovation in small- and medium-sized enterprises in South Africa, and design requirements for an open innovation approach","type":"article-journal","volume":"26"},"uris":["http://www.mendeley.com/documents/?uuid=56bb3f08-1ef5-474b-90e4-ed51344a7540"]}],"mendeley":{"formattedCitation":"(Krause &amp; Schutte, 2015)","manualFormatting":"Krause and Schutte, 2015)","plainTextFormattedCitation":"(Krause &amp; Schutte, 2015)","previouslyFormattedCitation":"(Krause &amp; Schutte, 2015)"},"properties":{"noteIndex":0},"schema":"https://github.com/citation-style-language/schema/raw/master/csl-citation.json"}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Krause and Schutte, 2015)</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and absorptive and sensemaking capability </w:t>
      </w:r>
      <w:r w:rsidRPr="009672FC">
        <w:rPr>
          <w:rFonts w:ascii="Garamond" w:hAnsi="Garamond"/>
          <w:sz w:val="20"/>
        </w:rPr>
        <w:fldChar w:fldCharType="begin" w:fldLock="1"/>
      </w:r>
      <w:r w:rsidRPr="009672FC">
        <w:rPr>
          <w:rFonts w:ascii="Garamond" w:hAnsi="Garamond"/>
          <w:sz w:val="24"/>
          <w:szCs w:val="24"/>
        </w:rPr>
        <w:instrText>ADDIN CSL_CITATION {"citationItems":[{"id":"ITEM-1","itemData":{"author":[{"dropping-particle":"","family":"Grant","given":"Robert M","non-dropping-particle":"","parse-names":false,"suffix":""}],"container-title":"Strategic Management Journal","id":"ITEM-1","issued":{"date-parts":[["1996"]]},"page":"109-122","title":"Toward a knowledge</w:instrText>
      </w:r>
      <w:r w:rsidRPr="009672FC">
        <w:rPr>
          <w:rFonts w:ascii="Times New Roman" w:hAnsi="Times New Roman"/>
          <w:sz w:val="24"/>
          <w:szCs w:val="24"/>
        </w:rPr>
        <w:instrText>‐</w:instrText>
      </w:r>
      <w:r w:rsidRPr="009672FC">
        <w:rPr>
          <w:rFonts w:ascii="Garamond" w:hAnsi="Garamond"/>
          <w:sz w:val="24"/>
          <w:szCs w:val="24"/>
        </w:rPr>
        <w:instrText>based theory of the firm","type":"article-journal","volume":"17"},"uris":["http://www.mendeley.com/documents/?uuid=c574dccb-428f-4479-9c49-692d619f6e4b"]}],"mendeley":{"formattedCitation":"(Grant, 1996)","manualFormatting":"(Grant, 1996","plainTextFormattedCitation":"(Grant, 1996)","previouslyFormattedCitation":"(Grant, 1996)"},"properties":{"noteIndex":0},"schema":"https://github.com/citation-style-language/schema/raw/master/csl-citation.json"}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(Grant, 1996</w:t>
      </w:r>
      <w:r w:rsidRPr="009672FC">
        <w:rPr>
          <w:rFonts w:ascii="Garamond" w:hAnsi="Garamond"/>
          <w:sz w:val="24"/>
          <w:szCs w:val="24"/>
        </w:rPr>
        <w:fldChar w:fldCharType="end"/>
      </w:r>
      <w:r w:rsidRPr="009672FC">
        <w:rPr>
          <w:rFonts w:ascii="Garamond" w:hAnsi="Garamond"/>
          <w:sz w:val="20"/>
        </w:rPr>
        <w:fldChar w:fldCharType="begin" w:fldLock="1"/>
      </w:r>
      <w:r w:rsidRPr="009672FC">
        <w:rPr>
          <w:rFonts w:ascii="Garamond" w:hAnsi="Garamond"/>
          <w:sz w:val="24"/>
          <w:szCs w:val="24"/>
        </w:rPr>
        <w:instrText>ADDIN CSL_CITATION {"citationItems":[{"id":"ITEM-1","itemData":{"author":[{"dropping-particle":"","family":"Brown","given":"John Seely","non-dropping-particle":"","parse-names":false,"suffix":""},{"dropping-particle":"","family":"Duguid","given":"Paul","non-dropping-particle":"","parse-names":false,"suffix":""}],"container-title":"Organization Science","id":"ITEM-1","issue":"2","issued":{"date-parts":[["2001"]]},"page":"198-213","title":"Knowledge and Organization: A Social-Practice Perspective","type":"article-journal","volume":"12"},"uris":["http://www.mendeley.com/documents/?uuid=df0e9f48-41eb-471e-9f20-c858ffe6c8c9"]}],"mendeley":{"formattedCitation":"(Brown &amp; Duguid, 2001)","manualFormatting":"; Brown and Duguid, 2001)","plainTextFormattedCitation":"(Brown &amp; Duguid, 2001)","previouslyFormattedCitation":"(Brown &amp; Duguid, 2001)"},"properties":{"noteIndex":0},"schema":"https://github.com/citation-style-language/schema/raw/master/csl-citation.json"}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Brown and Duguid, 2001)</w:t>
      </w:r>
      <w:r w:rsidRPr="009672FC">
        <w:rPr>
          <w:rFonts w:ascii="Garamond" w:hAnsi="Garamond"/>
          <w:sz w:val="24"/>
          <w:szCs w:val="24"/>
        </w:rPr>
        <w:fldChar w:fldCharType="end"/>
      </w:r>
      <w:r w:rsidRPr="009672FC">
        <w:rPr>
          <w:rFonts w:ascii="Garamond" w:hAnsi="Garamond"/>
          <w:sz w:val="24"/>
          <w:szCs w:val="24"/>
        </w:rPr>
        <w:t>. For example, start-ups and SMEs rely on bigger and more technologically</w:t>
      </w:r>
      <w:r w:rsidR="00CF726B" w:rsidRPr="009672FC">
        <w:rPr>
          <w:rFonts w:ascii="Garamond" w:hAnsi="Garamond"/>
          <w:sz w:val="24"/>
          <w:szCs w:val="24"/>
        </w:rPr>
        <w:t xml:space="preserve"> </w:t>
      </w:r>
      <w:r w:rsidRPr="009672FC">
        <w:rPr>
          <w:rFonts w:ascii="Garamond" w:hAnsi="Garamond"/>
          <w:sz w:val="24"/>
          <w:szCs w:val="24"/>
        </w:rPr>
        <w:t xml:space="preserve">advanced organizations to improve their reputations, as well as their industry position and competitiveness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{"citationItems":[{"id":"ITEM-1","itemData":{"DOI":"10.1016/j.indmarman.2017.12.005","ISSN":"00198501","abstract":"This paper focuses on how newly established technology-based start-up companies become part of the business landscape. In more detail, the aim of the paper is to analyse how a start-up becomes embedded through its networking behaviours in a business network. To approach this phenomenon, the theoretical frame of reference is based on the industrial network approach to industrial markets separating developing, producing and using settings. The business network settings are combined with networking behaviours consisting of both strong and weak ties. Importantly, for a start-up to become embedded through networking, resources of the start-up need to be combined with resources in the three business network settings. The paper relies on a case study methodology focusing on a start-up, founded at a technical university in Sweden, and its networking behaviours. The paper concludes that networking behaviours relying on strong ties are crucial to resource combining. However, the analysis also shows the importance of networking behaviours of weak ties, acquiring information and interaction to sensing new opportunities. The paper ends with managerial implications for start-up managers, pinpointing the need to work with both strong and weak ties as a platform to eventually become embedded in business networks.","author":[{"dropping-particle":"","family":"Landqvist","given":"Maria","non-dropping-particle":"","parse-names":false,"suffix":""},{"dropping-particle":"","family":"Lind","given":"Frida","non-dropping-particle":"","parse-names":false,"suffix":""}],"container-title":"Industrial Marketing Management","id":"ITEM-1","issue":"December 2015","issued":{"date-parts":[["2019"]]},"page":"160-171","publisher":"Elsevier","title":"A start-up embedding in three business network settings – A matter of resource combining","type":"article-journal","volume":"80"},"uris":["http://www.mendeley.com/documents/?uuid=f0fcfc7e-42af-45cb-bebd-804af8d2d4cb"]}],"mendeley":{"formattedCitation":"(Landqvist &amp; Lind, 2019)","manualFormatting":"Landqvist and Lind, 2019;","plainTextFormattedCitation":"(Landqvist &amp; Lind, 2019)","previouslyFormattedCitation":"(Landqvist &amp; Lind,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Landqvist and Lind, 2019;</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{"citationItems":[{"id":"ITEM-1","itemData":{"DOI":"10.1016/j.promfg.2019.02.091","ISSN":"23519789","abstract":"Research background: Innovation of enterprises continues to be conditional upon many exogenous and endogenous factors among which of crucial importance are inter-organizational relations understood as the relations of enterprises with other entities from the business environment. The aforementioned relations have become the subject of interest in numerous scientific areas, including management sciences. The issue of creating innovations by inter-organizational cooperation is of top importance. Cooperation with business associates could become an answer to challenges of an enterprise facing the need to possess resources and to develop potential in order to implement new business solutions.Purpose of the article: The purpose of this article is to present connections between inter-organizational relations, innovation and cooperation between enterprises operating in Podkarpackie region in Poland.Methodology: The paper uses empirical studies, carried out among enterprises from SME sector in the Podkarpackie region in Poland. It presents the intensity and level of cooperation between these firms and external entities in terms of the implementation of innovative practices.Outcome: the article points to possibilities of sharing experiences and implementing innovations based on cooperation between enterprises. It proves that the effective innovative operations is a tool of increasing the level of innovation of enterprises from SME sector in the Podkarpackie region in Poland.","author":[{"dropping-particle":"","family":"Rzepka","given":"Agnieszka","non-dropping-particle":"","parse-names":false,"suffix":""}],"container-title":"Procedia Manufacturing","id":"ITEM-1","issued":{"date-parts":[["2019"]]},"page":"642-649","publisher":"Elsevier B.V.","title":"Innovation, inter-organizational relation, and co-operation between enterprises in Podkarpacie region in Poland","type":"article-journal","volume":"30"},"uris":["http://www.mendeley.com/documents/?uuid=cf89d259-106f-45a8-a35b-1557db70a8f4"]}],"mendeley":{"formattedCitation":"(Rzepka, 2019)","manualFormatting":"Rzepka, 2019)","plainTextFormattedCitation":"(Rzepka, 2019)","previouslyFormattedCitation":"(Rzepka,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Rzepka, 2019)</w:t>
      </w:r>
      <w:r w:rsidRPr="009672FC">
        <w:rPr>
          <w:rFonts w:ascii="Garamond" w:hAnsi="Garamond"/>
          <w:sz w:val="24"/>
          <w:szCs w:val="24"/>
        </w:rPr>
        <w:fldChar w:fldCharType="end"/>
      </w:r>
      <w:r w:rsidRPr="009672FC">
        <w:rPr>
          <w:rFonts w:ascii="Garamond" w:hAnsi="Garamond"/>
          <w:sz w:val="24"/>
          <w:szCs w:val="24"/>
        </w:rPr>
        <w:t xml:space="preserve">. In such </w:t>
      </w:r>
      <w:r w:rsidR="00CF726B" w:rsidRPr="009672FC">
        <w:rPr>
          <w:rFonts w:ascii="Garamond" w:hAnsi="Garamond"/>
          <w:sz w:val="24"/>
          <w:szCs w:val="24"/>
        </w:rPr>
        <w:t xml:space="preserve">a </w:t>
      </w:r>
      <w:r w:rsidRPr="009672FC">
        <w:rPr>
          <w:rFonts w:ascii="Garamond" w:hAnsi="Garamond"/>
          <w:sz w:val="24"/>
          <w:szCs w:val="24"/>
        </w:rPr>
        <w:t xml:space="preserve">sense, sharing resources and capabilities, and transferring management best practices with bigger firms in the open innovation ecosystems are fundamental aspects </w:t>
      </w:r>
      <w:r w:rsidR="00CF726B" w:rsidRPr="009672FC">
        <w:rPr>
          <w:rFonts w:ascii="Garamond" w:hAnsi="Garamond"/>
          <w:sz w:val="24"/>
          <w:szCs w:val="24"/>
        </w:rPr>
        <w:t xml:space="preserve">of </w:t>
      </w:r>
      <w:r w:rsidRPr="009672FC">
        <w:rPr>
          <w:rFonts w:ascii="Garamond" w:hAnsi="Garamond"/>
          <w:sz w:val="24"/>
          <w:szCs w:val="24"/>
        </w:rPr>
        <w:t>inter-firm innovation especially for the SMEs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{"citationItems":[{"id":"ITEM-1","itemData":{"DOI":"10.1016/j.jik.2018.04.001","ISSN":"2444569X","abstract":"a b s t r a c t This paper aims at investigating the role of makers in open innovation networks by focusing on whether and how knowledge leaks occur in open innovation networks with makers. In the last years, makers have been widely recognized as conducive to innovation and growth in different fields through a novel and open approach. However, little is known about the role played by makers and, more specifically, about the flow of unintended knowledge – i.e. knowledge leaks. Data have been collected by iteratively deploying a snowball sampling technique in an Italian high-tech cluster with a dense and heterogeneous ecosystem of makers. Data analysis relied on social network analysis method and techniques. Findings shed light on a totally unexplored phenomenon and suggest intriguing implications both for theory and practice on whether and how knowledge is exchanged in innovation networks and how knowledge leaks occur.","author":[{"dropping-particle":"","family":"Giusti","given":"Jessica D.","non-dropping-particle":"","parse-names":false,"suffix":""},{"dropping-particle":"","family":"Alberti","given":"Fernando G.","non-dropping-particle":"","parse-names":false,"suffix":""},{"dropping-particle":"","family":"Belfanti","given":"Federica","non-dropping-particle":"","parse-names":false,"suffix":""}],"container-title":"Journal of Innovation &amp; Knowledge","id":"ITEM-1","issue":"2017","issued":{"date-parts":[["2017"]]},"page":"1-9","publisher":"Journal of Innovation &amp; Knowledge","title":"Makers and clusters. Knowledge leaks in open innovation networks","type":"article-journal","volume":"85"},"uris":["http://www.mendeley.com/documents/?uuid=e14b5c92-d406-430b-9976-c8966ed5b3eb"]}],"mendeley":{"formattedCitation":"(Giusti, Alberti, &amp; Belfanti, 2017)","manualFormatting":"Giusti, Alberti and Belfanti, 2017; Laan et al., 2011)","plainTextFormattedCitation":"(Giusti, Alberti, &amp; Belfanti, 2017)","previouslyFormattedCitation":"(Giusti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Giusti, Alberti and Belfanti, 2017;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{"citationItems":[{"id":"ITEM-1","itemData":{"DOI":"10.1016/j.pursup.2010.11.001","ISSN":"14784092","abstract":"This paper generates insights into the establishment and maintenance of cooperative, trusting relationships in partnering projects between client and contractor organizations. For this purpose we first explore the concept of trust, and review the literature on trust in inter-organizational relationships. We describe how trust is related to risk, control and performance, and how initial conditions and expectations may lead to positive cycles of increasing trust or, in contrast, to negative cycles of decreasing trust. We confront this stylized theoretical description of inter-organizational trust dynamics with rich data from a project alliance in railroad construction in the Netherlands. We conclude that the initial conditions of this project alliance were conducive to trust, both in terms of opportunities and incentives. However, virtuous trust dynamics do not develop automatically, in particular in the construction industry that has a heritage of adversarial relationships between clients and contractors. The organizations in our case study took some deliberate actions to overcome these adversarial relations, like selection of key employees, increasing informal interactions between these employees and stimulating openness and transparency. © 2010 Elsevier Ltd.","author":[{"dropping-particle":"","family":"Laan","given":"Albertus","non-dropping-particle":"","parse-names":false,"suffix":""},{"dropping-particle":"","family":"Noorderhaven","given":"Niels","non-dropping-particle":"","parse-names":false,"suffix":""},{"dropping-particle":"","family":"Voordijk","given":"Hans","non-dropping-particle":"","parse-names":false,"suffix":""},{"dropping-particle":"","family":"Dewulf","given":"Geert","non-dropping-particle":"","parse-names":false,"suffix":""}],"container-title":"Journal of Purchasing and Supply Management","id":"ITEM-1","issue":"2","issued":{"date-parts":[["2011"]]},"page":"98-108","publisher":"Elsevier","title":"Building trust in construction partnering projects: An exploratory case-study","type":"article-journal","volume":"17"},"uris":["http://www.mendeley.com/documents/?uuid=97dcadfc-b47b-4c26-9dd1-3530363af522"]}],"mendeley":{"formattedCitation":"(Laan et al., 2011)","manualFormatting":"Laan et al., 2011)","plainTextFormattedCitation":"(Laan et al., 2011)","previouslyFormattedCitation":"(Laan et al., 2011)"},"properties":{"noteIndex":0},"schema":"https://github.com/citation-style-language/schema/raw/master/csl-citation.json"}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Laan et al., 2011)</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w:t>
      </w:r>
      <w:r w:rsidR="005C5F35" w:rsidRPr="009672FC">
        <w:rPr>
          <w:rFonts w:ascii="Garamond" w:hAnsi="Garamond"/>
          <w:sz w:val="24"/>
          <w:szCs w:val="24"/>
        </w:rPr>
        <w:t xml:space="preserve"> The resources integration between firms prepares actors to respond to changing market dynamics through sharing market information, risk, and opportunities (</w:t>
      </w:r>
      <w:r w:rsidR="005C5F35"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and Yang, 2014)"},"properties":{"noteIndex":0},"schema":"https://github.com/citation-style-language/schema/raw/master/csl-citation.json"}</w:instrText>
      </w:r>
      <w:r w:rsidR="005C5F35" w:rsidRPr="009672FC">
        <w:rPr>
          <w:rFonts w:ascii="Garamond" w:hAnsi="Garamond"/>
          <w:sz w:val="24"/>
          <w:szCs w:val="24"/>
        </w:rPr>
        <w:fldChar w:fldCharType="separate"/>
      </w:r>
      <w:r w:rsidR="005C5F35" w:rsidRPr="009672FC">
        <w:rPr>
          <w:rFonts w:ascii="Garamond" w:hAnsi="Garamond"/>
          <w:noProof/>
          <w:sz w:val="24"/>
          <w:szCs w:val="24"/>
        </w:rPr>
        <w:t>Lee and Yang, 2014)</w:t>
      </w:r>
      <w:r w:rsidR="005C5F35" w:rsidRPr="009672FC">
        <w:rPr>
          <w:rFonts w:ascii="Garamond" w:hAnsi="Garamond"/>
          <w:sz w:val="24"/>
          <w:szCs w:val="24"/>
        </w:rPr>
        <w:fldChar w:fldCharType="end"/>
      </w:r>
      <w:r w:rsidR="005C5F35" w:rsidRPr="009672FC">
        <w:rPr>
          <w:rFonts w:ascii="Garamond" w:hAnsi="Garamond"/>
          <w:sz w:val="24"/>
          <w:szCs w:val="24"/>
        </w:rPr>
        <w:t>.</w:t>
      </w:r>
    </w:p>
    <w:p w14:paraId="4EC539DE" w14:textId="77777777" w:rsidR="005C5F35" w:rsidRPr="009672FC" w:rsidRDefault="007549AA" w:rsidP="005C5F35">
      <w:pPr>
        <w:pStyle w:val="MDPI18keywords"/>
        <w:spacing w:line="360" w:lineRule="auto"/>
        <w:ind w:left="0"/>
        <w:rPr>
          <w:rFonts w:ascii="Garamond" w:hAnsi="Garamond"/>
          <w:sz w:val="24"/>
          <w:szCs w:val="24"/>
          <w:lang w:val="en-GB"/>
        </w:rPr>
      </w:pPr>
      <w:r w:rsidRPr="009672FC">
        <w:rPr>
          <w:rFonts w:ascii="Garamond" w:hAnsi="Garamond"/>
          <w:i/>
          <w:iCs/>
          <w:sz w:val="24"/>
          <w:szCs w:val="24"/>
        </w:rPr>
        <w:t>Market performance.</w:t>
      </w:r>
      <w:r w:rsidRPr="009672FC">
        <w:rPr>
          <w:rFonts w:ascii="Garamond" w:hAnsi="Garamond"/>
          <w:sz w:val="24"/>
          <w:szCs w:val="24"/>
        </w:rPr>
        <w:t xml:space="preserve"> A plethora of studies examined the several market-related performance outcomes of inter-organizational projects. For example, the performance of inter-firm networks enables technological development and commercialization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{"citationItems":[{"id":"ITEM-1","itemData":{"DOI":"10.1016/j.jik.2018.04.001","ISSN":"2444569X","abstract":"a b s t r a c t This paper aims at investigating the role of makers in open innovation networks by focusing on whether and how knowledge leaks occur in open innovation networks with makers. In the last years, makers have been widely recognized as conducive to innovation and growth in different fields through a novel and open approach. However, little is known about the role played by makers and, more specifically, about the flow of unintended knowledge – i.e. knowledge leaks. Data have been collected by iteratively deploying a snowball sampling technique in an Italian high-tech cluster with a dense and heterogeneous ecosystem of makers. Data analysis relied on social network analysis method and techniques. Findings shed light on a totally unexplored phenomenon and suggest intriguing implications both for theory and practice on whether and how knowledge is exchanged in innovation networks and how knowledge leaks occur.","author":[{"dropping-particle":"","family":"Giusti","given":"Jessica D.","non-dropping-particle":"","parse-names":false,"suffix":""},{"dropping-particle":"","family":"Alberti","given":"Fernando G.","non-dropping-particle":"","parse-names":false,"suffix":""},{"dropping-particle":"","family":"Belfanti","given":"Federica","non-dropping-particle":"","parse-names":false,"suffix":""}],"container-title":"Journal of Innovation &amp; Knowledge","id":"ITEM-1","issue":"2017","issued":{"date-parts":[["2017"]]},"page":"1-9","publisher":"Journal of Innovation &amp; Knowledge","title":"Makers and clusters. Knowledge leaks in open innovation networks","type":"article-journal","volume":"85"},"uris":["http://www.mendeley.com/documents/?uuid=e14b5c92-d406-430b-9976-c8966ed5b3eb"]}],"mendeley":{"formattedCitation":"(Giusti et al., 2017)","manualFormatting":"Giusti, Alberti, and Belfanti, 2017;","plainTextFormattedCitation":"(Giusti et al., 2017)","previouslyFormattedCitation":"(Giusti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Giusti, Alberti, and Belfanti, 2017;</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{"citationItems":[{"id":"ITEM-1","itemData":{"DOI":"10.1016/j.indmarman.2015.05.036","ISSN":"00198501","abstract":"We seek to understand how ambidexterity of exploring and exploiting is managed in an innovation context. We contribute to the literature by elaborating exploring and exploiting as three processes shared between actors in a dynamic business network. An innovator firm needs to (1) explore the current business network to find partners and gain access to resources, (2) develop business relationships for exploiting the emerging network, and (3) explore and find a network-technology fit inside a future business network. The final process is essential to innovation and commercialization. Further, the quality of the network-technology fit will affect the speed and success of the other two processes. Our contribution provides an understanding of the way in which managers are exploring and exploiting the business network to adapt and commercialize a breakthrough technology. A longitudinal case study of biofuel development and commercialization exemplifies the conceptual issues. Final sections address managerial and research implications.","author":[{"dropping-particle":"","family":"Medlin","given":"Christopher J.","non-dropping-particle":"","parse-names":false,"suffix":""},{"dropping-particle":"","family":"Törnroos","given":"Jan Åke","non-dropping-particle":"","parse-names":false,"suffix":""}],"container-title":"Industrial Marketing Management","id":"ITEM-1","issued":{"date-parts":[["2015"]]},"page":"42-52","publisher":"Elsevier B.V.","title":"Exploring and exploiting network relationships to commercialize technology: A biofuel case","type":"article-journal","volume":"49"},"uris":["http://www.mendeley.com/documents/?uuid=21902d1f-e52e-4d25-8f4c-708d55560699"]}],"mendeley":{"formattedCitation":"(Medlin &amp; Törnroos, 2015)","manualFormatting":"Medlin and Törnroos, 2015)","plainTextFormattedCitation":"(Medlin &amp; Törnroos, 2015)","previouslyFormattedCitation":"(Medlin &amp; Törnroos,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Medlin and Törnroos, 2015)</w:t>
      </w:r>
      <w:r w:rsidRPr="009672FC">
        <w:rPr>
          <w:rFonts w:ascii="Garamond" w:hAnsi="Garamond"/>
          <w:sz w:val="24"/>
          <w:szCs w:val="24"/>
        </w:rPr>
        <w:fldChar w:fldCharType="end"/>
      </w:r>
      <w:r w:rsidRPr="009672FC">
        <w:rPr>
          <w:rFonts w:ascii="Garamond" w:hAnsi="Garamond"/>
          <w:sz w:val="24"/>
          <w:szCs w:val="24"/>
        </w:rPr>
        <w:t>, new product development performance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{"citationItems":[{"id":"ITEM-1","itemData":{"DOI":"10.1016/j.ijproman.2017.09.009","ISSN":"02637863","abstract":"The importance of control in the success of a project was clearly established in project literature. However, the impact mechanisms of intra-organizational and inter-organizational control on the performance of new product development (NPD) performance did not receive considerable attention in the increasingly important context of open innovation. To fill this gap, this study explores intra-organizational and inter-organizational control and their interaction effect on NPD performance in open innovation. The results show that intra-organizational formal control and inter-organizational trust positively influence NPD performance, whereas intra-organizational professional control and inter-organizational contract control have no significant effect. The interaction effect between inter-organizational and inter-organizational control positively influence NPD performance. These findings provide new insights into effective control practices for improving NPD project performance in open innovation.","author":[{"dropping-particle":"","family":"Lu","given":"Ping","non-dropping-particle":"","parse-names":false,"suffix":""},{"dropping-particle":"","family":"Yuan","given":"Shimei","non-dropping-particle":"","parse-names":false,"suffix":""},{"dropping-particle":"","family":"Wu","given":"Jianlin","non-dropping-particle":"","parse-names":false,"suffix":""}],"container-title":"International Journal of Project Management","id":"ITEM-1","issue":"8","issued":{"date-parts":[["2017"]]},"page":"1627-1638","publisher":"Elsevier Ltd, APM and IPMA","title":"The interaction effect between intra-organizational and inter-organizational control on the project performance of new product development in open innovation","type":"article-journal","volume":"35"},"uris":["http://www.mendeley.com/documents/?uuid=fd5a6f9a-a027-4aa5-9942-93f871b24a3f"]}],"mendeley":{"formattedCitation":"(Lu et al., 2017)","manualFormatting":"Lu, Yuan, and Wu, 2017)","plainTextFormattedCitation":"(Lu et al., 2017)","previouslyFormattedCitation":"(Lu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Lu, Yuan, and Wu, 2017)</w:t>
      </w:r>
      <w:r w:rsidRPr="009672FC">
        <w:rPr>
          <w:rFonts w:ascii="Garamond" w:hAnsi="Garamond"/>
          <w:sz w:val="24"/>
          <w:szCs w:val="24"/>
        </w:rPr>
        <w:fldChar w:fldCharType="end"/>
      </w:r>
      <w:r w:rsidRPr="009672FC">
        <w:rPr>
          <w:rFonts w:ascii="Garamond" w:hAnsi="Garamond"/>
          <w:sz w:val="24"/>
          <w:szCs w:val="24"/>
        </w:rPr>
        <w:t>, and speed-to-market and financial performance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{"citationItems":[{"id":"ITEM-1","itemData":{"DOI":"10.1016/j.promfg.2019.02.091","ISSN":"23519789","abstract":"Research background: Innovation of enterprises continues to be conditional upon many exogenous and endogenous factors among which of crucial importance are inter-organizational relations understood as the relations of enterprises with other entities from the business environment. The aforementioned relations have become the subject of interest in numerous scientific areas, including management sciences. The issue of creating innovations by inter-organizational cooperation is of top importance. Cooperation with business associates could become an answer to challenges of an enterprise facing the need to possess resources and to develop potential in order to implement new business solutions.Purpose of the article: The purpose of this article is to present connections between inter-organizational relations, innovation and cooperation between enterprises operating in Podkarpackie region in Poland.Methodology: The paper uses empirical studies, carried out among enterprises from SME sector in the Podkarpackie region in Poland. It presents the intensity and level of cooperation between these firms and external entities in terms of the implementation of innovative practices.Outcome: the article points to possibilities of sharing experiences and implementing innovations based on cooperation between enterprises. It proves that the effective innovative operations is a tool of increasing the level of innovation of enterprises from SME sector in the Podkarpackie region in Poland.","author":[{"dropping-particle":"","family":"Rzepka","given":"Agnieszka","non-dropping-particle":"","parse-names":false,"suffix":""}],"container-title":"Procedia Manufacturing","id":"ITEM-1","issued":{"date-parts":[["2019"]]},"page":"642-649","publisher":"Elsevier B.V.","title":"Innovation, inter-organizational relation, and co-operation between enterprises in Podkarpacie region in Poland","type":"article-journal","volume":"30"},"uris":["http://www.mendeley.com/documents/?uuid=cf89d259-106f-45a8-a35b-1557db70a8f4"]}],"mendeley":{"formattedCitation":"(Rzepka, 2019)","manualFormatting":"Rzepka, 2019;","plainTextFormattedCitation":"(Rzepka, 2019)","previouslyFormattedCitation":"(Rzepka,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Rzepka, 2019;</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et al., 2010)","manualFormatting":"Vaccaro, Parente and Veloso, 2010)","plainTextFormattedCitation":"(Vaccaro et al., 2010)","previouslyFormattedCitation":"(Vaccaro et al.,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Vaccaro, Parente and Veloso, 2010)</w:t>
      </w:r>
      <w:r w:rsidRPr="009672FC">
        <w:rPr>
          <w:rFonts w:ascii="Garamond" w:hAnsi="Garamond"/>
          <w:sz w:val="24"/>
          <w:szCs w:val="24"/>
        </w:rPr>
        <w:fldChar w:fldCharType="end"/>
      </w:r>
      <w:r w:rsidRPr="009672FC">
        <w:rPr>
          <w:rFonts w:ascii="Garamond" w:hAnsi="Garamond"/>
          <w:sz w:val="24"/>
          <w:szCs w:val="24"/>
        </w:rPr>
        <w:t xml:space="preserve">. Some of these contributions are concerned </w:t>
      </w:r>
      <w:r w:rsidR="00CF726B" w:rsidRPr="009672FC">
        <w:rPr>
          <w:rFonts w:ascii="Garamond" w:hAnsi="Garamond"/>
          <w:sz w:val="24"/>
          <w:szCs w:val="24"/>
        </w:rPr>
        <w:t>with</w:t>
      </w:r>
      <w:r w:rsidRPr="009672FC">
        <w:rPr>
          <w:rFonts w:ascii="Garamond" w:hAnsi="Garamond"/>
          <w:sz w:val="24"/>
          <w:szCs w:val="24"/>
        </w:rPr>
        <w:t xml:space="preserve"> </w:t>
      </w:r>
      <w:r w:rsidRPr="009672FC">
        <w:rPr>
          <w:rFonts w:ascii="Garamond" w:hAnsi="Garamond"/>
          <w:sz w:val="24"/>
          <w:szCs w:val="24"/>
          <w:lang w:val="en-GB"/>
        </w:rPr>
        <w:t>creating and seizing market opportunities that foster new product development and new geographic market growth. These collaborative forms of innovation-based relationships make firms stay competitive as a result of the improvement in their business model and or innovation-driven strategy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author":[{"dropping-particle":"","family":"Krause","given":"W.","non-dropping-particle":"","parse-names":false,"suffix":""},{"dropping-particle":"","family":"Schutte","given":"C.S.L","non-dropping-particle":"","parse-names":false,"suffix":""}],"container-title":"South African Journal of Industrial Engineering","id":"ITEM-1","issue":"May 2015","issued":{"date-parts":[["2015"]]},"page":"163-178","title":"A perspective on open innovation in small- and medium-sized enterprises in South Africa, and design requirements for an open innovation approach","type":"article-journal","volume":"26"},"uris":["http://www.mendeley.com/documents/?uuid=56bb3f08-1ef5-474b-90e4-ed51344a7540"]}],"mendeley":{"formattedCitation":"(Krause &amp; Schutte, 2015)","manualFormatting":"Krause and Schutte, 2015)","plainTextFormattedCitation":"(Krause &amp; Schutte, 2015)","previouslyFormattedCitation":"(Krause &amp; Schutte, 2015)"},"properties":{"noteIndex":0},"schema":"https://github.com/citation-style-language/schema/raw/master/csl-citation.json"}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Krause and Schutte, 2015)</w:t>
      </w:r>
      <w:r w:rsidRPr="009672FC">
        <w:rPr>
          <w:rFonts w:ascii="Garamond" w:hAnsi="Garamond"/>
          <w:sz w:val="24"/>
          <w:szCs w:val="24"/>
          <w:lang w:val="en-GB"/>
        </w:rPr>
        <w:fldChar w:fldCharType="end"/>
      </w:r>
      <w:r w:rsidRPr="009672FC">
        <w:rPr>
          <w:rFonts w:ascii="Garamond" w:hAnsi="Garamond"/>
          <w:sz w:val="24"/>
          <w:szCs w:val="24"/>
          <w:lang w:val="en-GB"/>
        </w:rPr>
        <w:t xml:space="preserve"> thus leading to high adaptability in sensing and seizing market opportunities.</w:t>
      </w:r>
    </w:p>
    <w:p w14:paraId="5EE63FFC" w14:textId="66D19434" w:rsidR="005C5F35" w:rsidRPr="009672FC" w:rsidRDefault="005C5F35" w:rsidP="005C5F35">
      <w:pPr>
        <w:pStyle w:val="MDPI18keywords"/>
        <w:spacing w:line="360" w:lineRule="auto"/>
        <w:ind w:left="0"/>
        <w:rPr>
          <w:rFonts w:ascii="Garamond" w:hAnsi="Garamond"/>
          <w:sz w:val="24"/>
          <w:szCs w:val="24"/>
        </w:rPr>
      </w:pPr>
      <w:r w:rsidRPr="009672FC">
        <w:rPr>
          <w:rFonts w:ascii="Garamond" w:hAnsi="Garamond"/>
          <w:sz w:val="24"/>
          <w:szCs w:val="24"/>
        </w:rPr>
        <w:t>These collaborative forms of innovation-based relationships make SMEs stay competitive, as a result of the improvement in their business model and or innovation-driven strategy, leading to flexible and adaptive innovation projects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author":[{"dropping-particle":"","family":"Krause","given":"W.","non-dropping-particle":"","parse-names":false,"suffix":""},{"dropping-particle":"","family":"Schutte","given":"C.S.L","non-dropping-particle":"","parse-names":false,"suffix":""}],"container-title":"South African Journal of Industrial Engineering","id":"ITEM-1","issue":"May 2015","issued":{"date-parts":[["2015"]]},"page":"163-178","title":"A perspective on open innovation in small- and medium-sized enterprises in South Africa, and design requirements for an open innovation approach","type":"article-journal","volume":"26"},"uris":["http://www.mendeley.com/documents/?uuid=56bb3f08-1ef5-474b-90e4-ed51344a7540"]}],"mendeley":{"formattedCitation":"(Krause &amp; Schutte, 2015)","manualFormatting":"Krause and Schutte, 2015)","plainTextFormattedCitation":"(Krause &amp; Schutte, 2015)","previouslyFormattedCitation":"(Krause and Schutte,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Krause and Schutte, 2015)</w:t>
      </w:r>
      <w:r w:rsidRPr="009672FC">
        <w:rPr>
          <w:rFonts w:ascii="Garamond" w:hAnsi="Garamond"/>
          <w:sz w:val="24"/>
          <w:szCs w:val="24"/>
        </w:rPr>
        <w:fldChar w:fldCharType="end"/>
      </w:r>
      <w:r w:rsidRPr="009672FC">
        <w:rPr>
          <w:rFonts w:ascii="Garamond" w:hAnsi="Garamond"/>
          <w:sz w:val="24"/>
          <w:szCs w:val="24"/>
        </w:rPr>
        <w:t>. Market performances are a result of the network capabilities of harnessing relational capital, coordination of innovation processes and combinative experiences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{"citationItems":[{"id":"ITEM-1","itemData":{"DOI":"10.1016/j.ijinfomgt.2015.11.004","ISSN":"02684012","abstract":"Innovation networks are vital in advancing new product and service development. Particularly for small and medium-sized enterprises, partnering within innovation networks allows to enlarge innovation capabilities and to reach new markets. In order to create effective innovation networks, however, firms are required to adapt to the network. To do so, they must overcome three principal challenges: they need to build partnerships, integrate the partners' value contributions, and coordinate innovation processes. We followed three innovation networks over a three-year period and examined how they successfully used information systems (IS) to respond to these challenges. On the basis of their experiences we identify IS categories and measures that support setting up an information management for networked innovation. We explicate relevant tasks for managing the aspects of \"who, what and how\" in networked innovation.","author":[{"dropping-particle":"","family":"Rehm","given":"Sven Volker","non-dropping-particle":"","parse-names":false,"suffix":""},{"dropping-particle":"","family":"Goel","given":"Lakshmi","non-dropping-particle":"","parse-names":false,"suffix":""},{"dropping-particle":"","family":"Junglas","given":"Iris","non-dropping-particle":"","parse-names":false,"suffix":""}],"container-title":"International Journal of Information Management","id":"ITEM-1","issue":"3","issued":{"date-parts":[["2016"]]},"page":"348-359","publisher":"Elsevier Ltd","title":"Information management for innovation networks - An empirical study on the \"who, what and how\" in networked innovation","type":"article-journal","volume":"36"},"uris":["http://www.mendeley.com/documents/?uuid=529368b2-7d7c-49e5-ba25-196d1752cfbe"]}],"mendeley":{"formattedCitation":"(Rehm et al., 2016)","manualFormatting":"Rehm, Goel, and Junglas, 2016;","plainTextFormattedCitation":"(Rehm et al., 2016)","previouslyFormattedCitation":"(Rehm, Goel and Junglas,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Rehm, Goel, and Junglas, 2016;</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{"citationItems":[{"id":"ITEM-1","itemData":{"DOI":"10.1108/JBIM-09-2017-0211","ISSN":"08858624","abstract":"Purpose The purpose of this study is to investigate the capabilities and roles of three types of actors, specifically technology-based start-ups, incumbent firms and intermediaries, in co-constructing a network for development and commercialization of an emerging technology. In particular, the research aims to understand how the roles played by network actors evolve during the development and commercialization process and what operational and dynamic capabilities are developed by actors through collaboration. Design/methodology/approach A single longitudinal case study methodology was applied to analyse roles and operational and dynamic capabilities developed in a network setting by multiple parties over time. Findings The findings indicate that actors need to take on new roles to be successful when dealing with an emerging technology in a network context and they need to develop certain dynamic capabilities to enact these roles. The study categorizes roles and capabilities of network actors through vario...","author":[{"dropping-particle":"","family":"Salehi","given":"Fatemeh","non-dropping-particle":"","parse-names":false,"suffix":""},{"dropping-particle":"","family":"Zolkiewski","given":"Judith","non-dropping-particle":"","parse-names":false,"suffix":""},{"dropping-particle":"","family":"Perks","given":"Helen","non-dropping-particle":"","parse-names":false,"suffix":""},{"dropping-particle":"","family":"Bahreini","given":"Mohammad Ali","non-dropping-particle":"","parse-names":false,"suffix":""}],"container-title":"Journal of Business and Industrial Marketing","id":"ITEM-1","issue":"7","issued":{"date-parts":[["2018"]]},"page":"931-944","title":"Exploration of capability and role development in an emerging technology network","type":"article-journal","volume":"33"},"uris":["http://www.mendeley.com/documents/?uuid=f4422c70-a371-4d79-8a50-e32b276090df"]}],"mendeley":{"formattedCitation":"(Salehi et al., 2018)","manualFormatting":"Salehi et al., 2018)","plainTextFormattedCitation":"(Salehi et al., 2018)","previouslyFormattedCitation":"(Salehi &lt;i&gt;et al.&lt;/i&gt;,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Salehi et al., 2018)</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rPr>
        <w:lastRenderedPageBreak/>
        <w:t xml:space="preserve">Furthermore, technological capabilities in IT further enhance communication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{"citationItems":[{"id":"ITEM-1","itemData":{"DOI":"10.1016/j.emj.2018.07.007","ISSN":"02632373","abstract":"The interactional, interdependent, and dynamic nature of value co-creation has made value management in business relationships a particularly challenging issue for both academicians and practitioners. In addition, studies on this topic have mostly focused on managing value co-creation in isolation from the wider relational context without completely capturing the influence of other value processes on value co-creation. This paper examines the broader picture of value co-creation management by providing a model based on interlinked value processes, namely, value communication, value appropriation, value measurement, and value representation. We adopted a qualitative approach based on 86 interviews with managers of both customer and supplier companies, which operated in different industries. Results showed that the management of value co-creation implies considering complex patterns of interconnections with other value processes. In particular, the study will shed light on the centrality of value appropriation to co-create value and on the importance of value representation to coordinate ideas and enable future co-creation opportunities.","author":[{"dropping-particle":"","family":"Corsaro","given":"Daniela","non-dropping-particle":"","parse-names":false,"suffix":""}],"container-title":"European Management Journal","id":"ITEM-1","issue":"1","issued":{"date-parts":[["2019"]]},"page":"99-116","publisher":"Elsevier Ltd","title":"Capturing the broader picture of value co-creation management","type":"article-journal","volume":"37"},"uris":["http://www.mendeley.com/documents/?uuid=29953ba5-8d42-4d30-ac07-abb0c00328f1"]}],"mendeley":{"formattedCitation":"(Corsaro, 2019)","plainTextFormattedCitation":"(Corsaro, 2019)","previouslyFormattedCitation":"(Corsaro,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(Corsaro, 2019)</w:t>
      </w:r>
      <w:r w:rsidRPr="009672FC">
        <w:rPr>
          <w:rFonts w:ascii="Garamond" w:hAnsi="Garamond"/>
          <w:sz w:val="24"/>
          <w:szCs w:val="24"/>
        </w:rPr>
        <w:fldChar w:fldCharType="end"/>
      </w:r>
      <w:r w:rsidRPr="009672FC">
        <w:rPr>
          <w:rFonts w:ascii="Garamond" w:hAnsi="Garamond"/>
          <w:sz w:val="24"/>
          <w:szCs w:val="24"/>
        </w:rPr>
        <w:t xml:space="preserve">, evaluation, and monitoring performances in inter-firm projects (Comuzzi, Vonk and Grefen, 2012;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2016)","manualFormatting":"Nuroğlu, 2016","plainTextFormattedCitation":"(Nuroğlu, 2016)","previouslyFormattedCitation":"(Nuroğlu,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Nuroğlu, 2016</w:t>
      </w:r>
      <w:r w:rsidRPr="009672FC">
        <w:rPr>
          <w:rFonts w:ascii="Garamond" w:hAnsi="Garamond"/>
          <w:sz w:val="24"/>
          <w:szCs w:val="24"/>
        </w:rPr>
        <w:fldChar w:fldCharType="end"/>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{"citationItems":[{"id":"ITEM-1","itemData":{"DOI":"10.1016/j.datak.2011.07.004","ISSN":"0169023X","abstract":"The literature on monitoring of cross-organizational processes, executed within business networks, considers monitoring only in the network formation phase, since network establishment determines what can be monitored during process execution. In particular, the impact of evolution in such networks on monitoring is not considered. When a business network evolves, e.g. contracts are introduced, updated, or dropped, or actors join or leave the network, the monitoring requirements of the network actors change as well. As a result, the monitorability of processes in the network may be disrupted. This paper proposes a framework to solve the problem of preserving the monitorability of processes in an evolving business network. We first propose a formal model of business networks, contracts, and monitoring requirements. Then, we model network evolution and the mechanisms to preserve the monitorability of the processes in the network for different types of evolution. In particular, the preservation of monitorability requires the actors in the network to take appropriate actions in case of dependencies between already established contracts, and update their monitoring infrastructure to satisfy the new monitoring requirements introduced by evolution. We also define a set of metrics that can be used for supporting decisions regarding the potential evolution of a business network. A case study in healthcare and the discussion of a prototype implementation show the applicability of our framework in real-world scenarios. © 2011 Elsevier B.V.","author":[{"dropping-particle":"","family":"Comuzzi","given":"Marco","non-dropping-particle":"","parse-names":false,"suffix":""},{"dropping-particle":"","family":"Vonk","given":"Jochem","non-dropping-particle":"","parse-names":false,"suffix":""},{"dropping-particle":"","family":"Grefen","given":"Paul","non-dropping-particle":"","parse-names":false,"suffix":""}],"container-title":"Data and Knowledge Engineering","id":"ITEM-1","issue":"1","issued":{"date-parts":[["2012"]]},"page":"1-28","publisher":"Elsevier B.V.","title":"Measures and mechanisms for process monitoring in evolving business networks","type":"article-journal","volume":"71"},"uris":["http://www.mendeley.com/documents/?uuid=ba44821f-b29e-4281-8854-ae2c30867d33"]}],"mendeley":{"formattedCitation":"(Comuzzi et al., 2012)","manualFormatting":")","plainTextFormattedCitation":"(Comuzzi et al., 2012)","previouslyFormattedCitation":"(Comuzzi, Vonk and Grefen,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w:t>
      </w:r>
      <w:r w:rsidRPr="009672FC">
        <w:rPr>
          <w:rFonts w:ascii="Garamond" w:hAnsi="Garamond"/>
          <w:sz w:val="24"/>
          <w:szCs w:val="24"/>
        </w:rPr>
        <w:fldChar w:fldCharType="end"/>
      </w:r>
      <w:r w:rsidRPr="009672FC">
        <w:rPr>
          <w:rFonts w:ascii="Garamond" w:hAnsi="Garamond"/>
          <w:sz w:val="24"/>
          <w:szCs w:val="24"/>
        </w:rPr>
        <w:t>.</w:t>
      </w:r>
    </w:p>
    <w:p w14:paraId="2AC3CBBD" w14:textId="77777777" w:rsidR="005C5F35" w:rsidRPr="009672FC" w:rsidRDefault="007549AA" w:rsidP="005C5F35">
      <w:pPr>
        <w:pStyle w:val="MDPI18keywords"/>
        <w:spacing w:line="360" w:lineRule="auto"/>
        <w:ind w:left="0"/>
        <w:rPr>
          <w:rFonts w:ascii="Garamond" w:hAnsi="Garamond"/>
          <w:sz w:val="24"/>
          <w:szCs w:val="24"/>
        </w:rPr>
      </w:pPr>
      <w:r w:rsidRPr="009672FC">
        <w:rPr>
          <w:rFonts w:ascii="Garamond" w:hAnsi="Garamond"/>
          <w:i/>
          <w:iCs/>
          <w:sz w:val="24"/>
          <w:szCs w:val="24"/>
        </w:rPr>
        <w:t>Relational performance</w:t>
      </w:r>
      <w:r w:rsidRPr="009672FC">
        <w:rPr>
          <w:rFonts w:ascii="Garamond" w:hAnsi="Garamond"/>
          <w:sz w:val="24"/>
          <w:szCs w:val="24"/>
        </w:rPr>
        <w:t xml:space="preserve">. Contributions related to relational ties between network actors provide an important foundation for inter-organizational innovation performance (e.g., Pinto, Slevin and English, 2009;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{"citationItems":[{"id":"ITEM-1","itemData":{"DOI":"10.1108/F-07-2015-0049","ISSN":"02632772","abstract":"This study suggests that the facility and its co-located actors tend to form a vivid network of business actors in the facility's external environment, when co-located with a large number of actors.","author":[{"dropping-particle":"","family":"Artto","given":"Karlos","non-dropping-particle":"","parse-names":false,"suffix":""},{"dropping-particle":"","family":"Ahola","given":"Tuomas","non-dropping-particle":"","parse-names":false,"suffix":""},{"dropping-particle":"","family":"Kyrö","given":"Riikka","non-dropping-particle":"","parse-names":false,"suffix":""},{"dropping-particle":"","family":"Peltokorpi","given":"Antti","non-dropping-particle":"","parse-names":false,"suffix":""}],"container-title":"Facilities","id":"ITEM-1","issue":"1-2","issued":{"date-parts":[["2017"]]},"page":"99-115","title":"Managing business networks for value creation in facilities and their external environments: A study on co-location","type":"article-journal","volume":"35"},"uris":["http://www.mendeley.com/documents/?uuid=0a109017-4c64-4e31-980e-2550cf9be13b"]}],"mendeley":{"formattedCitation":"(Artto et al., 2017)","manualFormatting":"Artto et al., 2017;","plainTextFormattedCitation":"(Artto et al., 2017)","previouslyFormattedCitation":"(Artto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Artto et al., 2017;</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{"citationItems":[{"id":"ITEM-1","itemData":{"DOI":"10.1016/j.indmarman.2016.06.008","ISSN":"00198501","abstract":"Interactive processes constitute a core notion in business exchange, leading to the concepts of relationships and networks. The constitution of process, comprising unfolding events, activities, and connected structures, relies on difference in space and time. While research has been devoted to time, the concept of space has thus far remained largely unexplored within business network research. This conceptual paper focuses on spatial dimensions for conducting research according to the IMP business network approach. Business actors create connected relationships and networks that exist and change as continuous emerging spatial structures and as mental maps in the managerial mindset. These relational network processes and structures are located, distributed and experienced in and across space. Drawing on economic geography and conceptual frameworks from the business network approach, we propose new dimensions and conceptualizations of space for the study of these networks. The paper delivers proposals to extend our current understanding of business networks as emerging and changing spatio-temporal entities with implications for theory development, research and practice.","author":[{"dropping-particle":"","family":"Törnroos","given":"Jan Åke","non-dropping-particle":"","parse-names":false,"suffix":""},{"dropping-particle":"","family":"Halinen","given":"Aino","non-dropping-particle":"","parse-names":false,"suffix":""},{"dropping-particle":"","family":"Medlin","given":"Christopher J.","non-dropping-particle":"","parse-names":false,"suffix":""}],"container-title":"Industrial Marketing Management","id":"ITEM-1","issued":{"date-parts":[["2017"]]},"page":"10-19","publisher":"The Author(s)","title":"Dimensions of space in business network research","type":"article-journal","volume":"61"},"uris":["http://www.mendeley.com/documents/?uuid=89ef8eb0-1b3b-4479-a797-a56193638c9f"]}],"mendeley":{"formattedCitation":"(Törnroos et al., 2017)","manualFormatting":"Törnroos, Halinen and Medlin, 2017","plainTextFormattedCitation":"(Törnroos et al., 2017)","previouslyFormattedCitation":"(Törnroos et al., 2017)"},"properties":{"noteIndex":0},"schema":"https://github.com/citation-style-language/schema/raw/master/csl-citation.json"}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Törnroos, Halinen and Medlin, 2017</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4"/>
          <w:szCs w:val="24"/>
          <w:lang w:val="en-GB"/>
        </w:rPr>
        <w:t xml:space="preserve">Sarkar, </w:t>
      </w:r>
      <w:proofErr w:type="spellStart"/>
      <w:r w:rsidRPr="009672FC">
        <w:rPr>
          <w:rFonts w:ascii="Garamond" w:hAnsi="Garamond"/>
          <w:sz w:val="24"/>
          <w:szCs w:val="24"/>
          <w:lang w:val="en-GB"/>
        </w:rPr>
        <w:t>Aulakh</w:t>
      </w:r>
      <w:proofErr w:type="spellEnd"/>
      <w:r w:rsidRPr="009672FC">
        <w:rPr>
          <w:rFonts w:ascii="Garamond" w:hAnsi="Garamond"/>
          <w:sz w:val="24"/>
          <w:szCs w:val="24"/>
          <w:lang w:val="en-GB"/>
        </w:rPr>
        <w:t xml:space="preserve">, and </w:t>
      </w:r>
      <w:proofErr w:type="spellStart"/>
      <w:r w:rsidRPr="009672FC">
        <w:rPr>
          <w:rFonts w:ascii="Garamond" w:hAnsi="Garamond"/>
          <w:sz w:val="24"/>
          <w:szCs w:val="24"/>
          <w:lang w:val="en-GB"/>
        </w:rPr>
        <w:t>Cavusgil</w:t>
      </w:r>
      <w:proofErr w:type="spellEnd"/>
      <w:r w:rsidRPr="009672FC">
        <w:rPr>
          <w:rFonts w:ascii="Garamond" w:hAnsi="Garamond"/>
          <w:sz w:val="24"/>
          <w:szCs w:val="24"/>
          <w:lang w:val="en-GB"/>
        </w:rPr>
        <w:t xml:space="preserve"> (1998) theorize relational bonding - a concept that measures the strength of a collaborative relationship between network partners. The authors observe two </w:t>
      </w:r>
      <w:r w:rsidR="005C5F35" w:rsidRPr="009672FC">
        <w:rPr>
          <w:rFonts w:ascii="Garamond" w:hAnsi="Garamond"/>
          <w:sz w:val="24"/>
          <w:szCs w:val="24"/>
          <w:lang w:val="en-GB"/>
        </w:rPr>
        <w:t xml:space="preserve">dimensions </w:t>
      </w:r>
      <w:r w:rsidRPr="009672FC">
        <w:rPr>
          <w:rFonts w:ascii="Garamond" w:hAnsi="Garamond"/>
          <w:sz w:val="24"/>
          <w:szCs w:val="24"/>
          <w:lang w:val="en-GB"/>
        </w:rPr>
        <w:t xml:space="preserve">of relational bonding, namely, trust and commitment. </w:t>
      </w:r>
      <w:r w:rsidRPr="009672FC">
        <w:rPr>
          <w:rFonts w:ascii="Garamond" w:hAnsi="Garamond"/>
          <w:sz w:val="24"/>
          <w:szCs w:val="24"/>
        </w:rPr>
        <w:t>The outcome of relational quality in an inter-firm network may include joint opportunity</w:t>
      </w:r>
      <w:r w:rsidR="00CF726B" w:rsidRPr="009672FC">
        <w:rPr>
          <w:rFonts w:ascii="Garamond" w:hAnsi="Garamond"/>
          <w:sz w:val="24"/>
          <w:szCs w:val="24"/>
        </w:rPr>
        <w:t>-</w:t>
      </w:r>
      <w:r w:rsidRPr="009672FC">
        <w:rPr>
          <w:rFonts w:ascii="Garamond" w:hAnsi="Garamond"/>
          <w:sz w:val="24"/>
          <w:szCs w:val="24"/>
        </w:rPr>
        <w:t xml:space="preserve">seeking </w:t>
      </w:r>
      <w:proofErr w:type="spellStart"/>
      <w:r w:rsidRPr="009672FC">
        <w:rPr>
          <w:rFonts w:ascii="Garamond" w:hAnsi="Garamond"/>
          <w:sz w:val="24"/>
          <w:szCs w:val="24"/>
        </w:rPr>
        <w:t>behavio</w:t>
      </w:r>
      <w:r w:rsidR="00CF726B" w:rsidRPr="009672FC">
        <w:rPr>
          <w:rFonts w:ascii="Garamond" w:hAnsi="Garamond"/>
          <w:sz w:val="24"/>
          <w:szCs w:val="24"/>
        </w:rPr>
        <w:t>u</w:t>
      </w:r>
      <w:r w:rsidRPr="009672FC">
        <w:rPr>
          <w:rFonts w:ascii="Garamond" w:hAnsi="Garamond"/>
          <w:sz w:val="24"/>
          <w:szCs w:val="24"/>
        </w:rPr>
        <w:t>rs</w:t>
      </w:r>
      <w:proofErr w:type="spellEnd"/>
      <w:r w:rsidRPr="009672FC">
        <w:rPr>
          <w:rFonts w:ascii="Garamond" w:hAnsi="Garamond"/>
          <w:sz w:val="24"/>
          <w:szCs w:val="24"/>
        </w:rPr>
        <w:t>, joint decision making, and risk-sharing.</w:t>
      </w:r>
    </w:p>
    <w:p w14:paraId="7E31EC52" w14:textId="33A5BC6A" w:rsidR="00EB5D6B" w:rsidRPr="00EE16FE" w:rsidRDefault="005C5F35" w:rsidP="00EE16FE">
      <w:pPr>
        <w:pStyle w:val="MDPI18keywords"/>
        <w:spacing w:line="360" w:lineRule="auto"/>
        <w:ind w:left="0"/>
        <w:rPr>
          <w:rFonts w:ascii="Garamond" w:hAnsi="Garamond"/>
          <w:sz w:val="24"/>
          <w:szCs w:val="24"/>
        </w:rPr>
      </w:pPr>
      <w:r w:rsidRPr="009672FC">
        <w:rPr>
          <w:rFonts w:ascii="Garamond" w:hAnsi="Garamond"/>
          <w:noProof/>
          <w:sz w:val="24"/>
          <w:szCs w:val="24"/>
        </w:rPr>
        <w:t xml:space="preserve">Sarkar, Aulakh, and Cavusgil (1998) </w:t>
      </w:r>
      <w:r w:rsidRPr="009672FC">
        <w:rPr>
          <w:rFonts w:ascii="Garamond" w:hAnsi="Garamond"/>
          <w:sz w:val="24"/>
          <w:szCs w:val="24"/>
        </w:rPr>
        <w:t xml:space="preserve">theorize relational bonding, a concept that measures the strength of a collaborative relationship between network partners. The authors observe two dimensions of relational bonding, namely, trust and commitment. The results support the view that the strength of interfirm ties strongly impacts collaborative decision-making processes, and thus improves the relational quality of actors </w:t>
      </w:r>
      <w:r w:rsidRPr="009672FC">
        <w:rPr>
          <w:rFonts w:ascii="Garamond" w:hAnsi="Garamond"/>
          <w:sz w:val="24"/>
          <w:szCs w:val="24"/>
        </w:rPr>
        <w:fldChar w:fldCharType="begin" w:fldLock="1"/>
      </w:r>
      <w:r w:rsidR="00813D37" w:rsidRPr="009672FC">
        <w:rPr>
          <w:rFonts w:ascii="Garamond" w:hAnsi="Garamond"/>
          <w:sz w:val="24"/>
          <w:szCs w:val="24"/>
        </w:rPr>
        <w:instrText>ADDIN CSL_CITATION {"citationItems":[{"id":"ITEM-1","itemData":{"DOI":"10.1016/j.ibusrev.2011.12.002","ISSN":"09695931","abstract":"Many studies have focused on the effects of MNC subsidiaries' external relational embeddedness. Little attention has been given to its antecedents and especially to the potential effect that the business network context might have. We try to fill this gap and attempt to explain variation among subsidiaries' degree of relational embeddedness. Our results show a strong and robust effect of the business network context - i.e. the network context in which the direct business relationships between the subsidiary and its partners are embedded - on the degree of relational embeddedness. However, contrary to previous literature, we find an inverted u-shaped relationship. We discuss our findings with regard to the issue of over-embeddedness and the literature on the strength of weak vs. strong ties. © 2011 Elsevier Ltd.","author":[{"dropping-particle":"","family":"Nell","given":"Phillip C.","non-dropping-particle":"","parse-names":false,"suffix":""},{"dropping-particle":"","family":"Andersson","given":"Ulf","non-dropping-particle":"","parse-names":false,"suffix":""}],"container-title":"International Business Review","id":"ITEM-1","issue":"6","issued":{"date-parts":[["2012"]]},"page":"1087-1098","publisher":"Elsevier Ltd","title":"The complexity of the business network context and its effect on subsidiary relational (over-) embeddedness","type":"article-journal","volume":"21"},"uris":["http://www.mendeley.com/documents/?uuid=f2a6a01d-2554-427e-b84d-ac1006c3595c"]}],"mendeley":{"formattedCitation":"(Nell &amp; Andersson, 2012)","plainTextFormattedCitation":"(Nell &amp; Andersson, 2012)","previouslyFormattedCitation":"(Nell and Andersson, 2012)"},"properties":{"noteIndex":0},"schema":"https://github.com/citation-style-language/schema/raw/master/csl-citation.json"}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(Nell &amp; Andersson, 2012)</w:t>
      </w:r>
      <w:r w:rsidRPr="009672FC">
        <w:rPr>
          <w:rFonts w:ascii="Garamond" w:hAnsi="Garamond"/>
          <w:sz w:val="24"/>
          <w:szCs w:val="24"/>
        </w:rPr>
        <w:fldChar w:fldCharType="end"/>
      </w:r>
      <w:r w:rsidRPr="009672FC">
        <w:rPr>
          <w:rFonts w:ascii="Garamond" w:hAnsi="Garamond"/>
          <w:sz w:val="24"/>
          <w:szCs w:val="24"/>
        </w:rPr>
        <w:t xml:space="preserve">. However, several institutional mishaps are found to confront interfirm relational ties, for example, recruiting project teams and objective incentives (Maurer, 2010), as well as resource-combining and partners’ mutual adaptation (Landqvist and Lind, 2019). Thus, collective resource integration and goal alignment and mutual commitment to collective interests are necessary to address the problems of network relationship performance (Ahola et al., 2019; Sarkar, Aulakh, and Cavusgil, 1998). </w:t>
      </w:r>
    </w:p>
    <w:p w14:paraId="6F97443E" w14:textId="2BA61CA4" w:rsidR="003D5DE8" w:rsidRPr="009672FC" w:rsidRDefault="007549AA">
      <w:pPr>
        <w:pStyle w:val="MDPI18keywords"/>
        <w:numPr>
          <w:ilvl w:val="1"/>
          <w:numId w:val="8"/>
        </w:numPr>
        <w:spacing w:line="360" w:lineRule="auto"/>
        <w:outlineLvl w:val="1"/>
        <w:rPr>
          <w:rFonts w:ascii="Garamond" w:hAnsi="Garamond"/>
          <w:b/>
          <w:bCs/>
          <w:sz w:val="24"/>
          <w:szCs w:val="24"/>
        </w:rPr>
      </w:pPr>
      <w:bookmarkStart w:id="65" w:name="_Toc85708716"/>
      <w:bookmarkStart w:id="66" w:name="_Toc85709731"/>
      <w:r w:rsidRPr="009672FC">
        <w:rPr>
          <w:rFonts w:ascii="Garamond" w:hAnsi="Garamond"/>
          <w:b/>
          <w:bCs/>
          <w:sz w:val="24"/>
          <w:szCs w:val="24"/>
        </w:rPr>
        <w:t>Conclusions</w:t>
      </w:r>
      <w:bookmarkEnd w:id="65"/>
      <w:bookmarkEnd w:id="66"/>
    </w:p>
    <w:p w14:paraId="6BD03121" w14:textId="77777777" w:rsidR="00CF726B" w:rsidRPr="009672FC" w:rsidRDefault="007549AA" w:rsidP="00CF726B">
      <w:pPr>
        <w:pStyle w:val="MDPI18keywords"/>
        <w:spacing w:line="360" w:lineRule="auto"/>
        <w:ind w:left="0"/>
        <w:rPr>
          <w:rFonts w:ascii="Garamond" w:hAnsi="Garamond"/>
          <w:sz w:val="24"/>
          <w:szCs w:val="24"/>
          <w:lang w:val="en-GB"/>
        </w:rPr>
      </w:pPr>
      <w:bookmarkStart w:id="67" w:name="_Hlk40223613"/>
      <w:r w:rsidRPr="009672FC">
        <w:rPr>
          <w:rFonts w:ascii="Garamond" w:hAnsi="Garamond"/>
          <w:sz w:val="24"/>
          <w:szCs w:val="24"/>
          <w:lang w:val="en-GB"/>
        </w:rPr>
        <w:t>Based on our review of extant literature, we found that research in inter-organizational innovation is emerging fast. This is due to the plethora of economic and commercial advantages firms derived in their relationship- thus creating an opportunity for more research in the field.</w:t>
      </w:r>
      <w:bookmarkEnd w:id="67"/>
      <w:r w:rsidRPr="009672FC">
        <w:rPr>
          <w:rFonts w:ascii="Garamond" w:hAnsi="Garamond"/>
          <w:sz w:val="24"/>
          <w:szCs w:val="24"/>
          <w:lang w:val="en-GB"/>
        </w:rPr>
        <w:t xml:space="preserve"> Generally, we discovered that research in the field is highly fragmented. First, research in an inter-organizational business network is, however, still struggling to gain a solid identity in practice because of the nuance of factors and their effects on inter-firm relationships. Based on the synthesis of existing literature, the field of inter-organizational business network research still suffers from a theoretical </w:t>
      </w:r>
      <w:r w:rsidRPr="009672FC">
        <w:rPr>
          <w:rFonts w:ascii="Garamond" w:hAnsi="Garamond"/>
          <w:sz w:val="24"/>
          <w:szCs w:val="24"/>
          <w:lang w:val="en-GB"/>
        </w:rPr>
        <w:lastRenderedPageBreak/>
        <w:t>identi</w:t>
      </w:r>
      <w:r w:rsidR="00CF726B" w:rsidRPr="009672FC">
        <w:rPr>
          <w:rFonts w:ascii="Garamond" w:hAnsi="Garamond"/>
          <w:sz w:val="24"/>
          <w:szCs w:val="24"/>
          <w:lang w:val="en-GB"/>
        </w:rPr>
        <w:t>t</w:t>
      </w:r>
      <w:r w:rsidRPr="009672FC">
        <w:rPr>
          <w:rFonts w:ascii="Garamond" w:hAnsi="Garamond"/>
          <w:sz w:val="24"/>
          <w:szCs w:val="24"/>
          <w:lang w:val="en-GB"/>
        </w:rPr>
        <w:t>y and an integrated framework to entangle the plethora of challenges involve</w:t>
      </w:r>
      <w:r w:rsidR="00CF726B" w:rsidRPr="009672FC">
        <w:rPr>
          <w:rFonts w:ascii="Garamond" w:hAnsi="Garamond"/>
          <w:sz w:val="24"/>
          <w:szCs w:val="24"/>
          <w:lang w:val="en-GB"/>
        </w:rPr>
        <w:t>d</w:t>
      </w:r>
      <w:r w:rsidRPr="009672FC">
        <w:rPr>
          <w:rFonts w:ascii="Garamond" w:hAnsi="Garamond"/>
          <w:sz w:val="24"/>
          <w:szCs w:val="24"/>
          <w:lang w:val="en-GB"/>
        </w:rPr>
        <w:t xml:space="preserve"> in the dynamics of inter-organizational relationships. </w:t>
      </w:r>
    </w:p>
    <w:p w14:paraId="30E31166" w14:textId="77777777" w:rsidR="00CF726B" w:rsidRPr="009672FC" w:rsidRDefault="007549AA" w:rsidP="00CF726B">
      <w:pPr>
        <w:pStyle w:val="MDPI18keywords"/>
        <w:spacing w:line="360" w:lineRule="auto"/>
        <w:ind w:left="0"/>
        <w:rPr>
          <w:rFonts w:ascii="Garamond" w:hAnsi="Garamond"/>
          <w:sz w:val="24"/>
          <w:szCs w:val="24"/>
          <w:lang w:val="en-GB"/>
        </w:rPr>
      </w:pPr>
      <w:r w:rsidRPr="009672FC">
        <w:rPr>
          <w:rFonts w:ascii="Garamond" w:hAnsi="Garamond"/>
          <w:sz w:val="24"/>
          <w:szCs w:val="24"/>
          <w:lang w:val="en-GB"/>
        </w:rPr>
        <w:t xml:space="preserve">Second, several contributions examine inter-organizational relationships according to network theory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2015)","manualFormatting":"(e.g., Rossignoli and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(e.g., Rossignoli and Ricciardi, 2015)</w:t>
      </w:r>
      <w:r w:rsidRPr="009672FC">
        <w:rPr>
          <w:rFonts w:ascii="Garamond" w:hAnsi="Garamond"/>
          <w:sz w:val="24"/>
          <w:szCs w:val="24"/>
          <w:lang w:val="en-GB"/>
        </w:rPr>
        <w:fldChar w:fldCharType="end"/>
      </w:r>
      <w:r w:rsidRPr="009672FC">
        <w:rPr>
          <w:rFonts w:ascii="Garamond" w:hAnsi="Garamond"/>
          <w:sz w:val="24"/>
          <w:szCs w:val="24"/>
          <w:lang w:val="en-GB"/>
        </w:rPr>
        <w:t xml:space="preserve"> which is characterized by complex interacting elements and highly dynamic relationships affecting cooperative practices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{"citationItems":[{"id":"ITEM-1","itemData":{"DOI":"10.1016/j.jbusres.2014.03.017","ISSN":"01482963","abstract":"The purpose of this paper is to investigate the dynamics of networked power in a concentrated business network. Power is a long standing theme in inter-organizational research, yet there is a paucity of studies about how power emerges and is constructed over time at the network level. The paper adopts process, systems and network theory to interpret a rich single case study from the food industry. Three power mechanisms are identified, gatekeeping, decoupling and resource allocation, which form the basis of a model of networked power dynamics. Empirically tracing the dynamics of networked power highlights the economic contents of interactions. The paper extends current understandings of power as 'conflict and coercion' to include influencing, leveraging and strategic maneuvering in the actual performance of networked power.","author":[{"dropping-particle":"","family":"Olsen","given":"Per Ingvar","non-dropping-particle":"","parse-names":false,"suffix":""},{"dropping-particle":"","family":"Prenkert","given":"Frans","non-dropping-particle":"","parse-names":false,"suffix":""},{"dropping-particle":"","family":"Hoholm","given":"Thomas","non-dropping-particle":"","parse-names":false,"suffix":""},{"dropping-particle":"","family":"Harrison","given":"Debbie","non-dropping-particle":"","parse-names":false,"suffix":""}],"container-title":"Journal of Business Research","id":"ITEM-1","issue":"12","issued":{"date-parts":[["2014"]]},"page":"2579-2589","publisher":"Elsevier Inc.","title":"The dynamics of networked power in a concentrated business network","type":"article-journal","volume":"67"},"uris":["http://www.mendeley.com/documents/?uuid=3c720de5-e586-4948-a1d6-f17fe2ca45b7"]}],"mendeley":{"formattedCitation":"(Olsen et al., 2014)","plainTextFormattedCitation":"(Olsen et al., 2014)","previouslyFormattedCitation":"(Olsen et al., 2014)"},"properties":{"noteIndex":0},"schema":"https://github.com/citation-style-language/schema/raw/master/csl-citation.json"}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(Olsen et al., 2014)</w:t>
      </w:r>
      <w:r w:rsidRPr="009672FC">
        <w:rPr>
          <w:rFonts w:ascii="Garamond" w:hAnsi="Garamond"/>
          <w:sz w:val="24"/>
          <w:szCs w:val="24"/>
          <w:lang w:val="en-GB"/>
        </w:rPr>
        <w:fldChar w:fldCharType="end"/>
      </w:r>
      <w:r w:rsidRPr="009672FC">
        <w:rPr>
          <w:rFonts w:ascii="Garamond" w:hAnsi="Garamond"/>
          <w:sz w:val="24"/>
          <w:szCs w:val="24"/>
          <w:lang w:val="en-GB"/>
        </w:rPr>
        <w:t>. However, institutional forces and stakeholders are critical aspects of inter-organizational relationships. Because of these complex aspects of the relationships, only</w:t>
      </w:r>
      <w:bookmarkStart w:id="68" w:name="_Hlk40224047"/>
      <w:r w:rsidRPr="009672FC">
        <w:rPr>
          <w:rFonts w:ascii="Garamond" w:hAnsi="Garamond"/>
          <w:sz w:val="24"/>
          <w:szCs w:val="24"/>
          <w:lang w:val="en-GB"/>
        </w:rPr>
        <w:t xml:space="preserve"> limited contributions integrate institutional theories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{"citationItems":[{"id":"ITEM-1","itemData":{"DOI":"10.1016/j.jwb.2010.05.002","ISSN":"10909516","abstract":"We seek to examine how national culture values affect strategic decision-making processes (SDMPs) of internationalized firms. We employ the cultural relativity theory to explain how firms from different countries make international decisions. We advance hypotheses regarding the associations between three SDMP dimensions and three national culture aspects, notably the relationships between hierarchical decentralization and power distance; lateral communication and individualism; and, formalization and uncertainty avoidance. We present evidence from a large-scale study conducted on 528 internationalized small and medium-sized firms based in the USA, UK, Greece and Cyprus. The findings support our hypotheses with the exception of that concerning lateral communication and individualism. The national culture of the focal firm matters as far as SDMPs in internationalization are concerned. Implications and further research directions are discussed. © 2010 Elsevier Inc.","author":[{"dropping-particle":"","family":"Dimitratos","given":"Pavlos","non-dropping-particle":"","parse-names":false,"suffix":""},{"dropping-particle":"","family":"Petrou","given":"Andreas","non-dropping-particle":"","parse-names":false,"suffix":""},{"dropping-particle":"","family":"Plakoyiannaki","given":"Emmanuella","non-dropping-particle":"","parse-names":false,"suffix":""},{"dropping-particle":"","family":"Johnson","given":"Jeffrey E.","non-dropping-particle":"","parse-names":false,"suffix":""}],"container-title":"Journal of World Business","id":"ITEM-1","issue":"2","issued":{"date-parts":[["2011"]]},"page":"194-204","publisher":"Elsevier Inc.","title":"Strategic decision-making processes in internationalization: Does national culture of the focal firm matter?","type":"article-journal","volume":"46"},"uris":["http://www.mendeley.com/documents/?uuid=6aef1f1b-bb57-4b85-8fd9-81705b511d2f"]}],"mendeley":{"formattedCitation":"(Dimitratos et al., 2011)","manualFormatting":"(e.g., Dimitratos et al., 2011)","plainTextFormattedCitation":"(Dimitratos et al., 2011)","previouslyFormattedCitation":"(Dimitratos et al., 2011)"},"properties":{"noteIndex":0},"schema":"https://github.com/citation-style-language/schema/raw/master/csl-citation.json"}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(e.g., Dimitratos et al., 2011)</w:t>
      </w:r>
      <w:r w:rsidRPr="009672FC">
        <w:rPr>
          <w:rFonts w:ascii="Garamond" w:hAnsi="Garamond"/>
          <w:sz w:val="24"/>
          <w:szCs w:val="24"/>
          <w:lang w:val="en-GB"/>
        </w:rPr>
        <w:fldChar w:fldCharType="end"/>
      </w:r>
      <w:r w:rsidRPr="009672FC">
        <w:rPr>
          <w:rFonts w:ascii="Garamond" w:hAnsi="Garamond"/>
          <w:sz w:val="24"/>
          <w:szCs w:val="24"/>
          <w:lang w:val="en-GB"/>
        </w:rPr>
        <w:t xml:space="preserve"> and stakeholder theories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{"citationItems":[{"id":"ITEM-1","itemData":{"DOI":"10.1016/j.indmarman.2004.12.010","ISSN":"00198501","abstract":"The extant literature on alliances tends to neglect the effects of intraorganisational relationships within each alliance partner on the implementation of the alliance. To address this gap, this paper investigates both interorganisational and intraorganisational conflicts occurring during the implementation of a service alliance and aims at developing categories of conflicts as well as analysing how these conflict categories affect the implementation of the alliance. Thus, the overall purpose is to contribute to our understanding of implementation issues in alliances for the delivery of services. In order to do so, one case of a high-technology alliance has been studied longitudinally, with the researcher acting as a participant observer. Three interrelated categories of conflicts are developed through an analysis of the data: 1) the scope of the alliance, 2) the customer relationship, and 3) the implementation process. One important conclusion of this study is that the perspectives of several of the stakeholders, including the customers indirectly involved in the alliance, should be included when implementing service alliances. © 2005 Elsevier Inc. All rights reserved.","author":[{"dropping-particle":"","family":"Nordin","given":"Fredrik","non-dropping-particle":"","parse-names":false,"suffix":""}],"container-title":"Industrial Marketing Management","id":"ITEM-1","issue":"2","issued":{"date-parts":[["2006"]]},"page":"116-127","title":"Identifying intraorganisational and interorganisational alliance conflicts - A longitudinal study of an alliance pilot project in the high technology industry","type":"article-journal","volume":"35"},"uris":["http://www.mendeley.com/documents/?uuid=9dd80825-b255-4fc9-90f7-33d6b1c2e3f7"]}],"mendeley":{"formattedCitation":"(Nordin, 2006)","manualFormatting":"(e.g., Nordin, 2006)","plainTextFormattedCitation":"(Nordin, 2006)","previouslyFormattedCitation":"(Nordin, 2006)"},"properties":{"noteIndex":0},"schema":"https://github.com/citation-style-language/schema/raw/master/csl-citation.json"}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(e.g., Nordin, 2006)</w:t>
      </w:r>
      <w:r w:rsidRPr="009672FC">
        <w:rPr>
          <w:rFonts w:ascii="Garamond" w:hAnsi="Garamond"/>
          <w:sz w:val="24"/>
          <w:szCs w:val="24"/>
          <w:lang w:val="en-GB"/>
        </w:rPr>
        <w:fldChar w:fldCharType="end"/>
      </w:r>
      <w:r w:rsidRPr="009672FC">
        <w:rPr>
          <w:rFonts w:ascii="Garamond" w:hAnsi="Garamond"/>
          <w:sz w:val="24"/>
          <w:szCs w:val="24"/>
          <w:lang w:val="en-GB"/>
        </w:rPr>
        <w:t xml:space="preserve"> in the inter-organizational collaboration research strand. </w:t>
      </w:r>
      <w:bookmarkEnd w:id="68"/>
      <w:r w:rsidRPr="009672FC">
        <w:rPr>
          <w:rFonts w:ascii="Garamond" w:hAnsi="Garamond"/>
          <w:sz w:val="24"/>
          <w:szCs w:val="24"/>
          <w:lang w:val="en-GB"/>
        </w:rPr>
        <w:t xml:space="preserve">These are relevant areas for future research. </w:t>
      </w:r>
    </w:p>
    <w:p w14:paraId="4B787A77" w14:textId="2A1620E1" w:rsidR="00CF726B" w:rsidRPr="009672FC" w:rsidRDefault="007549AA" w:rsidP="00CF726B">
      <w:pPr>
        <w:pStyle w:val="MDPI18keywords"/>
        <w:spacing w:line="360" w:lineRule="auto"/>
        <w:ind w:left="0"/>
        <w:rPr>
          <w:rFonts w:ascii="Garamond" w:hAnsi="Garamond"/>
          <w:sz w:val="24"/>
          <w:szCs w:val="24"/>
          <w:lang w:val="en-GB"/>
        </w:rPr>
      </w:pPr>
      <w:r w:rsidRPr="009672FC">
        <w:rPr>
          <w:rFonts w:ascii="Garamond" w:hAnsi="Garamond"/>
          <w:sz w:val="24"/>
          <w:szCs w:val="24"/>
          <w:lang w:val="en-GB"/>
        </w:rPr>
        <w:t xml:space="preserve">Third, inter-organizational network literature has been predominantly empirical, utilizing qualitative methods (case studies) and quantitative methods (regression and other mathematical modelling techniques), leading to a limited number of theoretical elaborations into new focus and emerging paths in the field.  While scholars raised concerns for more empirical research in the field </w:t>
      </w:r>
      <w:r w:rsidRPr="009672FC">
        <w:rPr>
          <w:rFonts w:ascii="Garamond" w:hAnsi="Garamond"/>
          <w:sz w:val="20"/>
        </w:rPr>
        <w:fldChar w:fldCharType="begin" w:fldLock="1"/>
      </w:r>
      <w:r w:rsidRPr="009672FC">
        <w:rPr>
          <w:rFonts w:ascii="Garamond" w:hAnsi="Garamond"/>
          <w:sz w:val="24"/>
          <w:szCs w:val="24"/>
          <w:lang w:val="en-GB"/>
        </w:rPr>
        <w:instrText>ADDIN CSL_CITATION {"citationItems":[{"id":"ITEM-1","itemData":{"DOI":"10.1016/j.ijproman.2017.11.004","ISSN":"0263-7863","author":[{"dropping-particle":"Von","family":"Danwitz","given":"Simon","non-dropping-particle":"","parse-names":false,"suffix":""}],"container-title":"International Journal of Project Management","id":"ITEM-1","issue":"3","issued":{"date-parts":[["2018"]]},"page":"525-541","publisher":"Elsevier Ltd and Association for Project Management and the International Project Management Association","title":"Managing inter- fi rm projects : A systematic review and directions for future research","type":"article-journal","volume":"36"},"uris":["http://www.mendeley.com/documents/?uuid=66da7ca1-5e82-4144-9eb0-ac60c50c2331"]}],"mendeley":{"formattedCitation":"(Danwitz, 2018)","manualFormatting":"(e.g., Danwitz, 2018)","plainTextFormattedCitation":"(Danwitz, 2018)","previouslyFormattedCitation":"(Danwitz, 2018)"},"properties":{"noteIndex":0},"schema":"https://github.com/citation-style-language/schema/raw/master/csl-citation.json"}</w:instrText>
      </w:r>
      <w:r w:rsidRPr="009672FC">
        <w:rPr>
          <w:rFonts w:ascii="Garamond" w:hAnsi="Garamond"/>
          <w:sz w:val="24"/>
          <w:szCs w:val="24"/>
          <w:lang w:val="en-GB"/>
        </w:rPr>
        <w:fldChar w:fldCharType="separate"/>
      </w:r>
      <w:r w:rsidRPr="009672FC">
        <w:rPr>
          <w:rFonts w:ascii="Garamond" w:hAnsi="Garamond"/>
          <w:noProof/>
          <w:sz w:val="24"/>
          <w:szCs w:val="24"/>
          <w:lang w:val="en-GB"/>
        </w:rPr>
        <w:t>(e.g., Danwitz, 2018)</w:t>
      </w:r>
      <w:r w:rsidRPr="009672FC">
        <w:rPr>
          <w:rFonts w:ascii="Garamond" w:hAnsi="Garamond"/>
          <w:sz w:val="24"/>
          <w:szCs w:val="24"/>
          <w:lang w:val="en-GB"/>
        </w:rPr>
        <w:fldChar w:fldCharType="end"/>
      </w:r>
      <w:r w:rsidRPr="009672FC">
        <w:rPr>
          <w:rFonts w:ascii="Garamond" w:hAnsi="Garamond"/>
          <w:sz w:val="24"/>
          <w:szCs w:val="24"/>
          <w:lang w:val="en-GB"/>
        </w:rPr>
        <w:t xml:space="preserve">, both theoretical and empirical research is needed to advance the growth of the inter-firm network research towards an evolutionary rather than a static perspective. Finally, a dynamic approach in the field is required considering the nature of the inter-firm relationship and how it evolves time, given the multiple actors involved, and the changes in the relationship and </w:t>
      </w:r>
      <w:proofErr w:type="gramStart"/>
      <w:r w:rsidRPr="009672FC">
        <w:rPr>
          <w:rFonts w:ascii="Garamond" w:hAnsi="Garamond"/>
          <w:sz w:val="24"/>
          <w:szCs w:val="24"/>
          <w:lang w:val="en-GB"/>
        </w:rPr>
        <w:t>it</w:t>
      </w:r>
      <w:r w:rsidR="002663FA" w:rsidRPr="009672FC">
        <w:rPr>
          <w:rFonts w:ascii="Garamond" w:hAnsi="Garamond"/>
          <w:sz w:val="24"/>
          <w:szCs w:val="24"/>
          <w:lang w:val="en-GB"/>
        </w:rPr>
        <w:t>'</w:t>
      </w:r>
      <w:r w:rsidRPr="009672FC">
        <w:rPr>
          <w:rFonts w:ascii="Garamond" w:hAnsi="Garamond"/>
          <w:sz w:val="24"/>
          <w:szCs w:val="24"/>
          <w:lang w:val="en-GB"/>
        </w:rPr>
        <w:t>s</w:t>
      </w:r>
      <w:proofErr w:type="gramEnd"/>
      <w:r w:rsidRPr="009672FC">
        <w:rPr>
          <w:rFonts w:ascii="Garamond" w:hAnsi="Garamond"/>
          <w:sz w:val="24"/>
          <w:szCs w:val="24"/>
          <w:lang w:val="en-GB"/>
        </w:rPr>
        <w:t xml:space="preserve"> broader environmental conditions that potentially shape or affect the relationship. </w:t>
      </w:r>
    </w:p>
    <w:p w14:paraId="799BD489" w14:textId="19ACC98A" w:rsidR="003D5DE8" w:rsidRPr="009672FC" w:rsidRDefault="007549AA" w:rsidP="00CF726B">
      <w:pPr>
        <w:pStyle w:val="MDPI18keywords"/>
        <w:spacing w:line="360" w:lineRule="auto"/>
        <w:ind w:left="0"/>
        <w:rPr>
          <w:rFonts w:ascii="Garamond" w:hAnsi="Garamond"/>
          <w:sz w:val="24"/>
          <w:szCs w:val="24"/>
          <w:lang w:val="en-GB"/>
        </w:rPr>
      </w:pPr>
      <w:r w:rsidRPr="009672FC">
        <w:rPr>
          <w:rFonts w:ascii="Garamond" w:hAnsi="Garamond"/>
          <w:sz w:val="24"/>
          <w:szCs w:val="24"/>
          <w:lang w:val="en-GB"/>
        </w:rPr>
        <w:t>In response to these challenges, we examine the content of literature and point out some of the emerging themes</w:t>
      </w:r>
      <w:r w:rsidRPr="009672FC">
        <w:rPr>
          <w:rFonts w:ascii="Garamond" w:hAnsi="Garamond"/>
          <w:sz w:val="24"/>
          <w:szCs w:val="24"/>
        </w:rPr>
        <w:t xml:space="preserve"> researchers point out as the agenda to advance the theoretical and empirical contributions in the field. Although various areas experienced high research attraction, we found that several topics are relatively underdeveloped as described in appendix 1</w:t>
      </w:r>
      <w:r w:rsidRPr="009672FC">
        <w:rPr>
          <w:rFonts w:ascii="Garamond" w:hAnsi="Garamond"/>
        </w:rPr>
        <w:footnoteReference w:id="1"/>
      </w:r>
      <w:r w:rsidRPr="009672FC">
        <w:rPr>
          <w:rFonts w:ascii="Garamond" w:hAnsi="Garamond"/>
          <w:sz w:val="24"/>
          <w:szCs w:val="24"/>
        </w:rPr>
        <w:t xml:space="preserve">. Just like other review methods, our study recognized several limitations. First, the content categorization of research is based on researchers’ elaboration, which may be prone to subjectivity bias. Future studies can improve this by leveraging expert opinion on paper classification. In conclusion, our review of selected papers reveals that there is a great improvement in the number of publications, topics covered, and the evolution of inter-organizational business network and innovation research over </w:t>
      </w:r>
      <w:r w:rsidRPr="009672FC">
        <w:rPr>
          <w:rFonts w:ascii="Garamond" w:hAnsi="Garamond"/>
          <w:sz w:val="24"/>
          <w:szCs w:val="24"/>
        </w:rPr>
        <w:lastRenderedPageBreak/>
        <w:t xml:space="preserve">the period, as corroborated by prior studies (e.g.,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{"citationItems":[{"id":"ITEM-1","itemData":{"DOI":"10.1016/j.ijproman.2017.11.004","ISSN":"0263-7863","author":[{"dropping-particle":"Von","family":"Danwitz","given":"Simon","non-dropping-particle":"","parse-names":false,"suffix":""}],"container-title":"International Journal of Project Management","id":"ITEM-1","issue":"3","issued":{"date-parts":[["2018"]]},"page":"525-541","publisher":"Elsevier Ltd and Association for Project Management and the International Project Management Association","title":"Managing inter- fi rm projects : A systematic review and directions for future research","type":"article-journal","volume":"36"},"uris":["http://www.mendeley.com/documents/?uuid=66da7ca1-5e82-4144-9eb0-ac60c50c2331"]}],"mendeley":{"formattedCitation":"(Danwitz, 2018)","manualFormatting":"Danwitz, 2018)","plainTextFormattedCitation":"(Danwitz, 2018)","previouslyFormattedCitation":"(Danwitz,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Danwitz, 2018)</w:t>
      </w:r>
      <w:r w:rsidRPr="009672FC">
        <w:rPr>
          <w:rFonts w:ascii="Garamond" w:hAnsi="Garamond"/>
          <w:sz w:val="24"/>
          <w:szCs w:val="24"/>
        </w:rPr>
        <w:fldChar w:fldCharType="end"/>
      </w:r>
      <w:r w:rsidRPr="009672FC">
        <w:rPr>
          <w:rFonts w:ascii="Garamond" w:hAnsi="Garamond"/>
          <w:sz w:val="24"/>
          <w:szCs w:val="24"/>
        </w:rPr>
        <w:t>. Our review contributes to the literature by mapping out the evolution of the field, discuss</w:t>
      </w:r>
      <w:r w:rsidR="00CF726B" w:rsidRPr="009672FC">
        <w:rPr>
          <w:rFonts w:ascii="Garamond" w:hAnsi="Garamond"/>
          <w:sz w:val="24"/>
          <w:szCs w:val="24"/>
        </w:rPr>
        <w:t>ing</w:t>
      </w:r>
      <w:r w:rsidRPr="009672FC">
        <w:rPr>
          <w:rFonts w:ascii="Garamond" w:hAnsi="Garamond"/>
          <w:sz w:val="24"/>
          <w:szCs w:val="24"/>
        </w:rPr>
        <w:t xml:space="preserve"> the main contributions and </w:t>
      </w:r>
      <w:r w:rsidR="00CF726B" w:rsidRPr="009672FC">
        <w:rPr>
          <w:rFonts w:ascii="Garamond" w:hAnsi="Garamond"/>
          <w:sz w:val="24"/>
          <w:szCs w:val="24"/>
        </w:rPr>
        <w:t>identifying</w:t>
      </w:r>
      <w:r w:rsidRPr="009672FC">
        <w:rPr>
          <w:rFonts w:ascii="Garamond" w:hAnsi="Garamond"/>
          <w:sz w:val="24"/>
          <w:szCs w:val="24"/>
        </w:rPr>
        <w:t xml:space="preserve"> future research paths addressed by scholars in the field. These findings contribute to </w:t>
      </w:r>
      <w:r w:rsidR="00CF726B" w:rsidRPr="009672FC">
        <w:rPr>
          <w:rFonts w:ascii="Garamond" w:hAnsi="Garamond"/>
          <w:sz w:val="24"/>
          <w:szCs w:val="24"/>
        </w:rPr>
        <w:t xml:space="preserve">a </w:t>
      </w:r>
      <w:r w:rsidRPr="009672FC">
        <w:rPr>
          <w:rFonts w:ascii="Garamond" w:hAnsi="Garamond"/>
          <w:sz w:val="24"/>
          <w:szCs w:val="24"/>
        </w:rPr>
        <w:t>better understand</w:t>
      </w:r>
      <w:r w:rsidR="00CF726B" w:rsidRPr="009672FC">
        <w:rPr>
          <w:rFonts w:ascii="Garamond" w:hAnsi="Garamond"/>
          <w:sz w:val="24"/>
          <w:szCs w:val="24"/>
        </w:rPr>
        <w:t>ing</w:t>
      </w:r>
      <w:r w:rsidRPr="009672FC">
        <w:rPr>
          <w:rFonts w:ascii="Garamond" w:hAnsi="Garamond"/>
          <w:sz w:val="24"/>
          <w:szCs w:val="24"/>
        </w:rPr>
        <w:t xml:space="preserve"> </w:t>
      </w:r>
      <w:r w:rsidR="00CF726B" w:rsidRPr="009672FC">
        <w:rPr>
          <w:rFonts w:ascii="Garamond" w:hAnsi="Garamond"/>
          <w:sz w:val="24"/>
          <w:szCs w:val="24"/>
        </w:rPr>
        <w:t xml:space="preserve">of </w:t>
      </w:r>
      <w:r w:rsidRPr="009672FC">
        <w:rPr>
          <w:rFonts w:ascii="Garamond" w:hAnsi="Garamond"/>
          <w:sz w:val="24"/>
          <w:szCs w:val="24"/>
        </w:rPr>
        <w:t>the fragmented literature in the field.</w:t>
      </w:r>
    </w:p>
    <w:p w14:paraId="6A358454" w14:textId="77777777" w:rsidR="003D5DE8" w:rsidRPr="009672FC" w:rsidRDefault="003D5DE8">
      <w:pPr>
        <w:pStyle w:val="MDPI18keywords"/>
        <w:ind w:left="0"/>
        <w:rPr>
          <w:rFonts w:ascii="Garamond" w:hAnsi="Garamond"/>
          <w:sz w:val="24"/>
          <w:szCs w:val="24"/>
        </w:rPr>
      </w:pPr>
    </w:p>
    <w:p w14:paraId="22226E66" w14:textId="77777777" w:rsidR="003D5DE8" w:rsidRPr="009672FC" w:rsidRDefault="003D5DE8">
      <w:pPr>
        <w:pStyle w:val="MDPI18keywords"/>
        <w:ind w:left="0"/>
        <w:rPr>
          <w:rFonts w:ascii="Garamond" w:hAnsi="Garamond"/>
          <w:b/>
          <w:sz w:val="24"/>
          <w:szCs w:val="24"/>
        </w:rPr>
      </w:pPr>
    </w:p>
    <w:p w14:paraId="1DF1F767" w14:textId="77777777" w:rsidR="003D5DE8" w:rsidRPr="009672FC" w:rsidRDefault="003D5DE8">
      <w:pPr>
        <w:pStyle w:val="MDPI81theorem"/>
        <w:ind w:left="0"/>
        <w:rPr>
          <w:rFonts w:ascii="Garamond" w:hAnsi="Garamond"/>
          <w:sz w:val="24"/>
          <w:szCs w:val="24"/>
        </w:rPr>
      </w:pPr>
    </w:p>
    <w:p w14:paraId="66ACF4AB" w14:textId="77777777" w:rsidR="003D5DE8" w:rsidRPr="009672FC" w:rsidRDefault="003D5DE8">
      <w:pPr>
        <w:jc w:val="both"/>
        <w:rPr>
          <w:rFonts w:ascii="Garamond" w:hAnsi="Garamond"/>
        </w:rPr>
      </w:pPr>
    </w:p>
    <w:p w14:paraId="1433448D" w14:textId="77777777" w:rsidR="003D5DE8" w:rsidRPr="009672FC" w:rsidRDefault="003D5DE8">
      <w:pPr>
        <w:rPr>
          <w:rFonts w:ascii="Garamond" w:hAnsi="Garamond"/>
        </w:rPr>
      </w:pPr>
    </w:p>
    <w:p w14:paraId="0DD99571" w14:textId="77777777" w:rsidR="003D5DE8" w:rsidRPr="009672FC" w:rsidRDefault="003D5DE8">
      <w:pPr>
        <w:rPr>
          <w:rFonts w:ascii="Garamond" w:hAnsi="Garamond"/>
        </w:rPr>
      </w:pPr>
    </w:p>
    <w:p w14:paraId="6F46B6B6" w14:textId="77777777" w:rsidR="003D5DE8" w:rsidRPr="009672FC" w:rsidRDefault="003D5DE8">
      <w:pPr>
        <w:rPr>
          <w:rFonts w:ascii="Garamond" w:hAnsi="Garamond"/>
        </w:rPr>
      </w:pPr>
    </w:p>
    <w:p w14:paraId="06DC59D5" w14:textId="77777777" w:rsidR="003D5DE8" w:rsidRPr="009672FC" w:rsidRDefault="003D5DE8">
      <w:pPr>
        <w:rPr>
          <w:rFonts w:ascii="Garamond" w:hAnsi="Garamond"/>
        </w:rPr>
      </w:pPr>
    </w:p>
    <w:p w14:paraId="4E6F01A4" w14:textId="77777777" w:rsidR="003D5DE8" w:rsidRPr="009672FC" w:rsidRDefault="003D5DE8">
      <w:pPr>
        <w:tabs>
          <w:tab w:val="left" w:pos="1582"/>
        </w:tabs>
        <w:rPr>
          <w:rFonts w:ascii="Garamond" w:hAnsi="Garamond"/>
        </w:rPr>
      </w:pPr>
    </w:p>
    <w:p w14:paraId="139ED270" w14:textId="77777777" w:rsidR="003D5DE8" w:rsidRPr="009672FC" w:rsidRDefault="003D5DE8">
      <w:pPr>
        <w:tabs>
          <w:tab w:val="left" w:pos="1582"/>
        </w:tabs>
        <w:rPr>
          <w:rFonts w:ascii="Garamond" w:hAnsi="Garamond"/>
        </w:rPr>
      </w:pPr>
    </w:p>
    <w:p w14:paraId="4EFBCEB4" w14:textId="77777777" w:rsidR="003D5DE8" w:rsidRPr="009672FC" w:rsidRDefault="003D5DE8">
      <w:pPr>
        <w:tabs>
          <w:tab w:val="left" w:pos="1582"/>
        </w:tabs>
        <w:rPr>
          <w:rFonts w:ascii="Garamond" w:hAnsi="Garamond"/>
        </w:rPr>
      </w:pPr>
    </w:p>
    <w:p w14:paraId="2D35BC30" w14:textId="77777777" w:rsidR="003D5DE8" w:rsidRPr="009672FC" w:rsidRDefault="003D5DE8">
      <w:pPr>
        <w:tabs>
          <w:tab w:val="left" w:pos="1582"/>
        </w:tabs>
        <w:rPr>
          <w:rFonts w:ascii="Garamond" w:hAnsi="Garamond"/>
        </w:rPr>
      </w:pPr>
    </w:p>
    <w:p w14:paraId="01814D64" w14:textId="77777777" w:rsidR="003D5DE8" w:rsidRPr="009672FC" w:rsidRDefault="003D5DE8">
      <w:pPr>
        <w:tabs>
          <w:tab w:val="left" w:pos="1582"/>
        </w:tabs>
        <w:rPr>
          <w:rFonts w:ascii="Garamond" w:hAnsi="Garamond"/>
        </w:rPr>
      </w:pPr>
    </w:p>
    <w:p w14:paraId="5882A189" w14:textId="77777777" w:rsidR="003D5DE8" w:rsidRPr="009672FC" w:rsidRDefault="003D5DE8">
      <w:pPr>
        <w:tabs>
          <w:tab w:val="left" w:pos="1582"/>
        </w:tabs>
        <w:rPr>
          <w:rFonts w:ascii="Garamond" w:hAnsi="Garamond"/>
        </w:rPr>
      </w:pPr>
    </w:p>
    <w:p w14:paraId="267BE50E" w14:textId="77777777" w:rsidR="003D5DE8" w:rsidRPr="009672FC" w:rsidRDefault="003D5DE8">
      <w:pPr>
        <w:tabs>
          <w:tab w:val="left" w:pos="1582"/>
        </w:tabs>
        <w:rPr>
          <w:rFonts w:ascii="Garamond" w:hAnsi="Garamond"/>
        </w:rPr>
      </w:pPr>
    </w:p>
    <w:p w14:paraId="7A0F18AF" w14:textId="77777777" w:rsidR="003D5DE8" w:rsidRPr="009672FC" w:rsidRDefault="003D5DE8">
      <w:pPr>
        <w:tabs>
          <w:tab w:val="left" w:pos="1582"/>
        </w:tabs>
        <w:rPr>
          <w:rFonts w:ascii="Garamond" w:hAnsi="Garamond"/>
        </w:rPr>
      </w:pPr>
    </w:p>
    <w:p w14:paraId="3032E02B" w14:textId="77777777" w:rsidR="003D5DE8" w:rsidRPr="009672FC" w:rsidRDefault="003D5DE8">
      <w:pPr>
        <w:tabs>
          <w:tab w:val="left" w:pos="1582"/>
        </w:tabs>
        <w:rPr>
          <w:rFonts w:ascii="Garamond" w:hAnsi="Garamond"/>
        </w:rPr>
      </w:pPr>
    </w:p>
    <w:p w14:paraId="2ACEAF5C" w14:textId="77777777" w:rsidR="003D5DE8" w:rsidRPr="009672FC" w:rsidRDefault="003D5DE8">
      <w:pPr>
        <w:tabs>
          <w:tab w:val="left" w:pos="1582"/>
        </w:tabs>
        <w:rPr>
          <w:rFonts w:ascii="Garamond" w:hAnsi="Garamond"/>
        </w:rPr>
      </w:pPr>
    </w:p>
    <w:p w14:paraId="562A18D0" w14:textId="77777777" w:rsidR="003D5DE8" w:rsidRPr="009672FC" w:rsidRDefault="003D5DE8">
      <w:pPr>
        <w:tabs>
          <w:tab w:val="left" w:pos="1582"/>
        </w:tabs>
        <w:rPr>
          <w:rFonts w:ascii="Garamond" w:hAnsi="Garamond"/>
        </w:rPr>
      </w:pPr>
    </w:p>
    <w:p w14:paraId="2806CCD7" w14:textId="77777777" w:rsidR="003D5DE8" w:rsidRPr="009672FC" w:rsidRDefault="003D5DE8">
      <w:pPr>
        <w:tabs>
          <w:tab w:val="left" w:pos="1582"/>
        </w:tabs>
        <w:rPr>
          <w:rFonts w:ascii="Garamond" w:hAnsi="Garamond"/>
        </w:rPr>
      </w:pPr>
    </w:p>
    <w:p w14:paraId="27ED0F73" w14:textId="77777777" w:rsidR="003D5DE8" w:rsidRPr="009672FC" w:rsidRDefault="003D5DE8">
      <w:pPr>
        <w:tabs>
          <w:tab w:val="left" w:pos="1582"/>
        </w:tabs>
        <w:rPr>
          <w:rFonts w:ascii="Garamond" w:hAnsi="Garamond"/>
        </w:rPr>
        <w:sectPr w:rsidR="003D5DE8" w:rsidRPr="009672FC">
          <w:headerReference w:type="default" r:id="rId20"/>
          <w:footerReference w:type="default" r:id="rId21"/>
          <w:pgSz w:w="12240" w:h="15840"/>
          <w:pgMar w:top="1440" w:right="1440" w:bottom="1440" w:left="1440" w:header="720" w:footer="720" w:gutter="288"/>
          <w:pgNumType w:start="1"/>
          <w:cols w:space="720"/>
          <w:formProt w:val="0"/>
          <w:docGrid w:linePitch="360"/>
        </w:sectPr>
      </w:pPr>
    </w:p>
    <w:p w14:paraId="7994F061" w14:textId="5D849F4C" w:rsidR="003D5DE8" w:rsidRPr="009672FC" w:rsidRDefault="007549AA" w:rsidP="005C5F35">
      <w:pPr>
        <w:pStyle w:val="Heading1"/>
        <w:jc w:val="center"/>
        <w:rPr>
          <w:rFonts w:ascii="Garamond" w:hAnsi="Garamond" w:cs="Times New Roman"/>
          <w:b/>
          <w:color w:val="auto"/>
          <w:sz w:val="24"/>
          <w:szCs w:val="24"/>
        </w:rPr>
      </w:pPr>
      <w:bookmarkStart w:id="69" w:name="_Toc85708717"/>
      <w:bookmarkStart w:id="70" w:name="_Toc85709732"/>
      <w:r w:rsidRPr="009672FC">
        <w:rPr>
          <w:rFonts w:ascii="Garamond" w:hAnsi="Garamond" w:cs="Times New Roman"/>
          <w:b/>
          <w:color w:val="auto"/>
          <w:sz w:val="24"/>
          <w:szCs w:val="24"/>
        </w:rPr>
        <w:lastRenderedPageBreak/>
        <w:t>Chapter 2</w:t>
      </w:r>
      <w:bookmarkEnd w:id="69"/>
      <w:bookmarkEnd w:id="70"/>
    </w:p>
    <w:p w14:paraId="61D6AECD" w14:textId="77777777" w:rsidR="003D5DE8" w:rsidRPr="009672FC" w:rsidRDefault="007549AA">
      <w:pPr>
        <w:pStyle w:val="NormalWeb"/>
        <w:spacing w:line="360" w:lineRule="auto"/>
        <w:jc w:val="center"/>
        <w:rPr>
          <w:rFonts w:ascii="Garamond" w:hAnsi="Garamond"/>
        </w:rPr>
      </w:pPr>
      <w:r w:rsidRPr="009672FC">
        <w:rPr>
          <w:rFonts w:ascii="Garamond" w:hAnsi="Garamond"/>
        </w:rPr>
        <w:t>Organizing Solutions for Inter-firm Engagement and the Development of Network Relational Capabilities</w:t>
      </w:r>
    </w:p>
    <w:tbl>
      <w:tblPr>
        <w:tblStyle w:val="TableGrid"/>
        <w:tblW w:w="9062" w:type="dxa"/>
        <w:tblLayout w:type="fixed"/>
        <w:tblLook w:val="04A0" w:firstRow="1" w:lastRow="0" w:firstColumn="1" w:lastColumn="0" w:noHBand="0" w:noVBand="1"/>
      </w:tblPr>
      <w:tblGrid>
        <w:gridCol w:w="2405"/>
        <w:gridCol w:w="6657"/>
      </w:tblGrid>
      <w:tr w:rsidR="003D5DE8" w:rsidRPr="009672FC" w14:paraId="3E540FE8" w14:textId="77777777">
        <w:trPr>
          <w:trHeight w:val="658"/>
        </w:trPr>
        <w:tc>
          <w:tcPr>
            <w:tcW w:w="2405" w:type="dxa"/>
            <w:tcBorders>
              <w:bottom w:val="nil"/>
              <w:right w:val="nil"/>
            </w:tcBorders>
          </w:tcPr>
          <w:p w14:paraId="03FCC82A"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Title </w:t>
            </w:r>
          </w:p>
        </w:tc>
        <w:tc>
          <w:tcPr>
            <w:tcW w:w="6656" w:type="dxa"/>
            <w:tcBorders>
              <w:left w:val="nil"/>
              <w:bottom w:val="nil"/>
            </w:tcBorders>
          </w:tcPr>
          <w:p w14:paraId="1397B6FF" w14:textId="77777777" w:rsidR="003D5DE8" w:rsidRPr="009672FC" w:rsidRDefault="007549AA">
            <w:pPr>
              <w:pStyle w:val="NormalWeb"/>
              <w:spacing w:line="360" w:lineRule="auto"/>
              <w:rPr>
                <w:rFonts w:ascii="Garamond" w:hAnsi="Garamond"/>
                <w:b/>
                <w:bCs/>
              </w:rPr>
            </w:pPr>
            <w:r w:rsidRPr="009672FC">
              <w:rPr>
                <w:rFonts w:ascii="Garamond" w:hAnsi="Garamond"/>
                <w:bCs/>
              </w:rPr>
              <w:t>Organizing Solutions for Inter-firm Engagement and the Development of Network Relational Capabilities</w:t>
            </w:r>
          </w:p>
        </w:tc>
      </w:tr>
      <w:tr w:rsidR="003D5DE8" w:rsidRPr="009672FC" w14:paraId="17340ACA" w14:textId="77777777">
        <w:tc>
          <w:tcPr>
            <w:tcW w:w="2405" w:type="dxa"/>
            <w:tcBorders>
              <w:top w:val="nil"/>
              <w:bottom w:val="nil"/>
              <w:right w:val="nil"/>
            </w:tcBorders>
          </w:tcPr>
          <w:p w14:paraId="39F304C2"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 xml:space="preserve">Authors </w:t>
            </w:r>
          </w:p>
        </w:tc>
        <w:tc>
          <w:tcPr>
            <w:tcW w:w="6656" w:type="dxa"/>
            <w:tcBorders>
              <w:top w:val="nil"/>
              <w:left w:val="nil"/>
              <w:bottom w:val="nil"/>
            </w:tcBorders>
          </w:tcPr>
          <w:p w14:paraId="3B0A5946" w14:textId="77777777" w:rsidR="003D5DE8" w:rsidRPr="009672FC" w:rsidRDefault="007549AA">
            <w:pPr>
              <w:tabs>
                <w:tab w:val="left" w:pos="2362"/>
              </w:tabs>
              <w:spacing w:line="360" w:lineRule="auto"/>
              <w:jc w:val="both"/>
              <w:rPr>
                <w:rFonts w:ascii="Garamond" w:hAnsi="Garamond"/>
                <w:lang w:eastAsia="en-US"/>
              </w:rPr>
            </w:pPr>
            <w:r w:rsidRPr="009672FC">
              <w:rPr>
                <w:rFonts w:ascii="Garamond" w:hAnsi="Garamond"/>
                <w:lang w:eastAsia="en-US"/>
              </w:rPr>
              <w:t>Ceesay, Lamin B. (</w:t>
            </w:r>
            <w:hyperlink r:id="rId22">
              <w:r w:rsidRPr="009672FC">
                <w:rPr>
                  <w:rStyle w:val="Heading3Char"/>
                  <w:rFonts w:ascii="Garamond" w:hAnsi="Garamond" w:cs="Times New Roman"/>
                  <w:color w:val="auto"/>
                  <w:lang w:eastAsia="en-US"/>
                </w:rPr>
                <w:t>laminb.ceesay@univr.it</w:t>
              </w:r>
            </w:hyperlink>
            <w:r w:rsidRPr="009672FC">
              <w:rPr>
                <w:rFonts w:ascii="Garamond" w:hAnsi="Garamond"/>
                <w:lang w:eastAsia="en-US"/>
              </w:rPr>
              <w:t>)</w:t>
            </w:r>
          </w:p>
          <w:p w14:paraId="170FA142" w14:textId="77777777" w:rsidR="003D5DE8" w:rsidRPr="009672FC" w:rsidRDefault="007549AA">
            <w:pPr>
              <w:tabs>
                <w:tab w:val="left" w:pos="2362"/>
              </w:tabs>
              <w:spacing w:line="360" w:lineRule="auto"/>
              <w:jc w:val="both"/>
              <w:rPr>
                <w:rFonts w:ascii="Garamond" w:hAnsi="Garamond"/>
                <w:lang w:eastAsia="en-US"/>
              </w:rPr>
            </w:pPr>
            <w:r w:rsidRPr="009672FC">
              <w:rPr>
                <w:rFonts w:ascii="Garamond" w:hAnsi="Garamond"/>
                <w:lang w:eastAsia="en-US"/>
              </w:rPr>
              <w:t>Rossignoli, Cecilia (</w:t>
            </w:r>
            <w:hyperlink r:id="rId23">
              <w:r w:rsidRPr="009672FC">
                <w:rPr>
                  <w:rStyle w:val="Heading3Char"/>
                  <w:rFonts w:ascii="Garamond" w:hAnsi="Garamond" w:cs="Times New Roman"/>
                  <w:color w:val="auto"/>
                  <w:lang w:eastAsia="en-US"/>
                </w:rPr>
                <w:t>Rossignoli.cecilia@univr.it</w:t>
              </w:r>
            </w:hyperlink>
            <w:r w:rsidRPr="009672FC">
              <w:rPr>
                <w:rFonts w:ascii="Garamond" w:hAnsi="Garamond"/>
                <w:lang w:eastAsia="en-US"/>
              </w:rPr>
              <w:t>)</w:t>
            </w:r>
          </w:p>
          <w:p w14:paraId="4DAA17C0" w14:textId="77777777" w:rsidR="003D5DE8" w:rsidRPr="009672FC" w:rsidRDefault="007549AA">
            <w:pPr>
              <w:tabs>
                <w:tab w:val="left" w:pos="2362"/>
              </w:tabs>
              <w:spacing w:line="360" w:lineRule="auto"/>
              <w:jc w:val="both"/>
              <w:rPr>
                <w:rFonts w:ascii="Garamond" w:hAnsi="Garamond"/>
                <w:lang w:eastAsia="en-US"/>
              </w:rPr>
            </w:pPr>
            <w:r w:rsidRPr="009672FC">
              <w:rPr>
                <w:rFonts w:ascii="Garamond" w:hAnsi="Garamond"/>
                <w:lang w:eastAsia="en-US"/>
              </w:rPr>
              <w:t>Zardini, Alessandro (</w:t>
            </w:r>
            <w:hyperlink r:id="rId24">
              <w:r w:rsidRPr="009672FC">
                <w:rPr>
                  <w:rStyle w:val="Heading3Char"/>
                  <w:rFonts w:ascii="Garamond" w:hAnsi="Garamond" w:cs="Times New Roman"/>
                  <w:color w:val="auto"/>
                  <w:lang w:eastAsia="en-US"/>
                </w:rPr>
                <w:t>alessandro.zardine@univr.it</w:t>
              </w:r>
            </w:hyperlink>
            <w:r w:rsidRPr="009672FC">
              <w:rPr>
                <w:rFonts w:ascii="Garamond" w:hAnsi="Garamond"/>
                <w:lang w:eastAsia="en-US"/>
              </w:rPr>
              <w:t xml:space="preserve">) </w:t>
            </w:r>
          </w:p>
          <w:p w14:paraId="115DF220" w14:textId="77777777" w:rsidR="003D5DE8" w:rsidRPr="009672FC" w:rsidRDefault="007549AA">
            <w:pPr>
              <w:tabs>
                <w:tab w:val="left" w:pos="2362"/>
              </w:tabs>
              <w:spacing w:line="360" w:lineRule="auto"/>
              <w:jc w:val="both"/>
              <w:rPr>
                <w:rFonts w:ascii="Garamond" w:hAnsi="Garamond"/>
                <w:lang w:eastAsia="en-US"/>
              </w:rPr>
            </w:pPr>
            <w:r w:rsidRPr="009672FC">
              <w:rPr>
                <w:rFonts w:ascii="Garamond" w:hAnsi="Garamond"/>
                <w:lang w:eastAsia="en-US"/>
              </w:rPr>
              <w:t xml:space="preserve">***University of Verona, Graduate School of Economics and Legal Sciences, Department of Economics. Via </w:t>
            </w:r>
            <w:proofErr w:type="spellStart"/>
            <w:r w:rsidRPr="009672FC">
              <w:rPr>
                <w:rFonts w:ascii="Garamond" w:hAnsi="Garamond"/>
                <w:lang w:eastAsia="en-US"/>
              </w:rPr>
              <w:t>Cantarana</w:t>
            </w:r>
            <w:proofErr w:type="spellEnd"/>
            <w:r w:rsidRPr="009672FC">
              <w:rPr>
                <w:rFonts w:ascii="Garamond" w:hAnsi="Garamond"/>
                <w:lang w:eastAsia="en-US"/>
              </w:rPr>
              <w:t>, Santa Marta Building, Italy.</w:t>
            </w:r>
          </w:p>
          <w:p w14:paraId="5C1E7324" w14:textId="77777777" w:rsidR="003D5DE8" w:rsidRPr="009672FC" w:rsidRDefault="003D5DE8">
            <w:pPr>
              <w:tabs>
                <w:tab w:val="left" w:pos="2362"/>
              </w:tabs>
              <w:spacing w:line="360" w:lineRule="auto"/>
              <w:jc w:val="both"/>
              <w:rPr>
                <w:rFonts w:ascii="Garamond" w:hAnsi="Garamond"/>
                <w:lang w:eastAsia="en-US"/>
              </w:rPr>
            </w:pPr>
          </w:p>
        </w:tc>
      </w:tr>
      <w:tr w:rsidR="003D5DE8" w:rsidRPr="009672FC" w14:paraId="69E55F9C" w14:textId="77777777">
        <w:tc>
          <w:tcPr>
            <w:tcW w:w="2405" w:type="dxa"/>
            <w:tcBorders>
              <w:top w:val="nil"/>
              <w:bottom w:val="nil"/>
              <w:right w:val="nil"/>
            </w:tcBorders>
          </w:tcPr>
          <w:p w14:paraId="428EB1A3" w14:textId="77777777" w:rsidR="003D5DE8" w:rsidRPr="009672FC" w:rsidRDefault="007549AA">
            <w:pPr>
              <w:tabs>
                <w:tab w:val="left" w:pos="2362"/>
              </w:tabs>
              <w:spacing w:line="360" w:lineRule="auto"/>
              <w:jc w:val="both"/>
              <w:rPr>
                <w:rFonts w:ascii="Garamond" w:hAnsi="Garamond"/>
                <w:b/>
                <w:bCs/>
                <w:lang w:eastAsia="en-US"/>
              </w:rPr>
            </w:pPr>
            <w:r w:rsidRPr="009672FC">
              <w:rPr>
                <w:rFonts w:ascii="Garamond" w:hAnsi="Garamond"/>
                <w:b/>
                <w:bCs/>
                <w:lang w:eastAsia="en-US"/>
              </w:rPr>
              <w:t>Publication</w:t>
            </w:r>
          </w:p>
        </w:tc>
        <w:tc>
          <w:tcPr>
            <w:tcW w:w="6656" w:type="dxa"/>
            <w:tcBorders>
              <w:top w:val="nil"/>
              <w:left w:val="nil"/>
              <w:bottom w:val="nil"/>
            </w:tcBorders>
          </w:tcPr>
          <w:p w14:paraId="77419447" w14:textId="77777777" w:rsidR="003D5DE8" w:rsidRPr="009672FC" w:rsidRDefault="007549AA">
            <w:pPr>
              <w:tabs>
                <w:tab w:val="left" w:pos="2362"/>
              </w:tabs>
              <w:spacing w:line="360" w:lineRule="auto"/>
              <w:jc w:val="both"/>
              <w:rPr>
                <w:rFonts w:ascii="Garamond" w:hAnsi="Garamond"/>
                <w:lang w:eastAsia="en-US"/>
              </w:rPr>
            </w:pPr>
            <w:proofErr w:type="spellStart"/>
            <w:r w:rsidRPr="009672FC">
              <w:rPr>
                <w:rFonts w:ascii="Garamond" w:hAnsi="Garamond"/>
                <w:lang w:eastAsia="en-US"/>
              </w:rPr>
              <w:t>Associzione</w:t>
            </w:r>
            <w:proofErr w:type="spellEnd"/>
            <w:r w:rsidRPr="009672FC">
              <w:rPr>
                <w:rFonts w:ascii="Garamond" w:hAnsi="Garamond"/>
                <w:lang w:eastAsia="en-US"/>
              </w:rPr>
              <w:t xml:space="preserve"> </w:t>
            </w:r>
            <w:proofErr w:type="spellStart"/>
            <w:r w:rsidRPr="009672FC">
              <w:rPr>
                <w:rFonts w:ascii="Garamond" w:hAnsi="Garamond"/>
                <w:lang w:eastAsia="en-US"/>
              </w:rPr>
              <w:t>Italiana</w:t>
            </w:r>
            <w:proofErr w:type="spellEnd"/>
            <w:r w:rsidRPr="009672FC">
              <w:rPr>
                <w:rFonts w:ascii="Garamond" w:hAnsi="Garamond"/>
                <w:lang w:eastAsia="en-US"/>
              </w:rPr>
              <w:t xml:space="preserve"> Di </w:t>
            </w:r>
            <w:proofErr w:type="spellStart"/>
            <w:r w:rsidRPr="009672FC">
              <w:rPr>
                <w:rFonts w:ascii="Garamond" w:hAnsi="Garamond"/>
                <w:lang w:eastAsia="en-US"/>
              </w:rPr>
              <w:t>Organizzazione</w:t>
            </w:r>
            <w:proofErr w:type="spellEnd"/>
            <w:r w:rsidRPr="009672FC">
              <w:rPr>
                <w:rFonts w:ascii="Garamond" w:hAnsi="Garamond"/>
                <w:lang w:eastAsia="en-US"/>
              </w:rPr>
              <w:t xml:space="preserve"> </w:t>
            </w:r>
            <w:proofErr w:type="spellStart"/>
            <w:r w:rsidRPr="009672FC">
              <w:rPr>
                <w:rFonts w:ascii="Garamond" w:hAnsi="Garamond"/>
                <w:lang w:eastAsia="en-US"/>
              </w:rPr>
              <w:t>Aziendale</w:t>
            </w:r>
            <w:proofErr w:type="spellEnd"/>
            <w:r w:rsidRPr="009672FC">
              <w:rPr>
                <w:rFonts w:ascii="Garamond" w:hAnsi="Garamond"/>
                <w:lang w:eastAsia="en-US"/>
              </w:rPr>
              <w:t xml:space="preserve"> (ASSIOA, 2021) Conference, Genoa, Italy.</w:t>
            </w:r>
          </w:p>
          <w:p w14:paraId="29E24E5F" w14:textId="77777777" w:rsidR="003D5DE8" w:rsidRPr="009672FC" w:rsidRDefault="003D5DE8">
            <w:pPr>
              <w:tabs>
                <w:tab w:val="left" w:pos="2362"/>
              </w:tabs>
              <w:spacing w:line="360" w:lineRule="auto"/>
              <w:jc w:val="both"/>
              <w:rPr>
                <w:rFonts w:ascii="Garamond" w:hAnsi="Garamond"/>
                <w:lang w:eastAsia="en-US"/>
              </w:rPr>
            </w:pPr>
          </w:p>
        </w:tc>
      </w:tr>
      <w:tr w:rsidR="003D5DE8" w:rsidRPr="009672FC" w14:paraId="79CF66E2" w14:textId="77777777">
        <w:tc>
          <w:tcPr>
            <w:tcW w:w="2405" w:type="dxa"/>
            <w:tcBorders>
              <w:top w:val="nil"/>
              <w:right w:val="nil"/>
            </w:tcBorders>
          </w:tcPr>
          <w:p w14:paraId="1F91E05B" w14:textId="77777777" w:rsidR="003D5DE8" w:rsidRPr="009672FC" w:rsidRDefault="007549AA">
            <w:pPr>
              <w:tabs>
                <w:tab w:val="left" w:pos="2362"/>
              </w:tabs>
              <w:spacing w:line="360" w:lineRule="auto"/>
              <w:rPr>
                <w:rFonts w:ascii="Garamond" w:hAnsi="Garamond"/>
                <w:b/>
                <w:bCs/>
                <w:lang w:eastAsia="en-US"/>
              </w:rPr>
            </w:pPr>
            <w:r w:rsidRPr="009672FC">
              <w:rPr>
                <w:rFonts w:ascii="Garamond" w:hAnsi="Garamond"/>
                <w:b/>
                <w:bCs/>
                <w:lang w:eastAsia="en-US"/>
              </w:rPr>
              <w:t>First author’s Contribution</w:t>
            </w:r>
          </w:p>
        </w:tc>
        <w:tc>
          <w:tcPr>
            <w:tcW w:w="6656" w:type="dxa"/>
            <w:tcBorders>
              <w:top w:val="nil"/>
              <w:left w:val="nil"/>
            </w:tcBorders>
          </w:tcPr>
          <w:p w14:paraId="3A58C020" w14:textId="77777777" w:rsidR="003D5DE8" w:rsidRPr="009672FC" w:rsidRDefault="007549AA">
            <w:pPr>
              <w:spacing w:line="360" w:lineRule="auto"/>
              <w:rPr>
                <w:rFonts w:ascii="Garamond" w:eastAsiaTheme="minorHAnsi" w:hAnsi="Garamond"/>
                <w:lang w:val="en-GB" w:eastAsia="en-US"/>
              </w:rPr>
            </w:pPr>
            <w:r w:rsidRPr="009672FC">
              <w:rPr>
                <w:rFonts w:ascii="Garamond" w:eastAsiaTheme="minorHAnsi" w:hAnsi="Garamond"/>
                <w:lang w:val="en-GB" w:eastAsia="en-US"/>
              </w:rPr>
              <w:t>Problem definition, research design, data collection and analysis, interpretation, reporting.</w:t>
            </w:r>
          </w:p>
        </w:tc>
      </w:tr>
    </w:tbl>
    <w:p w14:paraId="4A118FBE" w14:textId="09D39D8C" w:rsidR="00EB5D6B" w:rsidRPr="00663C31" w:rsidRDefault="00EB5D6B" w:rsidP="00EB5D6B">
      <w:pPr>
        <w:pStyle w:val="Caption"/>
        <w:keepNext/>
        <w:rPr>
          <w:rFonts w:ascii="Garamond" w:hAnsi="Garamond"/>
          <w:sz w:val="22"/>
          <w:szCs w:val="22"/>
        </w:rPr>
      </w:pPr>
      <w:bookmarkStart w:id="71" w:name="_Toc85711312"/>
      <w:r w:rsidRPr="00663C31">
        <w:rPr>
          <w:rFonts w:ascii="Garamond" w:hAnsi="Garamond"/>
          <w:sz w:val="22"/>
          <w:szCs w:val="22"/>
        </w:rPr>
        <w:t xml:space="preserve">Table </w:t>
      </w:r>
      <w:r w:rsidR="00C10BC3" w:rsidRPr="00663C31">
        <w:rPr>
          <w:rFonts w:ascii="Garamond" w:hAnsi="Garamond"/>
          <w:sz w:val="22"/>
          <w:szCs w:val="22"/>
        </w:rPr>
        <w:fldChar w:fldCharType="begin"/>
      </w:r>
      <w:r w:rsidR="00C10BC3" w:rsidRPr="00663C31">
        <w:rPr>
          <w:rFonts w:ascii="Garamond" w:hAnsi="Garamond"/>
          <w:sz w:val="22"/>
          <w:szCs w:val="22"/>
        </w:rPr>
        <w:instrText xml:space="preserve"> SEQ Table \* ARABIC </w:instrText>
      </w:r>
      <w:r w:rsidR="00C10BC3" w:rsidRPr="00663C31">
        <w:rPr>
          <w:rFonts w:ascii="Garamond" w:hAnsi="Garamond"/>
          <w:sz w:val="22"/>
          <w:szCs w:val="22"/>
        </w:rPr>
        <w:fldChar w:fldCharType="separate"/>
      </w:r>
      <w:r w:rsidR="001C1648">
        <w:rPr>
          <w:rFonts w:ascii="Garamond" w:hAnsi="Garamond"/>
          <w:noProof/>
          <w:sz w:val="22"/>
          <w:szCs w:val="22"/>
        </w:rPr>
        <w:t>5</w:t>
      </w:r>
      <w:r w:rsidR="00C10BC3" w:rsidRPr="00663C31">
        <w:rPr>
          <w:rFonts w:ascii="Garamond" w:hAnsi="Garamond"/>
          <w:noProof/>
          <w:sz w:val="22"/>
          <w:szCs w:val="22"/>
        </w:rPr>
        <w:fldChar w:fldCharType="end"/>
      </w:r>
      <w:r w:rsidRPr="00663C31">
        <w:rPr>
          <w:rFonts w:ascii="Garamond" w:hAnsi="Garamond"/>
          <w:sz w:val="22"/>
          <w:szCs w:val="22"/>
        </w:rPr>
        <w:t>. Fact Sheet for Thesis Ch2</w:t>
      </w:r>
      <w:bookmarkEnd w:id="71"/>
    </w:p>
    <w:p w14:paraId="4D96EE4E" w14:textId="2D817D83" w:rsidR="003D5DE8" w:rsidRPr="009672FC" w:rsidRDefault="007549AA">
      <w:pPr>
        <w:pStyle w:val="Heading1"/>
        <w:rPr>
          <w:rFonts w:ascii="Garamond" w:hAnsi="Garamond" w:cs="Times New Roman"/>
          <w:b/>
          <w:bCs/>
          <w:color w:val="auto"/>
          <w:sz w:val="24"/>
          <w:szCs w:val="24"/>
        </w:rPr>
      </w:pPr>
      <w:bookmarkStart w:id="72" w:name="_Toc85708718"/>
      <w:bookmarkStart w:id="73" w:name="_Toc85709733"/>
      <w:r w:rsidRPr="009672FC">
        <w:rPr>
          <w:rFonts w:ascii="Garamond" w:hAnsi="Garamond" w:cs="Times New Roman"/>
          <w:b/>
          <w:bCs/>
          <w:color w:val="auto"/>
          <w:sz w:val="24"/>
          <w:szCs w:val="24"/>
        </w:rPr>
        <w:t>Abstract:</w:t>
      </w:r>
      <w:bookmarkEnd w:id="72"/>
      <w:bookmarkEnd w:id="73"/>
      <w:r w:rsidRPr="009672FC">
        <w:rPr>
          <w:rFonts w:ascii="Garamond" w:hAnsi="Garamond" w:cs="Times New Roman"/>
          <w:b/>
          <w:bCs/>
          <w:color w:val="auto"/>
          <w:sz w:val="24"/>
          <w:szCs w:val="24"/>
        </w:rPr>
        <w:t xml:space="preserve"> </w:t>
      </w:r>
    </w:p>
    <w:p w14:paraId="5534125D" w14:textId="77777777" w:rsidR="00EB5D6B" w:rsidRPr="009672FC" w:rsidRDefault="00EB5D6B" w:rsidP="00EB5D6B">
      <w:pPr>
        <w:rPr>
          <w:rFonts w:ascii="Garamond" w:hAnsi="Garamond"/>
        </w:rPr>
      </w:pPr>
    </w:p>
    <w:p w14:paraId="324102A6" w14:textId="61AE6B5F" w:rsidR="003D5DE8" w:rsidRPr="009672FC" w:rsidRDefault="007549AA">
      <w:pPr>
        <w:spacing w:line="360" w:lineRule="auto"/>
        <w:jc w:val="both"/>
        <w:rPr>
          <w:rFonts w:ascii="Garamond" w:hAnsi="Garamond"/>
        </w:rPr>
      </w:pPr>
      <w:r w:rsidRPr="009672FC">
        <w:rPr>
          <w:rFonts w:ascii="Garamond" w:hAnsi="Garamond"/>
        </w:rPr>
        <w:t xml:space="preserve">To further extend the understanding of the aggregating functions of a local business network, the purpose of this paper is to explore the antecedents enabling the organizing for inter-firm engagement in a collaborative inter-firm business network context, and the development of the network relational dynamic capabilities. An explorative, longitudinal case study design is employed to analyze an Italian Agricultural business network, which </w:t>
      </w:r>
      <w:r w:rsidR="00CF726B" w:rsidRPr="009672FC">
        <w:rPr>
          <w:rFonts w:ascii="Garamond" w:hAnsi="Garamond"/>
        </w:rPr>
        <w:t xml:space="preserve">is </w:t>
      </w:r>
      <w:r w:rsidRPr="009672FC">
        <w:rPr>
          <w:rFonts w:ascii="Garamond" w:hAnsi="Garamond"/>
        </w:rPr>
        <w:t xml:space="preserve">comprised of a group of local SMEs. Using the network as the focus of analysis, the case study draws insights from key informants of the network concerning the network’s inter-firm engagement mechanisms, and opinions related to network relational performance over time. The study identifies key antecedents for successful organizing of inter-firm engagement, and the consequent development of network relational dynamic capabilities for inter-firm engagement in a business network environment: friendship, institutional arrangements, participatory culture, homophily, flexibility, coordination and control, </w:t>
      </w:r>
      <w:r w:rsidRPr="009672FC">
        <w:rPr>
          <w:rFonts w:ascii="Garamond" w:hAnsi="Garamond"/>
        </w:rPr>
        <w:lastRenderedPageBreak/>
        <w:t>communication/information flows, trust</w:t>
      </w:r>
      <w:r w:rsidR="00CF726B" w:rsidRPr="009672FC">
        <w:rPr>
          <w:rFonts w:ascii="Garamond" w:hAnsi="Garamond"/>
        </w:rPr>
        <w:t>-</w:t>
      </w:r>
      <w:r w:rsidRPr="009672FC">
        <w:rPr>
          <w:rFonts w:ascii="Garamond" w:hAnsi="Garamond"/>
        </w:rPr>
        <w:t xml:space="preserve">building, transparency and managing change/adaptability. Our findings also suggest that organizing for inter-firm engagement in a business network context, positively influenced network relational performance. The paper extends </w:t>
      </w:r>
      <w:r w:rsidR="00CF726B" w:rsidRPr="009672FC">
        <w:rPr>
          <w:rFonts w:ascii="Garamond" w:hAnsi="Garamond"/>
        </w:rPr>
        <w:t xml:space="preserve">the </w:t>
      </w:r>
      <w:r w:rsidRPr="009672FC">
        <w:rPr>
          <w:rFonts w:ascii="Garamond" w:hAnsi="Garamond"/>
        </w:rPr>
        <w:t>current understanding of inter-organizational engagement and illuminates the antecedents enabling the development of network relational dynamics capabilities while organizing inter-firm engagement. The study also empirically tests the three organizing solutions (value, dynamism, and governance-based solutions) to inter-firm engagement in a business network context and addresses their interrelationship and linkages to network relational dynamic performance in terms of knowledge practice, information and resources sharing, and innovation. The empirical results in the findings, provides unusual insights into the aggregating roles of a business network, giving practitioners practical insights into managing a successful inter-organizational collaborative project.</w:t>
      </w:r>
    </w:p>
    <w:p w14:paraId="030F6BC1" w14:textId="77777777" w:rsidR="003D5DE8" w:rsidRPr="009672FC" w:rsidRDefault="007549AA">
      <w:pPr>
        <w:spacing w:before="240" w:line="360" w:lineRule="auto"/>
        <w:jc w:val="both"/>
        <w:rPr>
          <w:rFonts w:ascii="Garamond" w:hAnsi="Garamond"/>
        </w:rPr>
      </w:pPr>
      <w:r w:rsidRPr="009672FC">
        <w:rPr>
          <w:rFonts w:ascii="Garamond" w:hAnsi="Garamond"/>
          <w:b/>
          <w:bCs/>
        </w:rPr>
        <w:t>Keywords</w:t>
      </w:r>
      <w:r w:rsidRPr="009672FC">
        <w:rPr>
          <w:rFonts w:ascii="Garamond" w:hAnsi="Garamond"/>
        </w:rPr>
        <w:t>: Inter-firm relationship, engagement studies, Case study, Business network, Network contract, Relational dynamic capabilities.</w:t>
      </w:r>
    </w:p>
    <w:p w14:paraId="068D1396" w14:textId="77777777" w:rsidR="00CF726B" w:rsidRPr="009672FC" w:rsidRDefault="007549AA" w:rsidP="005C5F35">
      <w:pPr>
        <w:pStyle w:val="MDPI51figurecaption"/>
        <w:numPr>
          <w:ilvl w:val="1"/>
          <w:numId w:val="9"/>
        </w:numPr>
        <w:spacing w:after="0" w:line="360" w:lineRule="auto"/>
        <w:jc w:val="both"/>
        <w:outlineLvl w:val="1"/>
        <w:rPr>
          <w:rFonts w:ascii="Garamond" w:hAnsi="Garamond"/>
          <w:b/>
          <w:bCs/>
          <w:sz w:val="24"/>
          <w:szCs w:val="24"/>
          <w:lang w:eastAsia="zh-CN"/>
        </w:rPr>
      </w:pPr>
      <w:r w:rsidRPr="009672FC">
        <w:rPr>
          <w:rFonts w:ascii="Garamond" w:hAnsi="Garamond"/>
          <w:b/>
          <w:bCs/>
          <w:sz w:val="24"/>
          <w:szCs w:val="24"/>
          <w:lang w:eastAsia="zh-CN"/>
        </w:rPr>
        <w:t xml:space="preserve"> </w:t>
      </w:r>
      <w:bookmarkStart w:id="74" w:name="_Toc85617730"/>
      <w:bookmarkStart w:id="75" w:name="_Toc85708719"/>
      <w:bookmarkStart w:id="76" w:name="_Toc85709734"/>
      <w:r w:rsidRPr="009672FC">
        <w:rPr>
          <w:rFonts w:ascii="Garamond" w:hAnsi="Garamond"/>
          <w:b/>
          <w:bCs/>
          <w:sz w:val="24"/>
          <w:szCs w:val="24"/>
          <w:lang w:eastAsia="zh-CN"/>
        </w:rPr>
        <w:t>Introduction</w:t>
      </w:r>
      <w:bookmarkStart w:id="77" w:name="_Toc85628637"/>
      <w:bookmarkStart w:id="78" w:name="_Toc85617731"/>
      <w:bookmarkEnd w:id="74"/>
      <w:bookmarkEnd w:id="75"/>
      <w:bookmarkEnd w:id="76"/>
    </w:p>
    <w:p w14:paraId="132D7155" w14:textId="65B1BA38" w:rsidR="00CF726B" w:rsidRPr="009672FC" w:rsidRDefault="007549AA" w:rsidP="00EB5D6B">
      <w:pPr>
        <w:pStyle w:val="MDPI51figurecaption"/>
        <w:spacing w:before="0" w:after="0" w:line="360" w:lineRule="auto"/>
        <w:ind w:left="0"/>
        <w:jc w:val="both"/>
        <w:rPr>
          <w:rFonts w:ascii="Garamond" w:hAnsi="Garamond"/>
          <w:bCs/>
          <w:sz w:val="24"/>
          <w:szCs w:val="24"/>
        </w:rPr>
      </w:pPr>
      <w:bookmarkStart w:id="79" w:name="_Toc85708720"/>
      <w:r w:rsidRPr="009672FC">
        <w:rPr>
          <w:rFonts w:ascii="Garamond" w:hAnsi="Garamond"/>
          <w:bCs/>
          <w:sz w:val="24"/>
          <w:szCs w:val="24"/>
        </w:rPr>
        <w:t>Business network contract</w:t>
      </w:r>
      <w:r w:rsidR="00CF726B" w:rsidRPr="009672FC">
        <w:rPr>
          <w:rFonts w:ascii="Garamond" w:hAnsi="Garamond"/>
          <w:bCs/>
          <w:sz w:val="24"/>
          <w:szCs w:val="24"/>
        </w:rPr>
        <w:t>s are</w:t>
      </w:r>
      <w:r w:rsidRPr="009672FC">
        <w:rPr>
          <w:rFonts w:ascii="Garamond" w:hAnsi="Garamond"/>
          <w:bCs/>
          <w:sz w:val="24"/>
          <w:szCs w:val="24"/>
        </w:rPr>
        <w:t xml:space="preserve"> gaining growing research attention in recent years. Many reasons could be attributed to this development</w:t>
      </w:r>
      <w:r w:rsidR="00CF726B" w:rsidRPr="009672FC">
        <w:rPr>
          <w:rFonts w:ascii="Garamond" w:hAnsi="Garamond"/>
          <w:bCs/>
          <w:sz w:val="24"/>
          <w:szCs w:val="24"/>
        </w:rPr>
        <w:t>,</w:t>
      </w:r>
      <w:r w:rsidRPr="009672FC">
        <w:rPr>
          <w:rFonts w:ascii="Garamond" w:hAnsi="Garamond"/>
          <w:bCs/>
          <w:sz w:val="24"/>
          <w:szCs w:val="24"/>
        </w:rPr>
        <w:t xml:space="preserve"> for example, the complexity, and the resource requirement of collaborative projects. To address these challenges, </w:t>
      </w:r>
      <w:r w:rsidR="00CF726B" w:rsidRPr="009672FC">
        <w:rPr>
          <w:rFonts w:ascii="Garamond" w:hAnsi="Garamond"/>
          <w:bCs/>
          <w:sz w:val="24"/>
          <w:szCs w:val="24"/>
        </w:rPr>
        <w:t xml:space="preserve">the </w:t>
      </w:r>
      <w:r w:rsidRPr="009672FC">
        <w:rPr>
          <w:rFonts w:ascii="Garamond" w:hAnsi="Garamond"/>
          <w:bCs/>
          <w:sz w:val="24"/>
          <w:szCs w:val="24"/>
        </w:rPr>
        <w:t xml:space="preserve">Italian government implemented a Degree 91/2014 (converted into Law 116/2014) called the network contract. The Degree introduced an innovative form of inter-organizational collaboration for small-and-medium-size enterprises (henceforth SMEs) where firms agree to define </w:t>
      </w:r>
      <w:r w:rsidR="00CF726B" w:rsidRPr="009672FC">
        <w:rPr>
          <w:rFonts w:ascii="Garamond" w:hAnsi="Garamond"/>
          <w:bCs/>
          <w:sz w:val="24"/>
          <w:szCs w:val="24"/>
        </w:rPr>
        <w:t xml:space="preserve">a </w:t>
      </w:r>
      <w:r w:rsidRPr="009672FC">
        <w:rPr>
          <w:rFonts w:ascii="Garamond" w:hAnsi="Garamond"/>
          <w:bCs/>
          <w:sz w:val="24"/>
          <w:szCs w:val="24"/>
        </w:rPr>
        <w:t xml:space="preserve">common programme through which to exchange information or services, collaborate in specific areas or for specific issues, or jointly manage common activities, enabling the creation of common identity, values, funding, and governance structure to manage the network project </w:t>
      </w:r>
      <w:r w:rsidRPr="009672FC">
        <w:rPr>
          <w:rFonts w:ascii="Garamond" w:hAnsi="Garamond"/>
          <w:bCs/>
          <w:sz w:val="20"/>
          <w:szCs w:val="22"/>
        </w:rPr>
        <w:fldChar w:fldCharType="begin" w:fldLock="1"/>
      </w:r>
      <w:r w:rsidR="00813D37" w:rsidRPr="009672FC">
        <w:rPr>
          <w:rFonts w:ascii="Garamond" w:hAnsi="Garamond"/>
          <w:bCs/>
          <w:sz w:val="24"/>
          <w:szCs w:val="24"/>
        </w:rPr>
        <w:instrText>ADDIN CSL_CITATION {"citationItems":[{"id":"ITEM-1","itemData":{"author":[{"dropping-particle":"","family":"Cantele","given":"S .","non-dropping-particle":"","parse-names":false,"suffix":""},{"dropping-particle":"","family":"Vernizzi","given":"S .","non-dropping-particle":"","parse-names":false,"suffix":""},{"dropping-particle":"","family":"Ricciardi","given":"F .","non-dropping-particle":"","parse-names":false,"suffix":""}],"container-title":"World review of Entrepreneurship","id":"ITEM-1","issued":{"date-parts":[["2016"]]},"page":"1-14","title":"The emerging wave of agility-oriented business networks in Italy: a new strategy for facing global competition The emerging wave of agility-oriented business networks in Italy : a new strategy for facing global competition.","type":"article-journal"},"uris":["http://www.mendeley.com/documents/?uuid=c436eb1c-81cb-4adc-8c04-115f8492725e"]}],"mendeley":{"formattedCitation":"(Cantele, Vernizzi, &amp; Ricciardi, 2016)","plainTextFormattedCitation":"(Cantele, Vernizzi, &amp; Ricciardi, 2016)","previouslyFormattedCitation":"(Cantele et al., 2016)"},"properties":{"noteIndex":0},"schema":"https://github.com/citation-style-language/schema/raw/master/csl-citation.json"}</w:instrText>
      </w:r>
      <w:r w:rsidRPr="009672FC">
        <w:rPr>
          <w:rFonts w:ascii="Garamond" w:hAnsi="Garamond"/>
          <w:bCs/>
          <w:sz w:val="24"/>
          <w:szCs w:val="24"/>
        </w:rPr>
        <w:fldChar w:fldCharType="separate"/>
      </w:r>
      <w:r w:rsidR="00813D37" w:rsidRPr="009672FC">
        <w:rPr>
          <w:rFonts w:ascii="Garamond" w:hAnsi="Garamond"/>
          <w:bCs/>
          <w:noProof/>
          <w:sz w:val="24"/>
          <w:szCs w:val="24"/>
        </w:rPr>
        <w:t>(Cantele, Vernizzi, &amp; Ricciardi, 2016)</w:t>
      </w:r>
      <w:r w:rsidRPr="009672FC">
        <w:rPr>
          <w:rFonts w:ascii="Garamond" w:hAnsi="Garamond"/>
          <w:bCs/>
          <w:sz w:val="24"/>
          <w:szCs w:val="24"/>
        </w:rPr>
        <w:fldChar w:fldCharType="end"/>
      </w:r>
      <w:r w:rsidRPr="009672FC">
        <w:rPr>
          <w:rFonts w:ascii="Garamond" w:hAnsi="Garamond"/>
          <w:bCs/>
          <w:sz w:val="24"/>
          <w:szCs w:val="24"/>
        </w:rPr>
        <w:t>.</w:t>
      </w:r>
      <w:bookmarkEnd w:id="77"/>
      <w:bookmarkEnd w:id="78"/>
      <w:bookmarkEnd w:id="79"/>
    </w:p>
    <w:p w14:paraId="205B38FA" w14:textId="1B47FF8F" w:rsidR="00CF726B" w:rsidRPr="009672FC" w:rsidRDefault="007549AA" w:rsidP="00CF726B">
      <w:pPr>
        <w:pStyle w:val="MDPI51figurecaption"/>
        <w:spacing w:line="360" w:lineRule="auto"/>
        <w:ind w:left="0"/>
        <w:jc w:val="both"/>
        <w:outlineLvl w:val="1"/>
        <w:rPr>
          <w:rFonts w:ascii="Garamond" w:hAnsi="Garamond"/>
          <w:bCs/>
          <w:sz w:val="24"/>
          <w:szCs w:val="24"/>
        </w:rPr>
      </w:pPr>
      <w:bookmarkStart w:id="80" w:name="_Toc85708721"/>
      <w:bookmarkStart w:id="81" w:name="_Toc85709735"/>
      <w:r w:rsidRPr="009672FC">
        <w:rPr>
          <w:rFonts w:ascii="Garamond" w:hAnsi="Garamond"/>
          <w:bCs/>
          <w:sz w:val="24"/>
          <w:szCs w:val="24"/>
        </w:rPr>
        <w:t xml:space="preserve">The network plays an important role </w:t>
      </w:r>
      <w:r w:rsidR="00CF726B" w:rsidRPr="009672FC">
        <w:rPr>
          <w:rFonts w:ascii="Garamond" w:hAnsi="Garamond"/>
          <w:bCs/>
          <w:sz w:val="24"/>
          <w:szCs w:val="24"/>
        </w:rPr>
        <w:t>in</w:t>
      </w:r>
      <w:r w:rsidRPr="009672FC">
        <w:rPr>
          <w:rFonts w:ascii="Garamond" w:hAnsi="Garamond"/>
          <w:bCs/>
          <w:sz w:val="24"/>
          <w:szCs w:val="24"/>
        </w:rPr>
        <w:t xml:space="preserve"> integrating network activities across firms and the mobilization of resources to achieve the common, network objectives. However, despite the high growth potential of business network contract</w:t>
      </w:r>
      <w:r w:rsidR="00CF726B" w:rsidRPr="009672FC">
        <w:rPr>
          <w:rFonts w:ascii="Garamond" w:hAnsi="Garamond"/>
          <w:bCs/>
          <w:sz w:val="24"/>
          <w:szCs w:val="24"/>
        </w:rPr>
        <w:t>s</w:t>
      </w:r>
      <w:r w:rsidRPr="009672FC">
        <w:rPr>
          <w:rFonts w:ascii="Garamond" w:hAnsi="Garamond"/>
          <w:bCs/>
          <w:sz w:val="24"/>
          <w:szCs w:val="24"/>
        </w:rPr>
        <w:t>, very little is known about the aggregating role of business network</w:t>
      </w:r>
      <w:r w:rsidR="00CF726B" w:rsidRPr="009672FC">
        <w:rPr>
          <w:rFonts w:ascii="Garamond" w:hAnsi="Garamond"/>
          <w:bCs/>
          <w:sz w:val="24"/>
          <w:szCs w:val="24"/>
        </w:rPr>
        <w:t>s</w:t>
      </w:r>
      <w:r w:rsidRPr="009672FC">
        <w:rPr>
          <w:rFonts w:ascii="Garamond" w:hAnsi="Garamond"/>
          <w:bCs/>
          <w:sz w:val="24"/>
          <w:szCs w:val="24"/>
        </w:rPr>
        <w:t xml:space="preserve">, particularly the Italian case, which is mainly dominated by small-and medium-size companies. Furthermore, in </w:t>
      </w:r>
      <w:r w:rsidR="00CF726B" w:rsidRPr="009672FC">
        <w:rPr>
          <w:rFonts w:ascii="Garamond" w:hAnsi="Garamond"/>
          <w:bCs/>
          <w:sz w:val="24"/>
          <w:szCs w:val="24"/>
        </w:rPr>
        <w:t xml:space="preserve">the </w:t>
      </w:r>
      <w:r w:rsidRPr="009672FC">
        <w:rPr>
          <w:rFonts w:ascii="Garamond" w:hAnsi="Garamond"/>
          <w:bCs/>
          <w:sz w:val="24"/>
          <w:szCs w:val="24"/>
        </w:rPr>
        <w:t xml:space="preserve">extant literature, no (prior) studies consider how a business </w:t>
      </w:r>
      <w:r w:rsidRPr="009672FC">
        <w:rPr>
          <w:rFonts w:ascii="Garamond" w:hAnsi="Garamond"/>
          <w:bCs/>
          <w:sz w:val="24"/>
          <w:szCs w:val="24"/>
        </w:rPr>
        <w:lastRenderedPageBreak/>
        <w:t>network organizes inter-firm project</w:t>
      </w:r>
      <w:r w:rsidR="00CF726B" w:rsidRPr="009672FC">
        <w:rPr>
          <w:rFonts w:ascii="Garamond" w:hAnsi="Garamond"/>
          <w:bCs/>
          <w:sz w:val="24"/>
          <w:szCs w:val="24"/>
        </w:rPr>
        <w:t>s</w:t>
      </w:r>
      <w:r w:rsidRPr="009672FC">
        <w:rPr>
          <w:rFonts w:ascii="Garamond" w:hAnsi="Garamond"/>
          <w:bCs/>
          <w:sz w:val="24"/>
          <w:szCs w:val="24"/>
        </w:rPr>
        <w:t xml:space="preserve"> and link that to the development of network relational dynamic capability, which form the main thesis of the current study. Specifically, to address this lack of research, the current study focuses on the following research question: What are the antecedents enabling the organizing for inter-firm engagement in a collaborative business network project, and how it contributes to the development of network relational dynamic capabilities?</w:t>
      </w:r>
      <w:bookmarkEnd w:id="80"/>
      <w:bookmarkEnd w:id="81"/>
    </w:p>
    <w:p w14:paraId="03E10969" w14:textId="5441CA04" w:rsidR="003D5DE8" w:rsidRPr="009672FC" w:rsidRDefault="007549AA" w:rsidP="00CF726B">
      <w:pPr>
        <w:pStyle w:val="MDPI51figurecaption"/>
        <w:spacing w:line="360" w:lineRule="auto"/>
        <w:ind w:left="0"/>
        <w:jc w:val="both"/>
        <w:outlineLvl w:val="1"/>
        <w:rPr>
          <w:rFonts w:ascii="Garamond" w:hAnsi="Garamond"/>
          <w:bCs/>
          <w:sz w:val="32"/>
          <w:szCs w:val="32"/>
          <w:lang w:eastAsia="zh-CN"/>
        </w:rPr>
      </w:pPr>
      <w:bookmarkStart w:id="82" w:name="_Toc85708722"/>
      <w:bookmarkStart w:id="83" w:name="_Toc85709736"/>
      <w:r w:rsidRPr="009672FC">
        <w:rPr>
          <w:rFonts w:ascii="Garamond" w:hAnsi="Garamond"/>
          <w:bCs/>
          <w:sz w:val="24"/>
          <w:szCs w:val="28"/>
        </w:rPr>
        <w:t xml:space="preserve">Research on relational dynamic capability has gained </w:t>
      </w:r>
      <w:r w:rsidR="00CF726B" w:rsidRPr="009672FC">
        <w:rPr>
          <w:rFonts w:ascii="Garamond" w:hAnsi="Garamond"/>
          <w:bCs/>
          <w:sz w:val="24"/>
          <w:szCs w:val="28"/>
        </w:rPr>
        <w:t xml:space="preserve">the </w:t>
      </w:r>
      <w:r w:rsidRPr="009672FC">
        <w:rPr>
          <w:rFonts w:ascii="Garamond" w:hAnsi="Garamond"/>
          <w:bCs/>
          <w:sz w:val="24"/>
          <w:szCs w:val="28"/>
        </w:rPr>
        <w:t>growing attention of scholars and practitioners over the last few decades (</w:t>
      </w:r>
      <w:r w:rsidRPr="009672FC">
        <w:rPr>
          <w:rFonts w:ascii="Garamond" w:hAnsi="Garamond"/>
          <w:bCs/>
          <w:sz w:val="24"/>
          <w:szCs w:val="28"/>
        </w:rPr>
        <w:fldChar w:fldCharType="begin" w:fldLock="1"/>
      </w:r>
      <w:r w:rsidRPr="009672FC">
        <w:rPr>
          <w:rFonts w:ascii="Garamond" w:hAnsi="Garamond"/>
          <w:bCs/>
          <w:sz w:val="24"/>
          <w:szCs w:val="28"/>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Jeffrey and Singh, 1998;","plainTextFormattedCitation":"(Dyer &amp; Singh, 1998)","previouslyFormattedCitation":"(Dyer &amp; Singh, 1998)"},"properties":{"noteIndex":0},"schema":"https://github.com/citation-style-language/schema/raw/master/csl-citation.json"}</w:instrText>
      </w:r>
      <w:r w:rsidRPr="009672FC">
        <w:rPr>
          <w:rFonts w:ascii="Garamond" w:hAnsi="Garamond"/>
          <w:bCs/>
          <w:sz w:val="24"/>
          <w:szCs w:val="28"/>
        </w:rPr>
        <w:fldChar w:fldCharType="separate"/>
      </w:r>
      <w:r w:rsidRPr="009672FC">
        <w:rPr>
          <w:rFonts w:ascii="Garamond" w:hAnsi="Garamond"/>
          <w:bCs/>
          <w:noProof/>
          <w:sz w:val="24"/>
          <w:szCs w:val="28"/>
        </w:rPr>
        <w:t>Dyer, Jeffrey and Singh, 1998;</w:t>
      </w:r>
      <w:r w:rsidRPr="009672FC">
        <w:rPr>
          <w:rFonts w:ascii="Garamond" w:hAnsi="Garamond"/>
          <w:bCs/>
          <w:sz w:val="24"/>
          <w:szCs w:val="28"/>
        </w:rPr>
        <w:fldChar w:fldCharType="end"/>
      </w:r>
      <w:r w:rsidRPr="009672FC">
        <w:rPr>
          <w:rFonts w:ascii="Garamond" w:hAnsi="Garamond"/>
          <w:bCs/>
          <w:sz w:val="24"/>
          <w:szCs w:val="28"/>
        </w:rPr>
        <w:t xml:space="preserve"> </w:t>
      </w:r>
      <w:r w:rsidRPr="009672FC">
        <w:rPr>
          <w:rFonts w:ascii="Garamond" w:hAnsi="Garamond"/>
          <w:bCs/>
          <w:sz w:val="24"/>
          <w:szCs w:val="28"/>
        </w:rPr>
        <w:fldChar w:fldCharType="begin" w:fldLock="1"/>
      </w:r>
      <w:r w:rsidR="00813D37" w:rsidRPr="009672FC">
        <w:rPr>
          <w:rFonts w:ascii="Garamond" w:hAnsi="Garamond"/>
          <w:bCs/>
          <w:sz w:val="24"/>
          <w:szCs w:val="28"/>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Paris-dauphine, &amp; Pezet, 2016)","manualFormatting":"Donada, Nogatchewsky and Pezet, 2016)","plainTextFormattedCitation":"(Donada, Paris-dauphine, &amp; Pezet, 2016)","previouslyFormattedCitation":"(Donada et al., 2016)"},"properties":{"noteIndex":0},"schema":"https://github.com/citation-style-language/schema/raw/master/csl-citation.json"}</w:instrText>
      </w:r>
      <w:r w:rsidRPr="009672FC">
        <w:rPr>
          <w:rFonts w:ascii="Garamond" w:hAnsi="Garamond"/>
          <w:bCs/>
          <w:sz w:val="24"/>
          <w:szCs w:val="28"/>
        </w:rPr>
        <w:fldChar w:fldCharType="separate"/>
      </w:r>
      <w:r w:rsidRPr="009672FC">
        <w:rPr>
          <w:rFonts w:ascii="Garamond" w:hAnsi="Garamond"/>
          <w:bCs/>
          <w:noProof/>
          <w:sz w:val="24"/>
          <w:szCs w:val="28"/>
        </w:rPr>
        <w:t>Donada, Nogatchewsky and Pezet, 2016)</w:t>
      </w:r>
      <w:r w:rsidRPr="009672FC">
        <w:rPr>
          <w:rFonts w:ascii="Garamond" w:hAnsi="Garamond"/>
          <w:bCs/>
          <w:sz w:val="24"/>
          <w:szCs w:val="28"/>
        </w:rPr>
        <w:fldChar w:fldCharType="end"/>
      </w:r>
      <w:r w:rsidRPr="009672FC">
        <w:rPr>
          <w:rFonts w:ascii="Garamond" w:hAnsi="Garamond"/>
          <w:bCs/>
          <w:sz w:val="24"/>
          <w:szCs w:val="28"/>
        </w:rPr>
        <w:t xml:space="preserve">. These scholars recognize the importance of social relations and the atmosphere where market actors are engaged to capture and co-create value, collectively. Building on the dynamic relational capabilities’ studies (see </w:t>
      </w:r>
      <w:r w:rsidRPr="009672FC">
        <w:rPr>
          <w:rFonts w:ascii="Garamond" w:hAnsi="Garamond"/>
          <w:bCs/>
          <w:sz w:val="24"/>
          <w:szCs w:val="28"/>
        </w:rPr>
        <w:fldChar w:fldCharType="begin" w:fldLock="1"/>
      </w:r>
      <w:r w:rsidRPr="009672FC">
        <w:rPr>
          <w:rFonts w:ascii="Garamond" w:hAnsi="Garamond"/>
          <w:bCs/>
          <w:sz w:val="24"/>
          <w:szCs w:val="28"/>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Jeffrey and Singh, 1998;","plainTextFormattedCitation":"(Dyer &amp; Singh, 1998)","previouslyFormattedCitation":"(Dyer &amp; Singh, 1998)"},"properties":{"noteIndex":0},"schema":"https://github.com/citation-style-language/schema/raw/master/csl-citation.json"}</w:instrText>
      </w:r>
      <w:r w:rsidRPr="009672FC">
        <w:rPr>
          <w:rFonts w:ascii="Garamond" w:hAnsi="Garamond"/>
          <w:bCs/>
          <w:sz w:val="24"/>
          <w:szCs w:val="28"/>
        </w:rPr>
        <w:fldChar w:fldCharType="separate"/>
      </w:r>
      <w:r w:rsidRPr="009672FC">
        <w:rPr>
          <w:rFonts w:ascii="Garamond" w:hAnsi="Garamond"/>
          <w:bCs/>
          <w:noProof/>
          <w:sz w:val="24"/>
          <w:szCs w:val="28"/>
        </w:rPr>
        <w:t>Dyer, Jeffrey and Singh, 1998;</w:t>
      </w:r>
      <w:r w:rsidRPr="009672FC">
        <w:rPr>
          <w:rFonts w:ascii="Garamond" w:hAnsi="Garamond"/>
          <w:bCs/>
          <w:sz w:val="24"/>
          <w:szCs w:val="28"/>
        </w:rPr>
        <w:fldChar w:fldCharType="end"/>
      </w:r>
      <w:r w:rsidRPr="009672FC">
        <w:rPr>
          <w:rFonts w:ascii="Garamond" w:hAnsi="Garamond"/>
          <w:bCs/>
          <w:sz w:val="24"/>
          <w:szCs w:val="28"/>
        </w:rPr>
        <w:t xml:space="preserve"> </w:t>
      </w:r>
      <w:r w:rsidRPr="009672FC">
        <w:rPr>
          <w:rFonts w:ascii="Garamond" w:hAnsi="Garamond"/>
          <w:bCs/>
          <w:sz w:val="24"/>
          <w:szCs w:val="28"/>
        </w:rPr>
        <w:fldChar w:fldCharType="begin" w:fldLock="1"/>
      </w:r>
      <w:r w:rsidRPr="009672FC">
        <w:rPr>
          <w:rFonts w:ascii="Garamond" w:hAnsi="Garamond"/>
          <w:bCs/>
          <w:sz w:val="24"/>
          <w:szCs w:val="28"/>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Nogatchewsky and Pezet, 2016)","plainTextFormattedCitation":"(Donada et al., 2016)","previouslyFormattedCitation":"(Donada et al., 2016)"},"properties":{"noteIndex":0},"schema":"https://github.com/citation-style-language/schema/raw/master/csl-citation.json"}</w:instrText>
      </w:r>
      <w:r w:rsidRPr="009672FC">
        <w:rPr>
          <w:rFonts w:ascii="Garamond" w:hAnsi="Garamond"/>
          <w:bCs/>
          <w:sz w:val="24"/>
          <w:szCs w:val="28"/>
        </w:rPr>
        <w:fldChar w:fldCharType="separate"/>
      </w:r>
      <w:r w:rsidRPr="009672FC">
        <w:rPr>
          <w:rFonts w:ascii="Garamond" w:hAnsi="Garamond"/>
          <w:bCs/>
          <w:noProof/>
          <w:sz w:val="24"/>
          <w:szCs w:val="28"/>
        </w:rPr>
        <w:t>Donada, Nogatchewsky and Pezet, 2016)</w:t>
      </w:r>
      <w:r w:rsidRPr="009672FC">
        <w:rPr>
          <w:rFonts w:ascii="Garamond" w:hAnsi="Garamond"/>
          <w:bCs/>
          <w:sz w:val="24"/>
          <w:szCs w:val="28"/>
        </w:rPr>
        <w:fldChar w:fldCharType="end"/>
      </w:r>
      <w:r w:rsidRPr="009672FC">
        <w:rPr>
          <w:rFonts w:ascii="Garamond" w:hAnsi="Garamond"/>
          <w:bCs/>
          <w:sz w:val="24"/>
          <w:szCs w:val="28"/>
        </w:rPr>
        <w:t>, we argue that organizing inter-firm engagement on value capture and co-creation provide</w:t>
      </w:r>
      <w:r w:rsidR="00CF726B" w:rsidRPr="009672FC">
        <w:rPr>
          <w:rFonts w:ascii="Garamond" w:hAnsi="Garamond"/>
          <w:bCs/>
          <w:sz w:val="24"/>
          <w:szCs w:val="28"/>
        </w:rPr>
        <w:t>s</w:t>
      </w:r>
      <w:r w:rsidRPr="009672FC">
        <w:rPr>
          <w:rFonts w:ascii="Garamond" w:hAnsi="Garamond"/>
          <w:bCs/>
          <w:sz w:val="24"/>
          <w:szCs w:val="28"/>
        </w:rPr>
        <w:t xml:space="preserve"> </w:t>
      </w:r>
      <w:r w:rsidR="00CF726B" w:rsidRPr="009672FC">
        <w:rPr>
          <w:rFonts w:ascii="Garamond" w:hAnsi="Garamond"/>
          <w:bCs/>
          <w:sz w:val="24"/>
          <w:szCs w:val="28"/>
        </w:rPr>
        <w:t xml:space="preserve">an </w:t>
      </w:r>
      <w:r w:rsidRPr="009672FC">
        <w:rPr>
          <w:rFonts w:ascii="Garamond" w:hAnsi="Garamond"/>
          <w:bCs/>
          <w:sz w:val="24"/>
          <w:szCs w:val="28"/>
        </w:rPr>
        <w:t xml:space="preserve">ideal context for developing network relational capabilities. Since network relational capabilities characterize the content of the personal bonds among actors in terms of </w:t>
      </w:r>
      <w:r w:rsidR="00CF726B" w:rsidRPr="009672FC">
        <w:rPr>
          <w:rFonts w:ascii="Garamond" w:hAnsi="Garamond"/>
          <w:bCs/>
          <w:sz w:val="24"/>
          <w:szCs w:val="28"/>
        </w:rPr>
        <w:t xml:space="preserve">the </w:t>
      </w:r>
      <w:r w:rsidRPr="009672FC">
        <w:rPr>
          <w:rFonts w:ascii="Garamond" w:hAnsi="Garamond"/>
          <w:bCs/>
          <w:sz w:val="24"/>
          <w:szCs w:val="28"/>
        </w:rPr>
        <w:t xml:space="preserve">trust, reciprocity, and self-regulating mechanisms </w:t>
      </w:r>
      <w:r w:rsidRPr="009672FC">
        <w:rPr>
          <w:rFonts w:ascii="Garamond" w:hAnsi="Garamond"/>
          <w:bCs/>
          <w:sz w:val="24"/>
          <w:szCs w:val="28"/>
        </w:rPr>
        <w:fldChar w:fldCharType="begin" w:fldLock="1"/>
      </w:r>
      <w:r w:rsidRPr="009672FC">
        <w:rPr>
          <w:rFonts w:ascii="Garamond" w:hAnsi="Garamond"/>
          <w:bCs/>
          <w:sz w:val="24"/>
          <w:szCs w:val="28"/>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and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bCs/>
          <w:sz w:val="24"/>
          <w:szCs w:val="28"/>
        </w:rPr>
        <w:fldChar w:fldCharType="separate"/>
      </w:r>
      <w:r w:rsidRPr="009672FC">
        <w:rPr>
          <w:rFonts w:ascii="Garamond" w:hAnsi="Garamond"/>
          <w:bCs/>
          <w:noProof/>
          <w:sz w:val="24"/>
          <w:szCs w:val="28"/>
        </w:rPr>
        <w:t>(Rossignoli and Ricciardi, 2015)</w:t>
      </w:r>
      <w:r w:rsidRPr="009672FC">
        <w:rPr>
          <w:rFonts w:ascii="Garamond" w:hAnsi="Garamond"/>
          <w:bCs/>
          <w:sz w:val="24"/>
          <w:szCs w:val="28"/>
        </w:rPr>
        <w:fldChar w:fldCharType="end"/>
      </w:r>
      <w:r w:rsidRPr="009672FC">
        <w:rPr>
          <w:rFonts w:ascii="Garamond" w:hAnsi="Garamond"/>
          <w:bCs/>
          <w:sz w:val="24"/>
          <w:szCs w:val="28"/>
        </w:rPr>
        <w:t xml:space="preserve">, such context enables socialization, interactive learning and shared community of practice </w:t>
      </w:r>
      <w:r w:rsidRPr="009672FC">
        <w:rPr>
          <w:rFonts w:ascii="Garamond" w:hAnsi="Garamond"/>
          <w:bCs/>
          <w:sz w:val="24"/>
          <w:szCs w:val="28"/>
        </w:rPr>
        <w:fldChar w:fldCharType="begin" w:fldLock="1"/>
      </w:r>
      <w:r w:rsidR="00813D37" w:rsidRPr="009672FC">
        <w:rPr>
          <w:rFonts w:ascii="Garamond" w:hAnsi="Garamond"/>
          <w:bCs/>
          <w:sz w:val="24"/>
          <w:szCs w:val="28"/>
        </w:rPr>
        <w:instrText>ADDIN CSL_CITATION {"citationItems":[{"id":"ITEM-1","itemData":{"DOI":"10.1108/14626001011041256","author":[{"dropping-particle":"","family":"Ngugi","given":"Isaac K","non-dropping-particle":"","parse-names":false,"suffix":""},{"dropping-particle":"","family":"Johnsen","given":"Rhona E","non-dropping-particle":"","parse-names":false,"suffix":""},{"dropping-particle":"","family":"Erde","given":"Peter","non-dropping-particle":"","parse-names":false,"suffix":""}],"container-title":"Journal of Small Business and Enterprise Development","id":"ITEM-1","issue":"2","issued":{"date-parts":[["2010"]]},"page":"260-278","title":"Relational capabilities for value co-creation and innovation in SMEs","type":"article-journal","volume":"17"},"uris":["http://www.mendeley.com/documents/?uuid=0dd3c9c1-3952-416f-b08a-19e2ce826b7c"]}],"mendeley":{"formattedCitation":"(Ngugi, Johnsen, &amp; Erde, 2010)","plainTextFormattedCitation":"(Ngugi, Johnsen, &amp; Erde, 2010)","previouslyFormattedCitation":"(Ngugi et al., 2010)"},"properties":{"noteIndex":0},"schema":"https://github.com/citation-style-language/schema/raw/master/csl-citation.json"}</w:instrText>
      </w:r>
      <w:r w:rsidRPr="009672FC">
        <w:rPr>
          <w:rFonts w:ascii="Garamond" w:hAnsi="Garamond"/>
          <w:bCs/>
          <w:sz w:val="24"/>
          <w:szCs w:val="28"/>
        </w:rPr>
        <w:fldChar w:fldCharType="separate"/>
      </w:r>
      <w:r w:rsidR="00813D37" w:rsidRPr="009672FC">
        <w:rPr>
          <w:rFonts w:ascii="Garamond" w:hAnsi="Garamond"/>
          <w:bCs/>
          <w:noProof/>
          <w:sz w:val="24"/>
          <w:szCs w:val="28"/>
        </w:rPr>
        <w:t>(Ngugi, Johnsen, &amp; Erde, 2010)</w:t>
      </w:r>
      <w:r w:rsidRPr="009672FC">
        <w:rPr>
          <w:rFonts w:ascii="Garamond" w:hAnsi="Garamond"/>
          <w:bCs/>
          <w:sz w:val="24"/>
          <w:szCs w:val="28"/>
        </w:rPr>
        <w:fldChar w:fldCharType="end"/>
      </w:r>
      <w:r w:rsidRPr="009672FC">
        <w:rPr>
          <w:rFonts w:ascii="Garamond" w:hAnsi="Garamond"/>
          <w:bCs/>
          <w:sz w:val="24"/>
          <w:szCs w:val="28"/>
        </w:rPr>
        <w:t>. The network context, thus, become</w:t>
      </w:r>
      <w:r w:rsidR="00CF726B" w:rsidRPr="009672FC">
        <w:rPr>
          <w:rFonts w:ascii="Garamond" w:hAnsi="Garamond"/>
          <w:bCs/>
          <w:sz w:val="24"/>
          <w:szCs w:val="28"/>
        </w:rPr>
        <w:t>s</w:t>
      </w:r>
      <w:r w:rsidRPr="009672FC">
        <w:rPr>
          <w:rFonts w:ascii="Garamond" w:hAnsi="Garamond"/>
          <w:bCs/>
          <w:sz w:val="24"/>
          <w:szCs w:val="28"/>
        </w:rPr>
        <w:t xml:space="preserve"> a central governance source for multi-stakeholder engagement (i.e., inter-organizational relationship), enabling the development of the network relational dynamic capabilities. Such capabilities are necessary for identifying, building, and integrating strategies for enhancing network performance over time. To address this research problem, this study uses </w:t>
      </w:r>
      <w:r w:rsidR="00CF726B" w:rsidRPr="009672FC">
        <w:rPr>
          <w:rFonts w:ascii="Garamond" w:hAnsi="Garamond"/>
          <w:bCs/>
          <w:sz w:val="24"/>
          <w:szCs w:val="28"/>
        </w:rPr>
        <w:t xml:space="preserve">an </w:t>
      </w:r>
      <w:r w:rsidRPr="009672FC">
        <w:rPr>
          <w:rFonts w:ascii="Garamond" w:hAnsi="Garamond"/>
          <w:bCs/>
          <w:sz w:val="24"/>
          <w:szCs w:val="28"/>
        </w:rPr>
        <w:t>exploratory, longitudinal case study approach. This approach provides analysis of a business network context using a local agricultural business network in Northern Italy. Thus, our focus of analysis is the business network comprising SMEs engage in the Agric-value chains.</w:t>
      </w:r>
      <w:bookmarkEnd w:id="82"/>
      <w:bookmarkEnd w:id="83"/>
      <w:r w:rsidRPr="009672FC">
        <w:rPr>
          <w:rFonts w:ascii="Garamond" w:hAnsi="Garamond"/>
          <w:bCs/>
          <w:sz w:val="24"/>
          <w:szCs w:val="28"/>
        </w:rPr>
        <w:t xml:space="preserve"> </w:t>
      </w:r>
    </w:p>
    <w:p w14:paraId="6B32A170" w14:textId="7F2312C5" w:rsidR="003D5DE8" w:rsidRPr="009672FC" w:rsidRDefault="007549AA" w:rsidP="00CF726B">
      <w:pPr>
        <w:spacing w:before="240" w:line="360" w:lineRule="auto"/>
        <w:jc w:val="both"/>
        <w:rPr>
          <w:rFonts w:ascii="Garamond" w:hAnsi="Garamond"/>
        </w:rPr>
      </w:pPr>
      <w:r w:rsidRPr="009672FC">
        <w:rPr>
          <w:rFonts w:ascii="Garamond" w:hAnsi="Garamond"/>
        </w:rPr>
        <w:t xml:space="preserve">Organizing inter-firm coopetition project has the potential to strategically position Sparrow business network, promote the development of high relational capabilities of the network, to create and leverage opportunities for sustained network performance through which the collective interests of network firms, are systematically managed. Thus, organizing inter-firm projects could allow </w:t>
      </w:r>
      <w:r w:rsidR="00CF726B" w:rsidRPr="009672FC">
        <w:rPr>
          <w:rFonts w:ascii="Garamond" w:hAnsi="Garamond"/>
        </w:rPr>
        <w:t xml:space="preserve">the </w:t>
      </w:r>
      <w:r w:rsidRPr="009672FC">
        <w:rPr>
          <w:rFonts w:ascii="Garamond" w:hAnsi="Garamond"/>
        </w:rPr>
        <w:t xml:space="preserve">business network to develop and harness network relational capabilities </w:t>
      </w:r>
      <w:r w:rsidRPr="009672FC">
        <w:rPr>
          <w:rFonts w:ascii="Garamond" w:hAnsi="Garamond"/>
        </w:rPr>
        <w:fldChar w:fldCharType="begin" w:fldLock="1"/>
      </w:r>
      <w:r w:rsidRPr="009672FC">
        <w:rPr>
          <w:rFonts w:ascii="Garamond" w:hAnsi="Garamond"/>
        </w:rPr>
        <w:instrText>ADDIN CSL_CITATION {"citationItems":[{"id":"ITEM-1","itemData":{"DOI":"10.1108/14626001011041256","author":[{"dropping-particle":"","family":"Ngugi","given":"Isaac K","non-dropping-particle":"","parse-names":false,"suffix":""},{"dropping-particle":"","family":"Johnsen","given":"Rhona E","non-dropping-particle":"","parse-names":false,"suffix":""},{"dropping-particle":"","family":"Erde","given":"Peter","non-dropping-particle":"","parse-names":false,"suffix":""}],"container-title":"Journal of Small Business and Enterprise Development","id":"ITEM-1","issue":"2","issued":{"date-parts":[["2010"]]},"page":"260-278","title":"Relational capabilities for value co-creation and innovation in SMEs","type":"article-journal","volume":"17"},"uris":["http://www.mendeley.com/documents/?uuid=0dd3c9c1-3952-416f-b08a-19e2ce826b7c"]}],"mendeley":{"formattedCitation":"(Ngugi et al., 2010)","manualFormatting":"(","plainTextFormattedCitation":"(Ngugi et al., 2010)","previouslyFormattedCitation":"(Ngugi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{"citationItems":[{"id":"ITEM-1","itemData":{"author":[{"dropping-particle":"","family":"Barnir","given":"Anat","non-dropping-particle":"","parse-names":false,"suffix":""},{"dropping-particle":"","family":"Smith","given":"Ken a","non-dropping-particle":"","parse-names":false,"suffix":""}],"container-title":"Journal of Small Business Management","id":"ITEM-1","issue":"3","issued":{"date-parts":[["2002"]]},"page":"219-232","title":"Interfirm Alliances in the Small Business: TheRole ofSocial Networks*","type":"article-journal","volume":"40"},"uris":["http://www.mendeley.com/documents/?uuid=d5bc68f4-4e2f-4916-98f6-1424e16c11b0"]}],"mendeley":{"formattedCitation":"(Barnir &amp; Smith, 2002)","manualFormatting":"Gulati, 1998; Barnir and Smith, 2002; Ngugi, Johnsen and Erde, 2010)","plainTextFormattedCitation":"(Barnir &amp; Smith, 2002)","previouslyFormattedCitation":"(Barnir &amp; Smith,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{"citationItems":[{"id":"ITEM-1","itemData":{"abstract":"4","author":[{"dropping-particle":"","family":"Gulati","given":"R.","non-dropping-particle":"","parse-names":false,"suffix":""}],"container-title":"Strategic Management Journal","id":"ITEM-1","issued":{"date-parts":[["1998"]]},"page":"19","title":"Alliances and networks","type":"article-journal","volume":"19"},"uris":["http://www.mendeley.com/documents/?uuid=e5840332-f51c-4409-aea9-ed84981ed785"]}],"mendeley":{"formattedCitation":"(R. Gulati, 1998)","manualFormatting":"Gulati, 1998; Barnir and Smith, 2002; Ngugi, Johnsen and Erde, 2010)","plainTextFormattedCitation":"(R. Gulati, 1998)","previouslyFormattedCitation":"(R. Gulati, 1998)"},"properties":{"noteIndex":0},"schema":"https://github.com/citation-style-language/schema/raw/master/csl-citation.json"}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Gulati, 1998; Barnir and Smith, 2002; Ngugi, Johnsen and Erde, 2010)</w:t>
      </w:r>
      <w:r w:rsidRPr="009672FC">
        <w:rPr>
          <w:rFonts w:ascii="Garamond" w:hAnsi="Garamond"/>
          <w:noProof/>
        </w:rPr>
        <w:fldChar w:fldCharType="end"/>
      </w:r>
      <w:r w:rsidRPr="009672FC">
        <w:rPr>
          <w:rFonts w:ascii="Garamond" w:hAnsi="Garamond"/>
        </w:rPr>
        <w:fldChar w:fldCharType="end"/>
      </w:r>
      <w:r w:rsidRPr="009672FC">
        <w:rPr>
          <w:rFonts w:ascii="Garamond" w:hAnsi="Garamond"/>
        </w:rPr>
        <w:t>, promoting network</w:t>
      </w:r>
      <w:r w:rsidR="00CF726B" w:rsidRPr="009672FC">
        <w:rPr>
          <w:rFonts w:ascii="Garamond" w:hAnsi="Garamond"/>
        </w:rPr>
        <w:t xml:space="preserve"> firms</w:t>
      </w:r>
      <w:r w:rsidRPr="009672FC">
        <w:rPr>
          <w:rFonts w:ascii="Garamond" w:hAnsi="Garamond"/>
        </w:rPr>
        <w:t xml:space="preserve"> relationships, improving coordination quality </w:t>
      </w:r>
      <w:r w:rsidRPr="009672FC">
        <w:rPr>
          <w:rFonts w:ascii="Garamond" w:hAnsi="Garamond"/>
        </w:rPr>
        <w:fldChar w:fldCharType="begin" w:fldLock="1"/>
      </w:r>
      <w:r w:rsidR="00813D37" w:rsidRPr="009672FC">
        <w:rPr>
          <w:rFonts w:ascii="Garamond" w:hAnsi="Garamond"/>
        </w:rPr>
        <w:instrText>ADDIN CSL_CITATION {"citationItems":[{"id":"ITEM-1","itemData":{"author":[{"dropping-particle":"","family":"Ireland","given":"R Duane","non-dropping-particle":"","parse-names":false,"suffix":""},{"dropping-particle":"","family":"Hitt","given":"Michael A","non-dropping-particle":"","parse-names":false,"suffix":""},{"dropping-particle":"","family":"Vaidyanath","given":"Deepa","non-dropping-particle":"","parse-names":false,"suffix":""}],"container-title":"Journal of Management","id":"ITEM-1","issue":"3","issued":{"date-parts":[["2002"]]},"page":"413-446","title":"Alliance Management as a Source of Competitive Advantage","type":"article-journal","volume":"28"},"uris":["http://www.mendeley.com/documents/?uuid=ab13b794-31ab-4423-8d4d-4dc8642af7aa"]}],"mendeley":{"formattedCitation":"(Ireland, Hitt, &amp; Vaidyanath, 2002)","plainTextFormattedCitation":"(Ireland, Hitt, &amp; Vaidyanath, 2002)","previouslyFormattedCitation":"(Ireland et al., 2002)"},"properties":{"noteIndex":0},"schema":"https://github.com/citation-style-language/schema/raw/master/csl-citation.json"}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(Ireland, Hitt, &amp; Vaidyanath, 2002)</w:t>
      </w:r>
      <w:r w:rsidRPr="009672FC">
        <w:rPr>
          <w:rFonts w:ascii="Garamond" w:hAnsi="Garamond"/>
        </w:rPr>
        <w:fldChar w:fldCharType="end"/>
      </w:r>
      <w:r w:rsidRPr="009672FC">
        <w:rPr>
          <w:rFonts w:ascii="Garamond" w:hAnsi="Garamond"/>
        </w:rPr>
        <w:t xml:space="preserve">, and creating market </w:t>
      </w:r>
      <w:r w:rsidRPr="009672FC">
        <w:rPr>
          <w:rFonts w:ascii="Garamond" w:hAnsi="Garamond"/>
        </w:rPr>
        <w:lastRenderedPageBreak/>
        <w:t xml:space="preserve">opportunities for increased alliance performance </w:t>
      </w:r>
      <w:r w:rsidRPr="009672FC">
        <w:rPr>
          <w:rFonts w:ascii="Garamond" w:hAnsi="Garamond"/>
        </w:rPr>
        <w:fldChar w:fldCharType="begin" w:fldLock="1"/>
      </w:r>
      <w:r w:rsidRPr="009672FC">
        <w:rPr>
          <w:rFonts w:ascii="Garamond" w:hAnsi="Garamond"/>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Paris-dauphine and Pezet, 2016; Dyer, Singh and Hesterly, 2018)","plainTextFormattedCitation":"(Donada et al., 2016)","previouslyFormattedCitation":"(Donada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(Donada, Paris-dauphine and Pezet, 2016; </w:t>
      </w:r>
      <w:r w:rsidRPr="009672FC">
        <w:rPr>
          <w:rFonts w:ascii="Garamond" w:hAnsi="Garamond"/>
          <w:noProof/>
        </w:rPr>
        <w:fldChar w:fldCharType="begin" w:fldLock="1"/>
      </w:r>
      <w:r w:rsidRPr="009672FC">
        <w:rPr>
          <w:rFonts w:ascii="Garamond" w:hAnsi="Garamond"/>
          <w:noProof/>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et al., 2018)","manualFormatting":"Dyer, Singh and Hesterly, 2018","plainTextFormattedCitation":"(Dyer et al., 2018)","previouslyFormattedCitation":"(Dyer et al., 2018)"},"properties":{"noteIndex":0},"schema":"https://github.com/citation-style-language/schema/raw/master/csl-citation.json"}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Dyer, Singh and Hesterly, 2018</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xml:space="preserve">. Since the success of </w:t>
      </w:r>
      <w:r w:rsidR="00CF726B" w:rsidRPr="009672FC">
        <w:rPr>
          <w:rFonts w:ascii="Garamond" w:hAnsi="Garamond"/>
        </w:rPr>
        <w:t xml:space="preserve">a </w:t>
      </w:r>
      <w:r w:rsidRPr="009672FC">
        <w:rPr>
          <w:rFonts w:ascii="Garamond" w:hAnsi="Garamond"/>
        </w:rPr>
        <w:t xml:space="preserve">collaborative network project is inextricably linked to member firms’ performance, the competitiveness of the network may translate into the sustained competitiveness of </w:t>
      </w:r>
      <w:r w:rsidR="00CF726B" w:rsidRPr="009672FC">
        <w:rPr>
          <w:rFonts w:ascii="Garamond" w:hAnsi="Garamond"/>
        </w:rPr>
        <w:t xml:space="preserve">the </w:t>
      </w:r>
      <w:r w:rsidRPr="009672FC">
        <w:rPr>
          <w:rFonts w:ascii="Garamond" w:hAnsi="Garamond"/>
        </w:rPr>
        <w:t xml:space="preserve">network company. Consequently, we address these issues in the current research. </w:t>
      </w:r>
    </w:p>
    <w:p w14:paraId="10682A8B" w14:textId="1622B646" w:rsidR="003D5DE8" w:rsidRPr="009672FC" w:rsidRDefault="007549AA" w:rsidP="00CF726B">
      <w:pPr>
        <w:spacing w:before="240" w:line="360" w:lineRule="auto"/>
        <w:jc w:val="both"/>
        <w:rPr>
          <w:rFonts w:ascii="Garamond" w:hAnsi="Garamond"/>
        </w:rPr>
      </w:pPr>
      <w:r w:rsidRPr="009672FC">
        <w:rPr>
          <w:rFonts w:ascii="Garamond" w:hAnsi="Garamond"/>
        </w:rPr>
        <w:t>The findings show nine antecedents enabling organizing inter-firm engagement in a network context: friendship, institutional arrangements, participatory culture, homophily, flexibility, coordination and control, communication/information flows, trust</w:t>
      </w:r>
      <w:r w:rsidR="00CF726B" w:rsidRPr="009672FC">
        <w:rPr>
          <w:rFonts w:ascii="Garamond" w:hAnsi="Garamond"/>
        </w:rPr>
        <w:t>-</w:t>
      </w:r>
      <w:r w:rsidRPr="009672FC">
        <w:rPr>
          <w:rFonts w:ascii="Garamond" w:hAnsi="Garamond"/>
        </w:rPr>
        <w:t>building, and managing change/adaptability; categorized according</w:t>
      </w:r>
      <w:r w:rsidRPr="009672FC">
        <w:rPr>
          <w:rFonts w:ascii="Garamond" w:hAnsi="Garamond"/>
          <w:i/>
          <w:iCs/>
        </w:rPr>
        <w:t xml:space="preserve"> </w:t>
      </w:r>
      <w:r w:rsidRPr="009672FC">
        <w:rPr>
          <w:rFonts w:ascii="Garamond" w:hAnsi="Garamond"/>
        </w:rPr>
        <w:t xml:space="preserve">to three organizing solutions: value-based, governance-based, and dynamism-based solutions providing fresh insights into how a network organizes inter-firm engagements, aimed at developing network relational dynamic capabilities. These findings show that strategic organizing of inter-firm coopetition projects enables the development of network relational capabilities. The finding also suggests that unless the network appropriately organizes various elements that characterize collaborative projects, issues concerning misappropriation, poor participation, reluctance to change, and lack of trust, could overshadow network relational performance. </w:t>
      </w:r>
    </w:p>
    <w:p w14:paraId="1209868B" w14:textId="530B551A" w:rsidR="003D5DE8" w:rsidRPr="009672FC" w:rsidRDefault="007549AA">
      <w:pPr>
        <w:pStyle w:val="MDPI18keywords"/>
        <w:spacing w:line="360" w:lineRule="auto"/>
        <w:ind w:left="0"/>
        <w:rPr>
          <w:rFonts w:ascii="Garamond" w:hAnsi="Garamond"/>
          <w:sz w:val="24"/>
          <w:szCs w:val="24"/>
        </w:rPr>
      </w:pPr>
      <w:r w:rsidRPr="009672FC">
        <w:rPr>
          <w:rFonts w:ascii="Garamond" w:hAnsi="Garamond"/>
          <w:sz w:val="24"/>
          <w:szCs w:val="24"/>
        </w:rPr>
        <w:t xml:space="preserve">The rest of this article is organized accordingly. The first section is the brief introduction, as highlighted above, followed by the theoretical background on inter-organizational collaboration. The second section discusses the research methodology of the study. </w:t>
      </w:r>
      <w:r w:rsidR="00CF726B" w:rsidRPr="009672FC">
        <w:rPr>
          <w:rFonts w:ascii="Garamond" w:hAnsi="Garamond"/>
          <w:sz w:val="24"/>
          <w:szCs w:val="24"/>
        </w:rPr>
        <w:t>The d</w:t>
      </w:r>
      <w:r w:rsidRPr="009672FC">
        <w:rPr>
          <w:rFonts w:ascii="Garamond" w:hAnsi="Garamond"/>
          <w:sz w:val="24"/>
          <w:szCs w:val="24"/>
        </w:rPr>
        <w:t xml:space="preserve">ata analysis section is the third section that discusses the empirical data of the study following an exploratory case approach. In section four, we explicate the role of engagement literature with relational dynamic capabilities in a network context. The final part is the limitation and conclusion of the study. </w:t>
      </w:r>
      <w:r w:rsidR="00CF726B" w:rsidRPr="009672FC">
        <w:rPr>
          <w:rFonts w:ascii="Garamond" w:hAnsi="Garamond"/>
          <w:sz w:val="24"/>
          <w:szCs w:val="24"/>
        </w:rPr>
        <w:t>The a</w:t>
      </w:r>
      <w:r w:rsidRPr="009672FC">
        <w:rPr>
          <w:rFonts w:ascii="Garamond" w:hAnsi="Garamond"/>
          <w:sz w:val="24"/>
          <w:szCs w:val="24"/>
        </w:rPr>
        <w:t>genda for future studies is however discussed.</w:t>
      </w:r>
    </w:p>
    <w:p w14:paraId="127B32D4" w14:textId="088FD19A" w:rsidR="003D5DE8" w:rsidRPr="009672FC" w:rsidRDefault="007549AA">
      <w:pPr>
        <w:pStyle w:val="MDPI18keywords"/>
        <w:numPr>
          <w:ilvl w:val="1"/>
          <w:numId w:val="9"/>
        </w:numPr>
        <w:spacing w:line="360" w:lineRule="auto"/>
        <w:outlineLvl w:val="1"/>
        <w:rPr>
          <w:rFonts w:ascii="Garamond" w:hAnsi="Garamond"/>
          <w:sz w:val="24"/>
          <w:szCs w:val="24"/>
        </w:rPr>
      </w:pPr>
      <w:r w:rsidRPr="009672FC">
        <w:rPr>
          <w:rFonts w:ascii="Garamond" w:hAnsi="Garamond"/>
          <w:b/>
          <w:bCs/>
          <w:sz w:val="24"/>
          <w:szCs w:val="24"/>
        </w:rPr>
        <w:t xml:space="preserve"> </w:t>
      </w:r>
      <w:bookmarkStart w:id="84" w:name="_Toc85708723"/>
      <w:bookmarkStart w:id="85" w:name="_Toc85709737"/>
      <w:r w:rsidRPr="009672FC">
        <w:rPr>
          <w:rFonts w:ascii="Garamond" w:hAnsi="Garamond"/>
          <w:b/>
          <w:bCs/>
          <w:sz w:val="24"/>
          <w:szCs w:val="24"/>
        </w:rPr>
        <w:t>Conceptual Background</w:t>
      </w:r>
      <w:bookmarkEnd w:id="84"/>
      <w:bookmarkEnd w:id="85"/>
    </w:p>
    <w:p w14:paraId="1B59A890" w14:textId="572777F6" w:rsidR="003D5DE8" w:rsidRPr="009672FC" w:rsidRDefault="007549AA" w:rsidP="002E3C69">
      <w:pPr>
        <w:pStyle w:val="MDPI18keywords"/>
        <w:numPr>
          <w:ilvl w:val="2"/>
          <w:numId w:val="9"/>
        </w:numPr>
        <w:spacing w:before="0" w:line="360" w:lineRule="auto"/>
        <w:outlineLvl w:val="2"/>
        <w:rPr>
          <w:rFonts w:ascii="Garamond" w:hAnsi="Garamond"/>
          <w:b/>
          <w:bCs/>
          <w:i/>
          <w:iCs/>
          <w:sz w:val="24"/>
          <w:szCs w:val="24"/>
        </w:rPr>
      </w:pPr>
      <w:bookmarkStart w:id="86" w:name="_Toc85708724"/>
      <w:bookmarkStart w:id="87" w:name="_Toc85709738"/>
      <w:r w:rsidRPr="009672FC">
        <w:rPr>
          <w:rFonts w:ascii="Garamond" w:hAnsi="Garamond"/>
          <w:b/>
          <w:bCs/>
          <w:i/>
          <w:iCs/>
          <w:sz w:val="24"/>
          <w:szCs w:val="24"/>
        </w:rPr>
        <w:t>Inter-Firm Engagement, Collaborative Practices, and Business Network Performance</w:t>
      </w:r>
      <w:bookmarkEnd w:id="86"/>
      <w:bookmarkEnd w:id="87"/>
    </w:p>
    <w:p w14:paraId="59A462F8" w14:textId="4A4E681B" w:rsidR="003D5DE8" w:rsidRPr="009672FC" w:rsidRDefault="007549AA" w:rsidP="002E3C69">
      <w:pPr>
        <w:pStyle w:val="MDPI18keywords"/>
        <w:spacing w:before="0" w:line="360" w:lineRule="auto"/>
        <w:ind w:left="0"/>
        <w:rPr>
          <w:rFonts w:ascii="Garamond" w:hAnsi="Garamond"/>
          <w:sz w:val="24"/>
          <w:szCs w:val="24"/>
          <w:lang w:val="it-IT"/>
        </w:rPr>
      </w:pPr>
      <w:r w:rsidRPr="009672FC">
        <w:rPr>
          <w:rFonts w:ascii="Garamond" w:hAnsi="Garamond"/>
          <w:sz w:val="24"/>
          <w:szCs w:val="24"/>
        </w:rPr>
        <w:t xml:space="preserve">Studies on stakeholder engagement in the context of co-creation have been mainly dominant in </w:t>
      </w:r>
      <w:r w:rsidR="00CF726B" w:rsidRPr="009672FC">
        <w:rPr>
          <w:rFonts w:ascii="Garamond" w:hAnsi="Garamond"/>
          <w:sz w:val="24"/>
          <w:szCs w:val="24"/>
        </w:rPr>
        <w:t xml:space="preserve">the </w:t>
      </w:r>
      <w:r w:rsidRPr="009672FC">
        <w:rPr>
          <w:rFonts w:ascii="Garamond" w:hAnsi="Garamond"/>
          <w:sz w:val="24"/>
          <w:szCs w:val="24"/>
        </w:rPr>
        <w:t>service marketing domain involving customer-firm relationship</w:t>
      </w:r>
      <w:r w:rsidR="00CF726B" w:rsidRPr="009672FC">
        <w:rPr>
          <w:rFonts w:ascii="Garamond" w:hAnsi="Garamond"/>
          <w:sz w:val="24"/>
          <w:szCs w:val="24"/>
        </w:rPr>
        <w:t>s</w:t>
      </w:r>
      <w:r w:rsidRPr="009672FC">
        <w:rPr>
          <w:rFonts w:ascii="Garamond" w:hAnsi="Garamond"/>
          <w:sz w:val="24"/>
          <w:szCs w:val="24"/>
        </w:rPr>
        <w:t xml:space="preserve"> (e.g. </w:t>
      </w:r>
      <w:r w:rsidRPr="009672FC">
        <w:rPr>
          <w:rFonts w:ascii="Garamond" w:hAnsi="Garamond"/>
          <w:sz w:val="24"/>
          <w:szCs w:val="24"/>
          <w:lang w:val="it-IT"/>
        </w:rPr>
        <w:t xml:space="preserve">Vargo and Lusch, 2004; </w:t>
      </w:r>
      <w:r w:rsidRPr="009672FC">
        <w:rPr>
          <w:rFonts w:ascii="Garamond" w:hAnsi="Garamond"/>
          <w:sz w:val="20"/>
        </w:rPr>
        <w:fldChar w:fldCharType="begin" w:fldLock="1"/>
      </w:r>
      <w:r w:rsidR="00813D37" w:rsidRPr="009672FC">
        <w:rPr>
          <w:rFonts w:ascii="Garamond" w:hAnsi="Garamond"/>
          <w:sz w:val="24"/>
          <w:szCs w:val="24"/>
          <w:lang w:val="it-IT"/>
        </w:rPr>
        <w:instrText>ADDIN CSL_CITATION {"citationItems":[{"id":"ITEM-1","itemData":{"DOI":"10.1177/1094670513494015","ISSN":"10946705","abstract":"Firms striving for long-term profitability need to build stronger customer-firm relationships by getting their customers more engaged with the firm. One path to this end is introducing practices to manage different forms of customer engagement behaviors (CEBs). To develop more effective and efficient CEB management practices, this research proposes and empirically tests a theoretical model on managerial and psychological processes to encourage CEBs that are embedded in a broader network of customers and stakeholders. Based on qualitative and quantitative studies in nursing homes, we demonstrate that organizational support and overall service quality toward significant others influence some forms of CEBs-more particularly feedback and positive word of mouth (WOM) behaviors-through customer affect toward the organization. It is interesting to note that customer affect toward the organization encourages WOM behaviors, while it discourages feedback behaviors. Conversely, managerial processes that increase customer role readiness-such as organizational socialization and support from other customers-were found to have a positive impact on all forms of CEBs. This research helps managers of nursing homes and other services with a broad network of customers and stakeholders to improve existing CEB management practices and develop new CEB management practices that are beneficial for the firm and its stakeholders. © The Author(s) 2013.","author":[{"dropping-particle":"","family":"Verleye","given":"Katrien","non-dropping-particle":"","parse-names":false,"suffix":""},{"dropping-particle":"","family":"Gemmel","given":"Paul","non-dropping-particle":"","parse-names":false,"suffix":""},{"dropping-particle":"","family":"Rangarajan","given":"Deva","non-dropping-particle":"","parse-names":false,"suffix":""}],"container-title":"Journal of Service Research","id":"ITEM-1","issue":"1","issued":{"date-parts":[["2014"]]},"page":"68-84","title":"Managing Engagement Behaviors in a Network of Customers and Stakeholders: Evidence From the Nursing Home Sector","type":"article-journal","volume":"17"},"uris":["http://www.mendeley.com/documents/?uuid=c7d3f7b0-11ee-4e8b-9012-bf569cc79c1b"]}],"mendeley":{"formattedCitation":"(Verleye, Gemmel, &amp; Rangarajan, 2014)","manualFormatting":"Verleye et al., 2014","plainTextFormattedCitation":"(Verleye, Gemmel, &amp; Rangarajan, 2014)","previouslyFormattedCitation":"(Verleye et al., 2014)"},"properties":{"noteIndex":0},"schema":"https://github.com/citation-style-language/schema/raw/master/csl-citation.json"}</w:instrText>
      </w:r>
      <w:r w:rsidRPr="009672FC">
        <w:rPr>
          <w:rFonts w:ascii="Garamond" w:hAnsi="Garamond"/>
          <w:sz w:val="24"/>
          <w:szCs w:val="24"/>
          <w:lang w:val="it-IT"/>
        </w:rPr>
        <w:fldChar w:fldCharType="separate"/>
      </w:r>
      <w:r w:rsidRPr="009672FC">
        <w:rPr>
          <w:rFonts w:ascii="Garamond" w:hAnsi="Garamond"/>
          <w:noProof/>
          <w:sz w:val="24"/>
          <w:szCs w:val="24"/>
          <w:lang w:val="it-IT"/>
        </w:rPr>
        <w:t>Verleye et al., 2014</w:t>
      </w:r>
      <w:r w:rsidRPr="009672FC">
        <w:rPr>
          <w:rFonts w:ascii="Garamond" w:hAnsi="Garamond"/>
          <w:sz w:val="24"/>
          <w:szCs w:val="24"/>
          <w:lang w:val="it-IT"/>
        </w:rPr>
        <w:fldChar w:fldCharType="end"/>
      </w:r>
      <w:r w:rsidRPr="009672FC">
        <w:rPr>
          <w:rFonts w:ascii="Garamond" w:hAnsi="Garamond"/>
          <w:sz w:val="24"/>
          <w:szCs w:val="24"/>
          <w:lang w:val="it-IT"/>
        </w:rPr>
        <w:t xml:space="preserve">; </w:t>
      </w:r>
      <w:r w:rsidRPr="009672FC">
        <w:rPr>
          <w:rFonts w:ascii="Garamond" w:hAnsi="Garamond"/>
          <w:sz w:val="20"/>
        </w:rPr>
        <w:fldChar w:fldCharType="begin" w:fldLock="1"/>
      </w:r>
      <w:r w:rsidRPr="009672FC">
        <w:rPr>
          <w:rFonts w:ascii="Garamond" w:hAnsi="Garamond"/>
          <w:sz w:val="24"/>
          <w:szCs w:val="24"/>
          <w:lang w:val="it-IT"/>
        </w:rPr>
        <w:instrText>ADDIN CSL_CITATION {"citationItems":[{"id":"ITEM-1","itemData":{"DOI":"10.1509/jmr.15.0044","ISSN":"00222437","abstract":"The authors highlight the need for and develop a framework for engagement by reviewing the relevant literature and analyzing popular- press articles. They discuss the definitions of the focal constructs-customer engagement (CE) and employee engagement (EE)in the engagement framework, capture these constructs' multidimensional, and develop and refine items for measuring CE and EE. They validate the proposed framework with data from 120 companies over two time periods, and they develop strategies to help firms raise their levels of CE and EE to improve performance. They also observe that the influence of EE on CE is moderated by employee empowerment, type of firm (business-to- business [B2B] vs. business-to-consumer [B2C]), and nature of industry (manufacturing vs. service); in particular, this effect is stronger for B2B (vs. B2C) firms and sen/ice (vs. manufacturing) firms. The authors find that although both CE and EE positively influence firm performance, the effect of CE on firm performance is stronger. Furthermore, the effect of CE and EE on performance is enhanced for B2B (vs. B2C) and for service (vs. manufacturing) firms.","author":[{"dropping-particle":"","family":"Kumar","given":"V.","non-dropping-particle":"","parse-names":false,"suffix":""},{"dropping-particle":"","family":"Pansari","given":"Anita","non-dropping-particle":"","parse-names":false,"suffix":""}],"container-title":"Journal of Marketing Research","id":"ITEM-1","issue":"4","issued":{"date-parts":[["2016"]]},"page":"497-514","title":"Competitive advantage through engagement","type":"article-journal","volume":"53"},"uris":["http://www.mendeley.com/documents/?uuid=30b10779-ec0f-466f-86be-4a4f7665f9ec"]}],"mendeley":{"formattedCitation":"(V. Kumar &amp; Pansari, 2016)","manualFormatting":"Kumar and Pansari, 2016)","plainTextFormattedCitation":"(V. Kumar &amp; Pansari, 2016)","previouslyFormattedCitation":"(V. Kumar &amp; Pansari, 2016)"},"properties":{"noteIndex":0},"schema":"https://github.com/citation-style-language/schema/raw/master/csl-citation.json"}</w:instrText>
      </w:r>
      <w:r w:rsidRPr="009672FC">
        <w:rPr>
          <w:rFonts w:ascii="Garamond" w:hAnsi="Garamond"/>
          <w:sz w:val="24"/>
          <w:szCs w:val="24"/>
          <w:lang w:val="it-IT"/>
        </w:rPr>
        <w:fldChar w:fldCharType="separate"/>
      </w:r>
      <w:r w:rsidRPr="009672FC">
        <w:rPr>
          <w:rFonts w:ascii="Garamond" w:hAnsi="Garamond"/>
          <w:noProof/>
          <w:sz w:val="24"/>
          <w:szCs w:val="24"/>
          <w:lang w:val="it-IT"/>
        </w:rPr>
        <w:t>Kumar and Pansari, 2016)</w:t>
      </w:r>
      <w:r w:rsidRPr="009672FC">
        <w:rPr>
          <w:rFonts w:ascii="Garamond" w:hAnsi="Garamond"/>
          <w:sz w:val="24"/>
          <w:szCs w:val="24"/>
          <w:lang w:val="it-IT"/>
        </w:rPr>
        <w:fldChar w:fldCharType="end"/>
      </w:r>
      <w:r w:rsidRPr="009672FC">
        <w:rPr>
          <w:rFonts w:ascii="Garamond" w:hAnsi="Garamond"/>
          <w:sz w:val="24"/>
          <w:szCs w:val="24"/>
          <w:lang w:val="it-IT"/>
        </w:rPr>
        <w:t xml:space="preserve">. </w:t>
      </w:r>
      <w:r w:rsidR="00CF726B" w:rsidRPr="009672FC">
        <w:rPr>
          <w:rFonts w:ascii="Garamond" w:hAnsi="Garamond"/>
          <w:sz w:val="24"/>
          <w:szCs w:val="24"/>
          <w:lang w:val="it-IT"/>
        </w:rPr>
        <w:t>From</w:t>
      </w:r>
      <w:r w:rsidRPr="009672FC">
        <w:rPr>
          <w:rFonts w:ascii="Garamond" w:hAnsi="Garamond"/>
          <w:sz w:val="24"/>
          <w:szCs w:val="24"/>
          <w:lang w:val="it-IT"/>
        </w:rPr>
        <w:t xml:space="preserve"> individual customers to groups of firms, </w:t>
      </w:r>
      <w:r w:rsidRPr="009672FC">
        <w:rPr>
          <w:rFonts w:ascii="Garamond" w:hAnsi="Garamond"/>
          <w:sz w:val="24"/>
          <w:szCs w:val="24"/>
          <w:lang w:val="it-IT"/>
        </w:rPr>
        <w:lastRenderedPageBreak/>
        <w:t xml:space="preserve">recent scholars are calling for the examination of multiple stakeholder engagement of firms in value co-creating environment </w:t>
      </w:r>
      <w:r w:rsidRPr="009672FC">
        <w:rPr>
          <w:rFonts w:ascii="Garamond" w:hAnsi="Garamond"/>
          <w:sz w:val="20"/>
        </w:rPr>
        <w:fldChar w:fldCharType="begin" w:fldLock="1"/>
      </w:r>
      <w:r w:rsidR="00813D37" w:rsidRPr="009672FC">
        <w:rPr>
          <w:rFonts w:ascii="Garamond" w:hAnsi="Garamond"/>
          <w:sz w:val="24"/>
          <w:szCs w:val="24"/>
          <w:lang w:val="it-IT"/>
        </w:rPr>
        <w:instrText>ADDIN CSL_CITATION {"citationItems":[{"id":"ITEM-1","itemData":{"ISSN":"00198501","abstract":"Customer engagement has emerged as a central concept in marketing. Despite extensive scholarly investigations and managerial interest though, considerations of customer engagement and emotional connections in business marketing have been scant. Researchers tend to focus on individual-level engagement, which is conceptually inadequate to address the inherently multi-actor nature of business-to-business marketing. Therefore, this article introduces the concept of collective engagement, highlighting both its characteristics and the conditions for its emergence. The resulting theoretical framework, with ten propositions, outlines the multidimensional nature of collective engagement, including its multiplicative aggregation, multidirectional valence, phenomenological and shared properties, emotional and institutional interdependence, and emergence in dynamic and multichannel settings. Collective engagement also offers a mechanism for considering emotions in business marketing, a topic that thus far has been largely ignored by the prevalent rational choice paradigm. Thus, this article contributes a systematic, coherent conceptualization of collective engagement and advances the theoretical domains of customer and actor engagement in particular and business-to-business research in general, while also suggesting a detailed research agenda.","author":[{"dropping-particle":"","family":"Kleinaltenkamp","given":"Michael","non-dropping-particle":"","parse-names":false,"suffix":""},{"dropping-particle":"","family":"Karpen","given":"Ingo O.","non-dropping-particle":"","parse-names":false,"suffix":""},{"dropping-particle":"","family":"Plewa","given":"Carolin","non-dropping-particle":"","parse-names":false,"suffix":""},{"dropping-particle":"","family":"Jaakkola","given":"E.","non-dropping-particle":"","parse-names":false,"suffix":""},{"dropping-particle":"","family":"Conduit","given":"J.","non-dropping-particle":"","parse-names":false,"suffix":""}],"container-title":"Industrial Marketing Management","id":"ITEM-1","issued":{"date-parts":[["2019"]]},"page":"11-23","publisher":"Elsevier","title":"Collective engagement in organizational settings","type":"article-journal","volume":"80"},"uris":["http://www.mendeley.com/documents/?uuid=189a4739-9ed7-4c52-805a-c4839308470e"]}],"mendeley":{"formattedCitation":"(Kleinaltenkamp, Karpen, Plewa, Jaakkola, &amp; Conduit, 2019)","manualFormatting":"(e.g. Jonas et al., 2018; Alexander, Jaakkola and Hollebeek, 2018; Kleinaltenkamp et al., 2019","plainTextFormattedCitation":"(Kleinaltenkamp, Karpen, Plewa, Jaakkola, &amp; Conduit, 2019)","previouslyFormattedCitation":"(Kleinaltenkamp et al., 2019)"},"properties":{"noteIndex":0},"schema":"https://github.com/citation-style-language/schema/raw/master/csl-citation.json"}</w:instrText>
      </w:r>
      <w:r w:rsidRPr="009672FC">
        <w:rPr>
          <w:rFonts w:ascii="Garamond" w:hAnsi="Garamond"/>
          <w:sz w:val="24"/>
          <w:szCs w:val="24"/>
          <w:lang w:val="it-IT"/>
        </w:rPr>
        <w:fldChar w:fldCharType="separate"/>
      </w:r>
      <w:r w:rsidRPr="009672FC">
        <w:rPr>
          <w:rFonts w:ascii="Garamond" w:hAnsi="Garamond"/>
          <w:noProof/>
          <w:sz w:val="24"/>
          <w:szCs w:val="24"/>
        </w:rPr>
        <w:t xml:space="preserve">(e.g. </w:t>
      </w:r>
      <w:r w:rsidRPr="009672FC">
        <w:rPr>
          <w:rFonts w:ascii="Garamond" w:hAnsi="Garamond"/>
          <w:noProof/>
          <w:sz w:val="20"/>
        </w:rPr>
        <w:fldChar w:fldCharType="begin" w:fldLock="1"/>
      </w:r>
      <w:r w:rsidR="00813D37" w:rsidRPr="009672FC">
        <w:rPr>
          <w:rFonts w:ascii="Garamond" w:hAnsi="Garamond"/>
          <w:noProof/>
          <w:sz w:val="24"/>
          <w:szCs w:val="24"/>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Boha, Sörhammar, &amp; Moeslein, 2018)","manualFormatting":"Jonas et al., 2018;","plainTextFormattedCitation":"(Jonas, Boha, Sörhammar, &amp; Moeslein, 2018)","previouslyFormattedCitation":"(Jonas et al., 2018)"},"properties":{"noteIndex":0},"schema":"https://github.com/citation-style-language/schema/raw/master/csl-citation.json"}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Jonas et al., 2018;</w:t>
      </w:r>
      <w:r w:rsidRPr="009672FC">
        <w:rPr>
          <w:rFonts w:ascii="Garamond" w:hAnsi="Garamond"/>
          <w:noProof/>
          <w:sz w:val="24"/>
          <w:szCs w:val="24"/>
        </w:rPr>
        <w:fldChar w:fldCharType="end"/>
      </w:r>
      <w:r w:rsidRPr="009672FC">
        <w:rPr>
          <w:rFonts w:ascii="Garamond" w:hAnsi="Garamond"/>
          <w:noProof/>
          <w:sz w:val="24"/>
          <w:szCs w:val="24"/>
        </w:rPr>
        <w:t xml:space="preserve"> </w:t>
      </w:r>
      <w:r w:rsidRPr="009672FC">
        <w:rPr>
          <w:rFonts w:ascii="Garamond" w:hAnsi="Garamond"/>
          <w:noProof/>
          <w:sz w:val="20"/>
        </w:rPr>
        <w:fldChar w:fldCharType="begin" w:fldLock="1"/>
      </w:r>
      <w:r w:rsidR="00813D37" w:rsidRPr="009672FC">
        <w:rPr>
          <w:rFonts w:ascii="Garamond" w:hAnsi="Garamond"/>
          <w:noProof/>
          <w:sz w:val="24"/>
          <w:szCs w:val="24"/>
        </w:rPr>
        <w:instrText>ADDIN CSL_CITATION {"citationItems":[{"id":"ITEM-1","itemData":{"DOI":"10.1108/JOSM-08-2016-0237","ISBN":"0820160237","ISSN":"17575818","abstract":"Purpose: The purpose of this paper is to broaden extant understanding of actor engagement behavior beyond its currently dominant dyadic (micro-level) focus, by examining it from multiple levels of aggregation within a service ecosystem framework. Design/methodology/approach: This conceptual paper draws on service-dominant logic and structuration theory as theoretical lenses to inform engagement research. Findings: By means of a stepwise exercise of “zooming out,” the paper introduces a multi-perspective (micro-, meso-, macro- and meta-level) view of actor engagement that develops understanding of multiple engagement contexts, and suggests that balancing multiple roles may result in actor disengagement behavior. The role of reference groups and role conflict associated with balancing multiple roles is critical to understanding why engaged actor proclivities may wax and wane between contexts. Research limitations/implications: The paper offers a set of five propositions that can be utilized by engagement scholars undertaking further research in this area. Practical implications: Firms need to understand the values and norms embedded in diverse engagement contexts which can affect actor groups’ needs and motivations. Firms should develop appropriate organizational mechanisms to facilitate (rather than impede or obstruct) the desired behaviors of engaged actors. Originality/value: The broader context within which engaged actors operate, and its effects on engagement, has been largely overlooked to date. By broadening the analytical perspective on engagement beyond the dyadic this paper reveals previously unaddressed aspects of this phenomenon, such as the role of disengagement behavior, and the effects of multiple engagement contexts on actors’ future behaviors.","author":[{"dropping-particle":"","family":"Alexander","given":"Matthew J.","non-dropping-particle":"","parse-names":false,"suffix":""},{"dropping-particle":"","family":"Jaakkola","given":"Elina","non-dropping-particle":"","parse-names":false,"suffix":""},{"dropping-particle":"","family":"Hollebeek","given":"Linda D.","non-dropping-particle":"","parse-names":false,"suffix":""}],"container-title":"Journal of Service Management","id":"ITEM-1","issue":"3","issued":{"date-parts":[["2018"]]},"page":"333-351","title":"Zooming out: actor engagement beyond the dyadic","type":"article-journal","volume":"29"},"uris":["http://www.mendeley.com/documents/?uuid=25ad1338-5135-4977-b9ba-180b7da3a6b8"]}],"mendeley":{"formattedCitation":"(Alexander, Jaakkola, &amp; Hollebeek, 2018)","manualFormatting":"Alexander, Jaakkola and Hollebeek, 2018;","plainTextFormattedCitation":"(Alexander, Jaakkola, &amp; Hollebeek, 2018)","previouslyFormattedCitation":"(Alexander et al., 2018)"},"properties":{"noteIndex":0},"schema":"https://github.com/citation-style-language/schema/raw/master/csl-citation.json"}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Alexander, Jaakkola and Hollebeek, 2018;</w:t>
      </w:r>
      <w:r w:rsidRPr="009672FC">
        <w:rPr>
          <w:rFonts w:ascii="Garamond" w:hAnsi="Garamond"/>
          <w:noProof/>
          <w:sz w:val="24"/>
          <w:szCs w:val="24"/>
        </w:rPr>
        <w:fldChar w:fldCharType="end"/>
      </w:r>
      <w:r w:rsidRPr="009672FC">
        <w:rPr>
          <w:rFonts w:ascii="Garamond" w:hAnsi="Garamond"/>
          <w:noProof/>
          <w:sz w:val="24"/>
          <w:szCs w:val="24"/>
        </w:rPr>
        <w:t xml:space="preserve"> Kleinaltenkamp et al., 2019</w:t>
      </w:r>
      <w:r w:rsidRPr="009672FC">
        <w:rPr>
          <w:rFonts w:ascii="Garamond" w:hAnsi="Garamond"/>
          <w:sz w:val="24"/>
          <w:szCs w:val="24"/>
          <w:lang w:val="it-IT"/>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{"citationItems":[{"id":"ITEM-1","itemData":{"DOI":"10.1016/j.indmarman.2019.04.007","ISSN":"00198501","abstract":"We extend the discourse on actor engagement by arguing that the ‘actor’ should be viewed both as a single-actor (humans or machines) and a group of actors (collectives or organizations), and that engagement implies both exchange-based and non-exchange-based resource contributions, which are facilitated by dispositions, formed partly by actor specific characteristics and partly by the institutional and organizational arrangements prevalent in the context in which the resource contributions occur. We further show how the resource contributions, combined with other resources, improve resource density and, thus, drive value creation. This mechanism can be the foundation for ‘economies of actor engagement’; focal actors can achieve increasing returns by mobilizing actor engagement. Building on this, we argue that actor engagement is central for market-shaping strategies that aim for market innovations, which we define as the emergence and institutionalization of resource linkages that improve resource density and, hence, value creation in a market. Finally, we suggest that the dramatic shifts that we see in the operating environment are elevating the role of actor engagement, making the management of actor engagement a strategic priority.","author":[{"dropping-particle":"","family":"Storbacka","given":"Kaj","non-dropping-particle":"","parse-names":false,"suffix":""}],"container-title":"Industrial Marketing Management","id":"ITEM-1","issued":{"date-parts":[["2019"]]},"page":"4-10","publisher":"Elsevier","title":"Actor engagement, value creation and market innovation","type":"article-journal","volume":"80"},"uris":["http://www.mendeley.com/documents/?uuid=1ded81f7-7d19-44e5-a569-2d8778f3abee"]}],"mendeley":{"formattedCitation":"(Storbacka, 2019)","manualFormatting":"Storbacka, 2019)","plainTextFormattedCitation":"(Storbacka, 2019)","previouslyFormattedCitation":"(Storbacka,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Storbacka, 2019)</w:t>
      </w:r>
      <w:r w:rsidRPr="009672FC">
        <w:rPr>
          <w:rFonts w:ascii="Garamond" w:hAnsi="Garamond"/>
          <w:sz w:val="24"/>
          <w:szCs w:val="24"/>
        </w:rPr>
        <w:fldChar w:fldCharType="end"/>
      </w:r>
      <w:r w:rsidRPr="009672FC">
        <w:rPr>
          <w:rFonts w:ascii="Garamond" w:hAnsi="Garamond"/>
          <w:sz w:val="24"/>
          <w:szCs w:val="24"/>
        </w:rPr>
        <w:t xml:space="preserve">. Since inter-firm “coopetition” is characterized by </w:t>
      </w:r>
      <w:r w:rsidR="00CF726B" w:rsidRPr="009672FC">
        <w:rPr>
          <w:rFonts w:ascii="Garamond" w:hAnsi="Garamond"/>
          <w:sz w:val="24"/>
          <w:szCs w:val="24"/>
        </w:rPr>
        <w:t xml:space="preserve">the </w:t>
      </w:r>
      <w:r w:rsidRPr="009672FC">
        <w:rPr>
          <w:rFonts w:ascii="Garamond" w:hAnsi="Garamond"/>
          <w:sz w:val="24"/>
          <w:szCs w:val="24"/>
        </w:rPr>
        <w:t xml:space="preserve">competitive intent of actors due to the shared challenges of competition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{"citationItems":[{"id":"ITEM-1","itemData":{"DOI":"10.1057/dbm.2010.23","author":[{"dropping-particle":"","family":"Osarenkhoe","given":"Aihie","non-dropping-particle":"","parse-names":false,"suffix":""}],"container-title":"Database Marketing &amp; Customer Strategy Management","id":"ITEM-1","issue":"April","issued":{"date-parts":[["2010"]]},"page":"201-221","title":"A study of inter-fi rm dynamics between competition and cooperation – A coopetition strategy","type":"article-journal","volume":"17"},"uris":["http://www.mendeley.com/documents/?uuid=1af99f5b-eb7a-413f-8e35-a1ee3e68f32b"]}],"mendeley":{"formattedCitation":"(Osarenkhoe, 2010)","manualFormatting":"(Osarenkhoe, 2010","plainTextFormattedCitation":"(Osarenkhoe, 2010)","previouslyFormattedCitation":"(Osarenkhoe,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(Osarenkhoe, 2010</w:t>
      </w:r>
      <w:r w:rsidRPr="009672FC">
        <w:rPr>
          <w:rFonts w:ascii="Garamond" w:hAnsi="Garamond"/>
          <w:sz w:val="24"/>
          <w:szCs w:val="24"/>
        </w:rPr>
        <w:fldChar w:fldCharType="end"/>
      </w:r>
      <w:r w:rsidRPr="009672FC">
        <w:rPr>
          <w:rFonts w:ascii="Garamond" w:hAnsi="Garamond"/>
          <w:sz w:val="24"/>
          <w:szCs w:val="24"/>
        </w:rPr>
        <w:t>), this means that the tension where firms cooperate to co-create and/or fight to destroy value is an important aspect of relational dynamics and performance of inter-firm business networks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{"citationItems":[{"id":"ITEM-1","itemData":{"DOI":"10.1016/j.jbusres.2016.04.154","ISSN":"01482963","abstract":"Firm performance in turbulent business environments strongly depends on the adaptive (re)generation of the firm's business model. However, studies on the enablers of business model innovation are sparse. This study leverages the literature on dynamic capabilities, on organizational ambidexterity/vacillation, and Lewis's view of organizational paradoxes to build an integrated model of organizational dynamism that includes seven dimensions: three pairs of paradoxical constructs (cooperation–competition, exploration–exploitation, and conformity–agency) and dynamic capabilities. The study posits that these seven dimensions of organizational dynamism describe the key enablers of adaptive business model innovation (ABMI). The results of applying a fuzzy set qualitative comparative analysis (fsQCA) to 35 selected cases confirm that the paradoxical dimensions of organizational dynamism, although logically opposed, strongly intertwine in enabling the adaptive (re)generation of a firm's business model. Further, this article highlights fsQCA's suitability to test models that include paradoxical constructs.","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Research","id":"ITEM-1","issue":"11","issued":{"date-parts":[["2016"]]},"page":"5487-5493","publisher":"Elsevier Inc.","title":"Organizational dynamism and adaptive business model innovation: The triple paradox configuration","type":"article-journal","volume":"69"},"uris":["http://www.mendeley.com/documents/?uuid=8acf2015-3e04-469b-b520-98e47f048fc4"]}],"mendeley":{"formattedCitation":"(Ricciardi et al., 2016)","manualFormatting":"Ricciardi, Zardini and Rossignoli, 2016)","plainTextFormattedCitation":"(Ricciardi et al., 2016)","previouslyFormattedCitation":"(Ricciardi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Ricciardi, Zardini and Rossignoli, 2016)</w:t>
      </w:r>
      <w:r w:rsidRPr="009672FC">
        <w:rPr>
          <w:rFonts w:ascii="Garamond" w:hAnsi="Garamond"/>
          <w:sz w:val="24"/>
          <w:szCs w:val="24"/>
        </w:rPr>
        <w:fldChar w:fldCharType="end"/>
      </w:r>
      <w:r w:rsidRPr="009672FC">
        <w:rPr>
          <w:rFonts w:ascii="Garamond" w:hAnsi="Garamond"/>
          <w:sz w:val="24"/>
          <w:szCs w:val="24"/>
        </w:rPr>
        <w:t xml:space="preserve">. Thus, the promotion of inter-firm cooperation based on shared trust, fairness and sharing, minimizes the challenges of greed, control and opportunism in a business network context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and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it-IT"/>
        </w:rPr>
        <w:t>(Rossignoli and Ricciardi, 2015)</w:t>
      </w:r>
      <w:r w:rsidRPr="009672FC">
        <w:rPr>
          <w:rFonts w:ascii="Garamond" w:hAnsi="Garamond"/>
          <w:sz w:val="24"/>
          <w:szCs w:val="24"/>
        </w:rPr>
        <w:fldChar w:fldCharType="end"/>
      </w:r>
      <w:r w:rsidRPr="009672FC">
        <w:rPr>
          <w:rFonts w:ascii="Garamond" w:hAnsi="Garamond"/>
          <w:sz w:val="24"/>
          <w:szCs w:val="24"/>
          <w:lang w:val="it-IT"/>
        </w:rPr>
        <w:t xml:space="preserve">. </w:t>
      </w:r>
    </w:p>
    <w:p w14:paraId="1275A8F3" w14:textId="7CBDD67F" w:rsidR="003D5DE8" w:rsidRPr="009672FC" w:rsidRDefault="007549AA" w:rsidP="00CF726B">
      <w:pPr>
        <w:pStyle w:val="MDPI18keywords"/>
        <w:spacing w:line="360" w:lineRule="auto"/>
        <w:ind w:left="0"/>
        <w:rPr>
          <w:rFonts w:ascii="Garamond" w:hAnsi="Garamond"/>
          <w:sz w:val="24"/>
          <w:szCs w:val="24"/>
        </w:rPr>
      </w:pPr>
      <w:r w:rsidRPr="009672FC">
        <w:rPr>
          <w:rFonts w:ascii="Garamond" w:hAnsi="Garamond"/>
          <w:sz w:val="24"/>
          <w:szCs w:val="24"/>
        </w:rPr>
        <w:t xml:space="preserve">Kale and colleagues describe inter-firm learning in terms of exchange based on information, and know-how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author":[{"dropping-particle":"","family":"Kale","given":"Prashant","non-dropping-particle":"","parse-names":false,"suffix":""},{"dropping-particle":"","family":"Singh","given":"Harbir","non-dropping-particle":"","parse-names":false,"suffix":""},{"dropping-particle":"","family":"Perlmutter","given":"Howard","non-dropping-particle":"","parse-names":false,"suffix":""}],"container-title":"Strategic Management Journal","id":"ITEM-1","issue":"21","issued":{"date-parts":[["2000"]]},"page":"217-237","title":"Learning and Protection of Proprietary Assets in Strategic Alliances: Building Relational Capital","type":"article-journal"},"uris":["http://www.mendeley.com/documents/?uuid=50f6afa5-45d4-496e-ab30-6275c92b3668"]}],"mendeley":{"formattedCitation":"(Kale, Singh, &amp; Perlmutter, 2000)","manualFormatting":"(Kale, Singh and Perlmutter, 2000, p. 221)","plainTextFormattedCitation":"(Kale, Singh, &amp; Perlmutter, 2000)","previouslyFormattedCitation":"(Kale et al.,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(Kale, Singh and Perlmutter, 2000, p. 221)</w:t>
      </w:r>
      <w:r w:rsidRPr="009672FC">
        <w:rPr>
          <w:rFonts w:ascii="Garamond" w:hAnsi="Garamond"/>
          <w:sz w:val="24"/>
          <w:szCs w:val="24"/>
        </w:rPr>
        <w:fldChar w:fldCharType="end"/>
      </w:r>
      <w:r w:rsidRPr="009672FC">
        <w:rPr>
          <w:rFonts w:ascii="Garamond" w:hAnsi="Garamond"/>
          <w:sz w:val="24"/>
          <w:szCs w:val="24"/>
        </w:rPr>
        <w:t xml:space="preserve">. Whereas information is the knowledge that is codified, stored and be transmitted without immediate loss of value, the know-how, on the other hand, is the tacit, sticky, complex, and difficult to replicate knowledge </w:t>
      </w:r>
      <w:r w:rsidRPr="009672FC">
        <w:rPr>
          <w:rFonts w:ascii="Garamond" w:hAnsi="Garamond"/>
          <w:sz w:val="20"/>
        </w:rPr>
        <w:fldChar w:fldCharType="begin" w:fldLock="1"/>
      </w:r>
      <w:r w:rsidRPr="009672FC">
        <w:rPr>
          <w:rFonts w:ascii="Garamond" w:hAnsi="Garamond"/>
          <w:sz w:val="24"/>
          <w:szCs w:val="24"/>
        </w:rPr>
        <w:instrText>ADDIN CSL_CITATION {"citationItems":[{"id":"ITEM-1","itemData":{"abstract":"How should we understand why firms exist? A prevailing view has been that they serve to keep in check the transaction costs arising from the self-interested motivations of individuals. We develop in this article the argument that what firms do better than markets is the sharing and transfer of the knowledge of individuals and groups within an organization. This knowledge consists of information (e.g., who knows what) and of know-how (e.g., how to organize a research team). What is central to our argument is that knowledge is held by individuals, but is also expressed in regularities by which members cooperate in a social community (i.e., group, organization, or network). If knowledge is only held at the individual level, then firms could change simply by employee turnover. Because we know that hiring new workers is not equivalent to changing the skills of a firm, an analysis of what firms can do must understand knowledge as embedded in the organizing principles by which people cooperate within organizations. Based on this discussion, a paradox is identified: efforts by a firm to grow by the replication of its technology enhances the potential for imitation. By considering how firms can deter imitation by innovation, we develop a more dynamic view of how firms create new knowledge. We build up this dynamic perspective by suggesting that firms learn new skills by recombining their current capabilities. Because new ways of cooperating cannot be easily acquired, growth occurs by building on the social relationships that currently exist in a firm. What a firm has done before tends to predict what it can do in the future. In this sense, the cumulative knowledge of the firm provides options to expand in new but uncertain markets in the future. We discuss at length the example of the make/buy decision and propose several testable hypotheses regarding the boundaries of the firm, without appealing to the notion of \"opportunism.\"","author":[{"dropping-particle":"","family":"Kogut","given":"Bruce","non-dropping-particle":"","parse-names":false,"suffix":""},{"dropping-particle":"","family":"Zander","given":"Udo","non-dropping-particle":"","parse-names":false,"suffix":""}],"container-title":"Organization Science","id":"ITEM-1","issue":"3","issued":{"date-parts":[["1992"]]},"page":"383-397","title":"Knowledge of the Firm , Combinative Capabilities , and the Replication of Technology","type":"article-journal","volume":"3"},"uris":["http://www.mendeley.com/documents/?uuid=f05902da-32bf-404f-a4e1-bb659eef3fff"]}],"mendeley":{"formattedCitation":"(Bruce Kogut &amp; Zander, 1992)","manualFormatting":"(Kogut, Zander, 1992)","plainTextFormattedCitation":"(Bruce Kogut &amp; Zander, 1992)","previouslyFormattedCitation":"(Bruce Kogut &amp; Zander, 1992)"},"properties":{"noteIndex":0},"schema":"https://github.com/citation-style-language/schema/raw/master/csl-citation.json"}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(Kogut, Zander, 1992)</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{"citationItems":[{"id":"ITEM-1","itemData":{"DOI":"10.1108/08858620210431688","author":[{"dropping-particle":"","family":"Mohr","given":"Jakki J","non-dropping-particle":"","parse-names":false,"suffix":""},{"dropping-particle":"","family":"Sengupta","given":"Sanjit","non-dropping-particle":"","parse-names":false,"suffix":""}],"container-title":"Journal of Business &amp; Industrial Marketing","id":"ITEM-1","issue":"4","issued":{"date-parts":[["2002"]]},"page":"282-301","title":"Managing the paradox of inter-firm learning : the role of governance mechanisms","type":"article-journal","volume":"17"},"uris":["http://www.mendeley.com/documents/?uuid=693727e7-82c8-4580-b018-7541c8ca8718"]}],"mendeley":{"formattedCitation":"(Mohr &amp; Sengupta, 2002)","manualFormatting":"Mohr and Sengupta (2002)","plainTextFormattedCitation":"(Mohr &amp; Sengupta, 2002)","previouslyFormattedCitation":"(Mohr &amp; Sengupta, 2002)"},"properties":{"noteIndex":0},"schema":"https://github.com/citation-style-language/schema/raw/master/csl-citation.json"}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Mohr and Sengupta (2002)</w:t>
      </w:r>
      <w:r w:rsidRPr="009672FC">
        <w:rPr>
          <w:rFonts w:ascii="Garamond" w:hAnsi="Garamond"/>
          <w:sz w:val="24"/>
          <w:szCs w:val="24"/>
        </w:rPr>
        <w:fldChar w:fldCharType="end"/>
      </w:r>
      <w:r w:rsidRPr="009672FC">
        <w:rPr>
          <w:rFonts w:ascii="Garamond" w:hAnsi="Garamond"/>
          <w:sz w:val="24"/>
          <w:szCs w:val="24"/>
        </w:rPr>
        <w:t xml:space="preserve"> discuss inter-firm learning </w:t>
      </w:r>
      <w:proofErr w:type="gramStart"/>
      <w:r w:rsidRPr="009672FC">
        <w:rPr>
          <w:rFonts w:ascii="Garamond" w:hAnsi="Garamond"/>
          <w:sz w:val="24"/>
          <w:szCs w:val="24"/>
        </w:rPr>
        <w:t>as a mean</w:t>
      </w:r>
      <w:r w:rsidR="00CF726B" w:rsidRPr="009672FC">
        <w:rPr>
          <w:rFonts w:ascii="Garamond" w:hAnsi="Garamond"/>
          <w:sz w:val="24"/>
          <w:szCs w:val="24"/>
        </w:rPr>
        <w:t>s</w:t>
      </w:r>
      <w:r w:rsidRPr="009672FC">
        <w:rPr>
          <w:rFonts w:ascii="Garamond" w:hAnsi="Garamond"/>
          <w:sz w:val="24"/>
          <w:szCs w:val="24"/>
        </w:rPr>
        <w:t xml:space="preserve"> to</w:t>
      </w:r>
      <w:proofErr w:type="gramEnd"/>
      <w:r w:rsidRPr="009672FC">
        <w:rPr>
          <w:rFonts w:ascii="Garamond" w:hAnsi="Garamond"/>
          <w:sz w:val="24"/>
          <w:szCs w:val="24"/>
        </w:rPr>
        <w:t xml:space="preserve"> acquire relevant knowledge pertaining the market knowledge (about new technological skills, new markets, and customers), partners (partner competence, resources, influence), and capabilities of managing collaborative networks. Th</w:t>
      </w:r>
      <w:r w:rsidR="00CF726B" w:rsidRPr="009672FC">
        <w:rPr>
          <w:rFonts w:ascii="Garamond" w:hAnsi="Garamond"/>
          <w:sz w:val="24"/>
          <w:szCs w:val="24"/>
        </w:rPr>
        <w:t>is</w:t>
      </w:r>
      <w:r w:rsidRPr="009672FC">
        <w:rPr>
          <w:rFonts w:ascii="Garamond" w:hAnsi="Garamond"/>
          <w:sz w:val="24"/>
          <w:szCs w:val="24"/>
        </w:rPr>
        <w:t xml:space="preserve"> knowledge </w:t>
      </w:r>
      <w:r w:rsidR="00CF726B" w:rsidRPr="009672FC">
        <w:rPr>
          <w:rFonts w:ascii="Garamond" w:hAnsi="Garamond"/>
          <w:sz w:val="24"/>
          <w:szCs w:val="24"/>
        </w:rPr>
        <w:t>is</w:t>
      </w:r>
      <w:r w:rsidRPr="009672FC">
        <w:rPr>
          <w:rFonts w:ascii="Garamond" w:hAnsi="Garamond"/>
          <w:sz w:val="24"/>
          <w:szCs w:val="24"/>
        </w:rPr>
        <w:t xml:space="preserve"> </w:t>
      </w:r>
      <w:r w:rsidR="00CF726B" w:rsidRPr="009672FC">
        <w:rPr>
          <w:rFonts w:ascii="Garamond" w:hAnsi="Garamond"/>
          <w:sz w:val="24"/>
          <w:szCs w:val="24"/>
        </w:rPr>
        <w:t xml:space="preserve">the </w:t>
      </w:r>
      <w:r w:rsidRPr="009672FC">
        <w:rPr>
          <w:rFonts w:ascii="Garamond" w:hAnsi="Garamond"/>
          <w:sz w:val="24"/>
          <w:szCs w:val="24"/>
        </w:rPr>
        <w:t xml:space="preserve">source of a network’s competitive advantage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{"citationItems":[{"id":"ITEM-1","itemData":{"DOI":"10.1002/(SICI)1097-0266(200003)21:3&lt;203::AID-SMJ102&gt;3.0.CO;2-K","ISSN":"0143-2095","abstract":"This paper introduces the important role of networks of interfirm ties in examining fundamental issues in strategy research. Prior research has primarily viewed firms as autonomous entities striving for competitive advantage from either external industry sources or from internal resources and capabilities. However, the networks of relationships in which firms are embedded profoundly influence their conduct and performance. We identify five key areas of strategy research in which there is potential for incorporating strategic networks: (1) industry structure, (2) positioning within an industry, (3) inimitable firm resources and capabilities, (4) contracting and coordination costs, and (5) dynamic network constraints and benefits. For each of these issues, the paper outlines some important insights that result from considering the role of strategic networks.","author":[{"dropping-particle":"","family":"Gulati","given":"R.","non-dropping-particle":"","parse-names":false,"suffix":""},{"dropping-particle":"","family":"Nohria","given":"N","non-dropping-particle":"","parse-names":false,"suffix":""},{"dropping-particle":"","family":"Zaheer","given":"A.","non-dropping-particle":"","parse-names":false,"suffix":""}],"container-title":"Strategic Management Journal","id":"ITEM-1","issued":{"date-parts":[["2000"]]},"page":"203-215","title":"Strategic Networks","type":"article-journal","volume":"21"},"uris":["http://www.mendeley.com/documents/?uuid=ab115079-970e-4c67-99b9-5d3ce36efba0"]}],"mendeley":{"formattedCitation":"(R. Gulati et al., 2000)","manualFormatting":"(Gulati et al., 2000)","plainTextFormattedCitation":"(R. Gulati et al., 2000)","previouslyFormattedCitation":"(R. Gulati et al.,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(Gulati et al., 2000)</w:t>
      </w:r>
      <w:r w:rsidRPr="009672FC">
        <w:rPr>
          <w:rFonts w:ascii="Garamond" w:hAnsi="Garamond"/>
          <w:sz w:val="24"/>
          <w:szCs w:val="24"/>
        </w:rPr>
        <w:fldChar w:fldCharType="end"/>
      </w:r>
      <w:r w:rsidRPr="009672FC">
        <w:rPr>
          <w:rFonts w:ascii="Garamond" w:hAnsi="Garamond"/>
          <w:sz w:val="24"/>
          <w:szCs w:val="24"/>
        </w:rPr>
        <w:t xml:space="preserve"> by leveraging external resources and capabilities of network companies through cooperative based engagement based on inter-firm trust and shared identity. Furthermore, harnessing common, inter-firm knowledge resources, requires the network to maintain </w:t>
      </w:r>
      <w:r w:rsidR="00CF726B" w:rsidRPr="009672FC">
        <w:rPr>
          <w:rFonts w:ascii="Garamond" w:hAnsi="Garamond"/>
          <w:sz w:val="24"/>
          <w:szCs w:val="24"/>
        </w:rPr>
        <w:t xml:space="preserve">a </w:t>
      </w:r>
      <w:r w:rsidRPr="009672FC">
        <w:rPr>
          <w:rFonts w:ascii="Garamond" w:hAnsi="Garamond"/>
          <w:sz w:val="24"/>
          <w:szCs w:val="24"/>
        </w:rPr>
        <w:t>high frequency of interaction, communication and joint problem solving (</w:t>
      </w:r>
      <w:r w:rsidRPr="009672FC">
        <w:rPr>
          <w:rFonts w:ascii="Garamond" w:hAnsi="Garamond"/>
          <w:sz w:val="20"/>
        </w:rPr>
        <w:fldChar w:fldCharType="begin" w:fldLock="1"/>
      </w:r>
      <w:r w:rsidRPr="009672FC">
        <w:rPr>
          <w:rFonts w:ascii="Garamond" w:hAnsi="Garamond"/>
          <w:sz w:val="24"/>
          <w:szCs w:val="24"/>
        </w:rPr>
        <w:instrText>ADDIN CSL_CITATION {"citationItems":[{"id":"ITEM-1","itemData":{"author":[{"dropping-particle":"","family":"Kale","given":"Prashant","non-dropping-particle":"","parse-names":false,"suffix":""},{"dropping-particle":"","family":"Singh","given":"Harbir","non-dropping-particle":"","parse-names":false,"suffix":""},{"dropping-particle":"","family":"Perlmutter","given":"Howard","non-dropping-particle":"","parse-names":false,"suffix":""}],"container-title":"Strategic Management Journal","id":"ITEM-1","issue":"21","issued":{"date-parts":[["2000"]]},"page":"217-237","title":"Learning and Protection of Proprietary Assets in Strategic Alliances: Building Relational Capital","type":"article-journal"},"uris":["http://www.mendeley.com/documents/?uuid=50f6afa5-45d4-496e-ab30-6275c92b3668"]}],"mendeley":{"formattedCitation":"(Kale et al., 2000)","manualFormatting":"Kale, Singh and Perlmutter, 2000)","plainTextFormattedCitation":"(Kale et al., 2000)","previouslyFormattedCitation":"(Kale et al., 2000)"},"properties":{"noteIndex":0},"schema":"https://github.com/citation-style-language/schema/raw/master/csl-citation.json"}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Kale, Singh and Perlmutter, 2000)</w:t>
      </w:r>
      <w:r w:rsidRPr="009672FC">
        <w:rPr>
          <w:rFonts w:ascii="Garamond" w:hAnsi="Garamond"/>
          <w:sz w:val="24"/>
          <w:szCs w:val="24"/>
        </w:rPr>
        <w:fldChar w:fldCharType="end"/>
      </w:r>
      <w:r w:rsidRPr="009672FC">
        <w:rPr>
          <w:rFonts w:ascii="Garamond" w:hAnsi="Garamond"/>
          <w:sz w:val="24"/>
          <w:szCs w:val="24"/>
        </w:rPr>
        <w:t xml:space="preserve"> because such </w:t>
      </w:r>
      <w:r w:rsidR="00CF726B" w:rsidRPr="009672FC">
        <w:rPr>
          <w:rFonts w:ascii="Garamond" w:hAnsi="Garamond"/>
          <w:sz w:val="24"/>
          <w:szCs w:val="24"/>
        </w:rPr>
        <w:t xml:space="preserve">an </w:t>
      </w:r>
      <w:r w:rsidRPr="009672FC">
        <w:rPr>
          <w:rFonts w:ascii="Garamond" w:hAnsi="Garamond"/>
          <w:sz w:val="24"/>
          <w:szCs w:val="24"/>
        </w:rPr>
        <w:t xml:space="preserve">atmosphere breeds stronger ties and trust, enabling the exchange of tacit knowledge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phpro.2012.02.185","ISSN":"1875-3892","author":[{"dropping-particle":"","family":"Su-rong","given":"Zhang","non-dropping-particle":"","parse-names":false,"suffix":""},{"dropping-particle":"","family":"Wen-ping","given":"Wang","non-dropping-particle":"","parse-names":false,"suffix":""}],"container-title":"Physics Procedia","id":"ITEM-1","issued":{"date-parts":[["2012"]]},"page":"1238-1242","title":"Inter-firm Networks, Organizational Learning and Knowledge Updating: An Empirical Study","type":"article-journal","volume":"24"},"uris":["http://www.mendeley.com/documents/?uuid=f3db5b04-7f1c-49c6-a1ec-65e19a863989"]}],"mendeley":{"formattedCitation":"(Su-rong &amp; Wen-ping, 2012)","manualFormatting":"(Su-rong and Wen-ping, 2012; Kogut and Zander, 1992)","plainTextFormattedCitation":"(Su-rong &amp; Wen-ping, 2012)","previouslyFormattedCitation":"(Su-rong &amp; Wen-ping,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(Su-rong and Wen-ping, 2012;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{"citationItems":[{"id":"ITEM-1","itemData":{"abstract":"How should we understand why firms exist? A prevailing view has been that they serve to keep in check the transaction costs arising from the self-interested motivations of individuals. We develop in this article the argument that what firms do better than markets is the sharing and transfer of the knowledge of individuals and groups within an organization. This knowledge consists of information (e.g., who knows what) and of know-how (e.g., how to organize a research team). What is central to our argument is that knowledge is held by individuals, but is also expressed in regularities by which members cooperate in a social community (i.e., group, organization, or network). If knowledge is only held at the individual level, then firms could change simply by employee turnover. Because we know that hiring new workers is not equivalent to changing the skills of a firm, an analysis of what firms can do must understand knowledge as embedded in the organizing principles by which people cooperate within organizations. Based on this discussion, a paradox is identified: efforts by a firm to grow by the replication of its technology enhances the potential for imitation. By considering how firms can deter imitation by innovation, we develop a more dynamic view of how firms create new knowledge. We build up this dynamic perspective by suggesting that firms learn new skills by recombining their current capabilities. Because new ways of cooperating cannot be easily acquired, growth occurs by building on the social relationships that currently exist in a firm. What a firm has done before tends to predict what it can do in the future. In this sense, the cumulative knowledge of the firm provides options to expand in new but uncertain markets in the future. We discuss at length the example of the make/buy decision and propose several testable hypotheses regarding the boundaries of the firm, without appealing to the notion of \"opportunism.\"","author":[{"dropping-particle":"","family":"Kogut","given":"Bruce","non-dropping-particle":"","parse-names":false,"suffix":""},{"dropping-particle":"","family":"Zander","given":"Udo","non-dropping-particle":"","parse-names":false,"suffix":""}],"container-title":"Organization Science","id":"ITEM-1","issue":"3","issued":{"date-parts":[["1992"]]},"page":"383-397","title":"Knowledge of the Firm , Combinative Capabilities , and the Replication of Technology","type":"article-journal","volume":"3"},"uris":["http://www.mendeley.com/documents/?uuid=f05902da-32bf-404f-a4e1-bb659eef3fff"]}],"mendeley":{"formattedCitation":"(Bruce Kogut &amp; Zander, 1992)","manualFormatting":"Kogut and Zander, 1992)","plainTextFormattedCitation":"(Bruce Kogut &amp; Zander, 1992)","previouslyFormattedCitation":"(Bruce Kogut &amp; Zander, 1992)"},"properties":{"noteIndex":0},"schema":"https://github.com/citation-style-language/schema/raw/master/csl-citation.json"}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Kogut and Zander, 1992)</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Since inter-firm ties are embedded in the network structure, </w:t>
      </w:r>
      <w:r w:rsidR="00CF726B" w:rsidRPr="009672FC">
        <w:rPr>
          <w:rFonts w:ascii="Garamond" w:hAnsi="Garamond"/>
          <w:sz w:val="24"/>
          <w:szCs w:val="24"/>
        </w:rPr>
        <w:t xml:space="preserve">the </w:t>
      </w:r>
      <w:r w:rsidRPr="009672FC">
        <w:rPr>
          <w:rFonts w:ascii="Garamond" w:hAnsi="Garamond"/>
          <w:sz w:val="24"/>
          <w:szCs w:val="24"/>
        </w:rPr>
        <w:t xml:space="preserve">personal relationship between knowledge workers, especially at informal levels, is an important conduit for </w:t>
      </w:r>
      <w:r w:rsidR="00CF726B" w:rsidRPr="009672FC">
        <w:rPr>
          <w:rFonts w:ascii="Garamond" w:hAnsi="Garamond"/>
          <w:sz w:val="24"/>
          <w:szCs w:val="24"/>
        </w:rPr>
        <w:t xml:space="preserve">the </w:t>
      </w:r>
      <w:r w:rsidRPr="009672FC">
        <w:rPr>
          <w:rFonts w:ascii="Garamond" w:hAnsi="Garamond"/>
          <w:sz w:val="24"/>
          <w:szCs w:val="24"/>
        </w:rPr>
        <w:t xml:space="preserve">exchange of technical know-how in a business network context </w:t>
      </w:r>
      <w:r w:rsidRPr="009672FC">
        <w:rPr>
          <w:rFonts w:ascii="Garamond" w:hAnsi="Garamond"/>
          <w:sz w:val="20"/>
        </w:rPr>
        <w:fldChar w:fldCharType="begin" w:fldLock="1"/>
      </w:r>
      <w:r w:rsidRPr="009672FC">
        <w:rPr>
          <w:rFonts w:ascii="Garamond" w:hAnsi="Garamond"/>
          <w:sz w:val="24"/>
          <w:szCs w:val="24"/>
        </w:rPr>
        <w:instrText>ADDIN CSL_CITATION {"citationItems":[{"id":"ITEM-1","itemData":{"abstract":"How should we understand why firms exist? A prevailing view has been that they serve to keep in check the transaction costs arising from the self-interested motivations of individuals. We develop in this article the argument that what firms do better than markets is the sharing and transfer of the knowledge of individuals and groups within an organization. This knowledge consists of information (e.g., who knows what) and of know-how (e.g., how to organize a research team). What is central to our argument is that knowledge is held by individuals, but is also expressed in regularities by which members cooperate in a social community (i.e., group, organization, or network). If knowledge is only held at the individual level, then firms could change simply by employee turnover. Because we know that hiring new workers is not equivalent to changing the skills of a firm, an analysis of what firms can do must understand knowledge as embedded in the organizing principles by which people cooperate within organizations. Based on this discussion, a paradox is identified: efforts by a firm to grow by the replication of its technology enhances the potential for imitation. By considering how firms can deter imitation by innovation, we develop a more dynamic view of how firms create new knowledge. We build up this dynamic perspective by suggesting that firms learn new skills by recombining their current capabilities. Because new ways of cooperating cannot be easily acquired, growth occurs by building on the social relationships that currently exist in a firm. What a firm has done before tends to predict what it can do in the future. In this sense, the cumulative knowledge of the firm provides options to expand in new but uncertain markets in the future. We discuss at length the example of the make/buy decision and propose several testable hypotheses regarding the boundaries of the firm, without appealing to the notion of \"opportunism.\"","author":[{"dropping-particle":"","family":"Kogut","given":"Bruce","non-dropping-particle":"","parse-names":false,"suffix":""},{"dropping-particle":"","family":"Zander","given":"Udo","non-dropping-particle":"","parse-names":false,"suffix":""}],"container-title":"Organization Science","id":"ITEM-1","issue":"3","issued":{"date-parts":[["1992"]]},"page":"383-397","title":"Knowledge of the Firm , Combinative Capabilities , and the Replication of Technology","type":"article-journal","volume":"3"},"uris":["http://www.mendeley.com/documents/?uuid=f05902da-32bf-404f-a4e1-bb659eef3fff"]}],"mendeley":{"formattedCitation":"(Bruce Kogut &amp; Zander, 1992)","manualFormatting":"(Kogut &amp; Zander, 1992)","plainTextFormattedCitation":"(Bruce Kogut &amp; Zander, 1992)","previouslyFormattedCitation":"(Bruce Kogut &amp; Zander, 1992)"},"properties":{"noteIndex":0},"schema":"https://github.com/citation-style-language/schema/raw/master/csl-citation.json"}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(Kogut &amp; Zander, 1992)</w:t>
      </w:r>
      <w:r w:rsidRPr="009672FC">
        <w:rPr>
          <w:rFonts w:ascii="Garamond" w:hAnsi="Garamond"/>
          <w:sz w:val="24"/>
          <w:szCs w:val="24"/>
        </w:rPr>
        <w:fldChar w:fldCharType="end"/>
      </w:r>
      <w:r w:rsidRPr="009672FC">
        <w:rPr>
          <w:rFonts w:ascii="Garamond" w:hAnsi="Garamond"/>
          <w:sz w:val="24"/>
          <w:szCs w:val="24"/>
        </w:rPr>
        <w:t>.</w:t>
      </w:r>
    </w:p>
    <w:p w14:paraId="7C86CE73" w14:textId="426A1DC2" w:rsidR="003D5DE8"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{"citationItems":[{"id":"ITEM-1","itemData":{"DOI":"10.1016/j.indmarman.2019.04.007","ISSN":"00198501","abstract":"We extend the discourse on actor engagement by arguing that the ‘actor’ should be viewed both as a single-actor (humans or machines) and a group of actors (collectives or organizations), and that engagement implies both exchange-based and non-exchange-based resource contributions, which are facilitated by dispositions, formed partly by actor specific characteristics and partly by the institutional and organizational arrangements prevalent in the context in which the resource contributions occur. We further show how the resource contributions, combined with other resources, improve resource density and, thus, drive value creation. This mechanism can be the foundation for ‘economies of actor engagement’; focal actors can achieve increasing returns by mobilizing actor engagement. Building on this, we argue that actor engagement is central for market-shaping strategies that aim for market innovations, which we define as the emergence and institutionalization of resource linkages that improve resource density and, hence, value creation in a market. Finally, we suggest that the dramatic shifts that we see in the operating environment are elevating the role of actor engagement, making the management of actor engagement a strategic priority.","author":[{"dropping-particle":"","family":"Storbacka","given":"Kaj","non-dropping-particle":"","parse-names":false,"suffix":""}],"container-title":"Industrial Marketing Management","id":"ITEM-1","issued":{"date-parts":[["2019"]]},"page":"4-10","publisher":"Elsevier","title":"Actor engagement, value creation and market innovation","type":"article-journal","volume":"80"},"uris":["http://www.mendeley.com/documents/?uuid=1ded81f7-7d19-44e5-a569-2d8778f3abee"]}],"mendeley":{"formattedCitation":"(Storbacka, 2019)","manualFormatting":"Storbacka (2019)","plainTextFormattedCitation":"(Storbacka, 2019)","previouslyFormattedCitation":"(Storbacka,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lang w:val="it-IT"/>
        </w:rPr>
        <w:t>Storbacka (2019)</w:t>
      </w:r>
      <w:r w:rsidRPr="009672FC">
        <w:rPr>
          <w:rFonts w:ascii="Garamond" w:hAnsi="Garamond"/>
          <w:sz w:val="24"/>
          <w:szCs w:val="24"/>
        </w:rPr>
        <w:fldChar w:fldCharType="end"/>
      </w:r>
      <w:r w:rsidRPr="009672FC">
        <w:rPr>
          <w:rFonts w:ascii="Garamond" w:hAnsi="Garamond"/>
          <w:sz w:val="24"/>
          <w:szCs w:val="24"/>
          <w:lang w:val="it-IT"/>
        </w:rPr>
        <w:t xml:space="preserve"> illustrates four observable contexts of cooperative-based engagement, namely: (1) co-production vs. value-in-use activities – where actors are engaged in new product co-design, co-creation, co-promotion and value use; (2) relational properties, characterized by the exchange relationship based on mutual trust, and friendship; informational properties, and (3) temporal </w:t>
      </w:r>
      <w:r w:rsidRPr="009672FC">
        <w:rPr>
          <w:rFonts w:ascii="Garamond" w:hAnsi="Garamond"/>
          <w:sz w:val="24"/>
          <w:szCs w:val="24"/>
          <w:lang w:val="it-IT"/>
        </w:rPr>
        <w:lastRenderedPageBreak/>
        <w:t xml:space="preserve">properties, which </w:t>
      </w:r>
      <w:r w:rsidR="002E3C69" w:rsidRPr="009672FC">
        <w:rPr>
          <w:rFonts w:ascii="Garamond" w:hAnsi="Garamond"/>
          <w:sz w:val="24"/>
          <w:szCs w:val="24"/>
          <w:lang w:val="it-IT"/>
        </w:rPr>
        <w:t>are</w:t>
      </w:r>
      <w:r w:rsidRPr="009672FC">
        <w:rPr>
          <w:rFonts w:ascii="Garamond" w:hAnsi="Garamond"/>
          <w:sz w:val="24"/>
          <w:szCs w:val="24"/>
          <w:lang w:val="it-IT"/>
        </w:rPr>
        <w:t xml:space="preserve"> </w:t>
      </w:r>
      <w:r w:rsidR="002E3C69" w:rsidRPr="009672FC">
        <w:rPr>
          <w:rFonts w:ascii="Garamond" w:hAnsi="Garamond"/>
          <w:sz w:val="24"/>
          <w:szCs w:val="24"/>
          <w:lang w:val="it-IT"/>
        </w:rPr>
        <w:t>characterized</w:t>
      </w:r>
      <w:r w:rsidRPr="009672FC">
        <w:rPr>
          <w:rFonts w:ascii="Garamond" w:hAnsi="Garamond"/>
          <w:sz w:val="24"/>
          <w:szCs w:val="24"/>
          <w:lang w:val="it-IT"/>
        </w:rPr>
        <w:t xml:space="preserve"> </w:t>
      </w:r>
      <w:r w:rsidR="002E3C69" w:rsidRPr="009672FC">
        <w:rPr>
          <w:rFonts w:ascii="Garamond" w:hAnsi="Garamond"/>
          <w:sz w:val="24"/>
          <w:szCs w:val="24"/>
          <w:lang w:val="it-IT"/>
        </w:rPr>
        <w:t>by</w:t>
      </w:r>
      <w:r w:rsidRPr="009672FC">
        <w:rPr>
          <w:rFonts w:ascii="Garamond" w:hAnsi="Garamond"/>
          <w:sz w:val="24"/>
          <w:szCs w:val="24"/>
          <w:lang w:val="it-IT"/>
        </w:rPr>
        <w:t xml:space="preserve"> the momentarily of exchange relationship over </w:t>
      </w:r>
      <w:r w:rsidR="002E3C69" w:rsidRPr="009672FC">
        <w:rPr>
          <w:rFonts w:ascii="Garamond" w:hAnsi="Garamond"/>
          <w:sz w:val="24"/>
          <w:szCs w:val="24"/>
          <w:lang w:val="it-IT"/>
        </w:rPr>
        <w:t>some</w:t>
      </w:r>
      <w:r w:rsidRPr="009672FC">
        <w:rPr>
          <w:rFonts w:ascii="Garamond" w:hAnsi="Garamond"/>
          <w:sz w:val="24"/>
          <w:szCs w:val="24"/>
          <w:lang w:val="it-IT"/>
        </w:rPr>
        <w:t xml:space="preserve"> time. </w:t>
      </w:r>
      <w:r w:rsidRPr="009672FC">
        <w:rPr>
          <w:rFonts w:ascii="Garamond" w:hAnsi="Garamond"/>
          <w:sz w:val="24"/>
          <w:szCs w:val="24"/>
        </w:rPr>
        <w:t xml:space="preserve">Moreover, Lehtinen and </w:t>
      </w:r>
      <w:proofErr w:type="spellStart"/>
      <w:r w:rsidRPr="009672FC">
        <w:rPr>
          <w:rFonts w:ascii="Garamond" w:hAnsi="Garamond"/>
          <w:sz w:val="24"/>
          <w:szCs w:val="24"/>
        </w:rPr>
        <w:t>Aaltonen</w:t>
      </w:r>
      <w:proofErr w:type="spellEnd"/>
      <w:r w:rsidRPr="009672FC">
        <w:rPr>
          <w:rFonts w:ascii="Garamond" w:hAnsi="Garamond"/>
          <w:sz w:val="24"/>
          <w:szCs w:val="24"/>
        </w:rPr>
        <w:t xml:space="preserve"> (2020) designed a framework for inter-firm engagement, arguing that organizing solutions are fundamental to inter-firm coopetition in a multi-stakeholder context, and these include governance-based, value-based and dynamism based solutions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{"citationItems":[{"id":"ITEM-1","itemData":{"DOI":"10.1016/j.ijproman.2019.12.001","ISSN":"02637863","abstract":"External stakeholder engagement is crucial for delivering value to diverse stakeholders in inter-organizational projects, however, it is not straightforward to organize this in a way that adds value. The intra-organizational focus of previous research offers limited insights into the relevant roles, responsibilities, arrangements and activities in inter-organizational contexts. Moreover, comprehensive empirical studies of the phenomenon are rare. This study explicates how internal stakeholders organize external stakeholder engagement in inter-organizational projects. Our multiple-case study of two infrastructure projects in Northern Europe identified three organizing solutions based on governance, values and dynamism. While governance-based solutions provide an overall structure for organizing external stakeholder engagement, value-based solutions ensure genuine cooperation and dynamism-based solutions facilitate timely organizing. The study develops propositions that constitute a model of how external stakeholder engagement can be organized in inter-organizational projects. The findings have implications for project stakeholder management and mainstream stakeholder research.","author":[{"dropping-particle":"","family":"Lehtinen","given":"Jere","non-dropping-particle":"","parse-names":false,"suffix":""},{"dropping-particle":"","family":"Aaltonen","given":"Kirsi","non-dropping-particle":"","parse-names":false,"suffix":""}],"container-title":"International Journal of Project Management","id":"ITEM-1","issue":"2","issued":{"date-parts":[["2020"]]},"page":"85-98","title":"Organizing external stakeholder engagement in inter-organizational projects: Opening the black box","type":"article-journal","volume":"38"},"uris":["http://www.mendeley.com/documents/?uuid=92140008-1a42-433a-8337-04045650d4a8"]}],"mendeley":{"formattedCitation":"(Lehtinen &amp; Aaltonen, 2020)","manualFormatting":"(Lehtinen and Aaltonen, 2020, p. 96)","plainTextFormattedCitation":"(Lehtinen &amp; Aaltonen, 2020)","previouslyFormattedCitation":"(Lehtinen &amp; Aaltonen,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(Lehtinen and Aaltonen, 2020, p. 96)</w:t>
      </w:r>
      <w:r w:rsidRPr="009672FC">
        <w:rPr>
          <w:rFonts w:ascii="Garamond" w:hAnsi="Garamond"/>
          <w:sz w:val="24"/>
          <w:szCs w:val="24"/>
        </w:rPr>
        <w:fldChar w:fldCharType="end"/>
      </w:r>
      <w:r w:rsidRPr="009672FC">
        <w:rPr>
          <w:rFonts w:ascii="Garamond" w:hAnsi="Garamond"/>
          <w:sz w:val="24"/>
          <w:szCs w:val="24"/>
        </w:rPr>
        <w:t xml:space="preserve">. Governance-based solutions </w:t>
      </w:r>
      <w:r w:rsidR="002E3C69" w:rsidRPr="009672FC">
        <w:rPr>
          <w:rFonts w:ascii="Garamond" w:hAnsi="Garamond"/>
          <w:sz w:val="24"/>
          <w:szCs w:val="24"/>
        </w:rPr>
        <w:t xml:space="preserve">are </w:t>
      </w:r>
      <w:r w:rsidRPr="009672FC">
        <w:rPr>
          <w:rFonts w:ascii="Garamond" w:hAnsi="Garamond"/>
          <w:sz w:val="24"/>
          <w:szCs w:val="24"/>
        </w:rPr>
        <w:t>characterized by coordination and control (governance choice), institutional arrangements (network-level arrangements, e.g., dedicated communication team, etc.) and engagement indicators tied to inter-firm project</w:t>
      </w:r>
      <w:r w:rsidR="002E3C69" w:rsidRPr="009672FC">
        <w:rPr>
          <w:rFonts w:ascii="Garamond" w:hAnsi="Garamond"/>
          <w:sz w:val="24"/>
          <w:szCs w:val="24"/>
        </w:rPr>
        <w:t>s</w:t>
      </w:r>
      <w:r w:rsidRPr="009672FC">
        <w:rPr>
          <w:rFonts w:ascii="Garamond" w:hAnsi="Garamond"/>
          <w:sz w:val="24"/>
          <w:szCs w:val="24"/>
        </w:rPr>
        <w:t>. Value-based solutions are organizing activities aimed at promoting an atmosphere of cooperation where actors actively commit to producing the desired collective value. Finally, the dynamism-based solution characterizes the relational flexibility involve</w:t>
      </w:r>
      <w:r w:rsidR="002E3C69" w:rsidRPr="009672FC">
        <w:rPr>
          <w:rFonts w:ascii="Garamond" w:hAnsi="Garamond"/>
          <w:sz w:val="24"/>
          <w:szCs w:val="24"/>
        </w:rPr>
        <w:t>d</w:t>
      </w:r>
      <w:r w:rsidRPr="009672FC">
        <w:rPr>
          <w:rFonts w:ascii="Garamond" w:hAnsi="Garamond"/>
          <w:sz w:val="24"/>
          <w:szCs w:val="24"/>
        </w:rPr>
        <w:t xml:space="preserve"> in routine operations especially in managing the paradox of coopetition. Thus, supervisory relations, communication systems and flexible roles and responsibilities are critical to </w:t>
      </w:r>
      <w:r w:rsidR="002E3C69" w:rsidRPr="009672FC">
        <w:rPr>
          <w:rFonts w:ascii="Garamond" w:hAnsi="Garamond"/>
          <w:sz w:val="24"/>
          <w:szCs w:val="24"/>
        </w:rPr>
        <w:t xml:space="preserve">an </w:t>
      </w:r>
      <w:r w:rsidRPr="009672FC">
        <w:rPr>
          <w:rFonts w:ascii="Garamond" w:hAnsi="Garamond"/>
          <w:sz w:val="24"/>
          <w:szCs w:val="24"/>
        </w:rPr>
        <w:t>inter-firm engagement environment. To conclude, this paper builds on the existing literature on organizing for inter-firm engagement thus promoting the development of the network relational dynamic capabilities.</w:t>
      </w:r>
    </w:p>
    <w:p w14:paraId="5AAB1713" w14:textId="40AB8EDE" w:rsidR="003D5DE8" w:rsidRPr="009672FC" w:rsidRDefault="007549AA">
      <w:pPr>
        <w:pStyle w:val="MDPI18keywords"/>
        <w:numPr>
          <w:ilvl w:val="2"/>
          <w:numId w:val="9"/>
        </w:numPr>
        <w:spacing w:line="360" w:lineRule="auto"/>
        <w:outlineLvl w:val="2"/>
        <w:rPr>
          <w:rFonts w:ascii="Garamond" w:hAnsi="Garamond"/>
          <w:b/>
          <w:bCs/>
          <w:i/>
          <w:iCs/>
          <w:sz w:val="24"/>
          <w:szCs w:val="24"/>
        </w:rPr>
      </w:pPr>
      <w:bookmarkStart w:id="88" w:name="_Toc85708725"/>
      <w:bookmarkStart w:id="89" w:name="_Toc85709739"/>
      <w:r w:rsidRPr="009672FC">
        <w:rPr>
          <w:rFonts w:ascii="Garamond" w:hAnsi="Garamond"/>
          <w:b/>
          <w:bCs/>
          <w:i/>
          <w:iCs/>
          <w:sz w:val="24"/>
          <w:szCs w:val="24"/>
        </w:rPr>
        <w:t>Antecedents Enabling Inter-Firm Engagement in Business Network.</w:t>
      </w:r>
      <w:bookmarkEnd w:id="88"/>
      <w:bookmarkEnd w:id="89"/>
    </w:p>
    <w:p w14:paraId="7F0F196A" w14:textId="37F1622C" w:rsidR="002E3C69" w:rsidRPr="009672FC" w:rsidRDefault="007549AA" w:rsidP="002E3C69">
      <w:pPr>
        <w:pStyle w:val="MDPI18keywords"/>
        <w:spacing w:before="0" w:line="360" w:lineRule="auto"/>
        <w:ind w:left="0"/>
        <w:rPr>
          <w:rFonts w:ascii="Garamond" w:hAnsi="Garamond"/>
          <w:sz w:val="24"/>
          <w:szCs w:val="24"/>
        </w:rPr>
      </w:pPr>
      <w:r w:rsidRPr="009672FC">
        <w:rPr>
          <w:rFonts w:ascii="Garamond" w:hAnsi="Garamond"/>
          <w:sz w:val="24"/>
          <w:szCs w:val="24"/>
        </w:rPr>
        <w:t>Institutional arrangement. The business network creates and manages inter-firm relationship</w:t>
      </w:r>
      <w:r w:rsidR="002E3C69" w:rsidRPr="009672FC">
        <w:rPr>
          <w:rFonts w:ascii="Garamond" w:hAnsi="Garamond"/>
          <w:sz w:val="24"/>
          <w:szCs w:val="24"/>
        </w:rPr>
        <w:t>s</w:t>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{"citationItems":[{"id":"ITEM-1","itemData":{"DOI":"10.1108/JOSM-08-2016-0237","ISBN":"0820160237","ISSN":"17575818","abstract":"Purpose: The purpose of this paper is to broaden extant understanding of actor engagement behavior beyond its currently dominant dyadic (micro-level) focus, by examining it from multiple levels of aggregation within a service ecosystem framework. Design/methodology/approach: This conceptual paper draws on service-dominant logic and structuration theory as theoretical lenses to inform engagement research. Findings: By means of a stepwise exercise of “zooming out,” the paper introduces a multi-perspective (micro-, meso-, macro- and meta-level) view of actor engagement that develops understanding of multiple engagement contexts, and suggests that balancing multiple roles may result in actor disengagement behavior. The role of reference groups and role conflict associated with balancing multiple roles is critical to understanding why engaged actor proclivities may wax and wane between contexts. Research limitations/implications: The paper offers a set of five propositions that can be utilized by engagement scholars undertaking further research in this area. Practical implications: Firms need to understand the values and norms embedded in diverse engagement contexts which can affect actor groups’ needs and motivations. Firms should develop appropriate organizational mechanisms to facilitate (rather than impede or obstruct) the desired behaviors of engaged actors. Originality/value: The broader context within which engaged actors operate, and its effects on engagement, has been largely overlooked to date. By broadening the analytical perspective on engagement beyond the dyadic this paper reveals previously unaddressed aspects of this phenomenon, such as the role of disengagement behavior, and the effects of multiple engagement contexts on actors’ future behaviors.","author":[{"dropping-particle":"","family":"Alexander","given":"Matthew J.","non-dropping-particle":"","parse-names":false,"suffix":""},{"dropping-particle":"","family":"Jaakkola","given":"Elina","non-dropping-particle":"","parse-names":false,"suffix":""},{"dropping-particle":"","family":"Hollebeek","given":"Linda D.","non-dropping-particle":"","parse-names":false,"suffix":""}],"container-title":"Journal of Service Management","id":"ITEM-1","issue":"3","issued":{"date-parts":[["2018"]]},"page":"333-351","title":"Zooming out: actor engagement beyond the dyadic","type":"article-journal","volume":"29"},"uris":["http://www.mendeley.com/documents/?uuid=25ad1338-5135-4977-b9ba-180b7da3a6b8"]}],"mendeley":{"formattedCitation":"(Alexander et al., 2018)","manualFormatting":"Alexander et al., 2018)","plainTextFormattedCitation":"(Alexander et al., 2018)","previouslyFormattedCitation":"(Alexander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Alexander et al., 2018)</w:t>
      </w:r>
      <w:r w:rsidRPr="009672FC">
        <w:rPr>
          <w:rFonts w:ascii="Garamond" w:hAnsi="Garamond"/>
          <w:sz w:val="24"/>
          <w:szCs w:val="24"/>
        </w:rPr>
        <w:fldChar w:fldCharType="end"/>
      </w:r>
      <w:r w:rsidRPr="009672FC">
        <w:rPr>
          <w:rFonts w:ascii="Garamond" w:hAnsi="Garamond"/>
          <w:sz w:val="24"/>
          <w:szCs w:val="24"/>
        </w:rPr>
        <w:t xml:space="preserve">, provides an atmosphere of trust and friendship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et al., 2018)","plainTextFormattedCitation":"(Jonas et al., 2018)","previouslyFormattedCitation":"(Jonas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(Jonas et al., 2018)</w:t>
      </w:r>
      <w:r w:rsidRPr="009672FC">
        <w:rPr>
          <w:rFonts w:ascii="Garamond" w:hAnsi="Garamond"/>
          <w:sz w:val="24"/>
          <w:szCs w:val="24"/>
        </w:rPr>
        <w:fldChar w:fldCharType="end"/>
      </w:r>
      <w:r w:rsidRPr="009672FC">
        <w:rPr>
          <w:rFonts w:ascii="Garamond" w:hAnsi="Garamond"/>
          <w:sz w:val="24"/>
          <w:szCs w:val="24"/>
        </w:rPr>
        <w:t xml:space="preserve">, enabling interactive learning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{"citationItems":[{"id":"ITEM-1","itemData":{"DOI":"10.1108/14626001011041256","author":[{"dropping-particle":"","family":"Ngugi","given":"Isaac K","non-dropping-particle":"","parse-names":false,"suffix":""},{"dropping-particle":"","family":"Johnsen","given":"Rhona E","non-dropping-particle":"","parse-names":false,"suffix":""},{"dropping-particle":"","family":"Erde","given":"Peter","non-dropping-particle":"","parse-names":false,"suffix":""}],"container-title":"Journal of Small Business and Enterprise Development","id":"ITEM-1","issue":"2","issued":{"date-parts":[["2010"]]},"page":"260-278","title":"Relational capabilities for value co-creation and innovation in SMEs","type":"article-journal","volume":"17"},"uris":["http://www.mendeley.com/documents/?uuid=0dd3c9c1-3952-416f-b08a-19e2ce826b7c"]}],"mendeley":{"formattedCitation":"(Ngugi et al., 2010)","plainTextFormattedCitation":"(Ngugi et al., 2010)","previouslyFormattedCitation":"(Ngugi et al.,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(Ngugi et al., 2010)</w:t>
      </w:r>
      <w:r w:rsidRPr="009672FC">
        <w:rPr>
          <w:rFonts w:ascii="Garamond" w:hAnsi="Garamond"/>
          <w:sz w:val="24"/>
          <w:szCs w:val="24"/>
        </w:rPr>
        <w:fldChar w:fldCharType="end"/>
      </w:r>
      <w:r w:rsidRPr="009672FC">
        <w:rPr>
          <w:rFonts w:ascii="Garamond" w:hAnsi="Garamond"/>
          <w:sz w:val="24"/>
          <w:szCs w:val="24"/>
        </w:rPr>
        <w:t xml:space="preserve"> and exchange of specific knowledge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13683040910961162","author":[{"dropping-particle":"","family":"Weissenberger-Eibl","given":"Marion","non-dropping-particle":"","parse-names":false,"suffix":""},{"dropping-particle":"","family":"Schwenk","given":"Johann","non-dropping-particle":"","parse-names":false,"suffix":""}],"container-title":"Emerald Group Publishing Limited, ISSN 1368-3047 j Measuring Business Excellence","id":"ITEM-1","issue":"2","issued":{"date-parts":[["2009"]]},"page":"7-16","title":"‘‘ Lifeblood knowledge ’’: dynamic relational capabilities ( DRC ) and knowledge for firm innovativeness and competitive advantage","type":"article-journal","volume":"13"},"uris":["http://www.mendeley.com/documents/?uuid=a36675b9-f338-4b57-86a0-36c1f80df3e5"]}],"mendeley":{"formattedCitation":"(Weissenberger-Eibl &amp; Schwenk, 2009)","plainTextFormattedCitation":"(Weissenberger-Eibl &amp; Schwenk, 2009)","previouslyFormattedCitation":"(Weissenberger-Eibl &amp; Schwenk, 2009)"},"properties":{"noteIndex":0},"schema":"https://github.com/citation-style-language/schema/raw/master/csl-citation.json"}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(Weissenberger-Eibl &amp; Schwenk, 2009)</w:t>
      </w:r>
      <w:r w:rsidRPr="009672FC">
        <w:rPr>
          <w:rFonts w:ascii="Garamond" w:hAnsi="Garamond"/>
          <w:sz w:val="24"/>
          <w:szCs w:val="24"/>
        </w:rPr>
        <w:fldChar w:fldCharType="end"/>
      </w:r>
      <w:r w:rsidRPr="009672FC">
        <w:rPr>
          <w:rFonts w:ascii="Garamond" w:hAnsi="Garamond"/>
          <w:sz w:val="24"/>
          <w:szCs w:val="24"/>
        </w:rPr>
        <w:t xml:space="preserve"> thus promoting the quality of inter-firm relationship. </w:t>
      </w:r>
      <w:r w:rsidR="002E3C69" w:rsidRPr="009672FC">
        <w:rPr>
          <w:rFonts w:ascii="Garamond" w:hAnsi="Garamond"/>
          <w:sz w:val="24"/>
          <w:szCs w:val="24"/>
        </w:rPr>
        <w:t>Consequently</w:t>
      </w:r>
      <w:r w:rsidRPr="009672FC">
        <w:rPr>
          <w:rFonts w:ascii="Garamond" w:hAnsi="Garamond"/>
          <w:sz w:val="24"/>
          <w:szCs w:val="24"/>
        </w:rPr>
        <w:t>, the provision of shared value, reputation, and identity, are enablers of common, network arrangements supporting business network performance.</w:t>
      </w:r>
    </w:p>
    <w:p w14:paraId="40B20DE9" w14:textId="19080E14" w:rsidR="002E3C69"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 xml:space="preserve">Resources mobilization and planning.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{"citationItems":[{"id":"ITEM-1","itemData":{"DOI":"10.1016/j.jbusres.2016.02.034","ISSN":"01482963","abstract":"The starting point for this research is that value co-creation is difficult to observe empirically, whereas actor engagement is observable and thus more likely to be designable and manageable. Informed by the microfoundation movement in strategic management, actor engagement is conceptualized as a microfoundation for value co-creation within the context of a service ecosystem. Using a trans-disciplinary perspective, actors are viewed not only as humans, but also as machines and various combinations of humans and machines. Actor engagement is defined as both the actor's disposition to engage, and the activity of engaging in an interactive process of resource integration within a service ecosystem. This leads to identifying research issues for actors, engagement platforms, actor disposition, engagement properties and resource integration patterns. We conclude by drawing implications based on the identified research issues.","author":[{"dropping-particle":"","family":"Storbacka","given":"Kaj","non-dropping-particle":"","parse-names":false,"suffix":""},{"dropping-particle":"","family":"Brodie","given":"Roderick J.","non-dropping-particle":"","parse-names":false,"suffix":""},{"dropping-particle":"","family":"Böhmann","given":"Tilo","non-dropping-particle":"","parse-names":false,"suffix":""},{"dropping-particle":"","family":"Maglio","given":"Paul P.","non-dropping-particle":"","parse-names":false,"suffix":""},{"dropping-particle":"","family":"Nenonen","given":"Suvi","non-dropping-particle":"","parse-names":false,"suffix":""}],"container-title":"Journal of Business Research","id":"ITEM-1","issue":"8","issued":{"date-parts":[["2016"]]},"page":"3008-3017","publisher":"Elsevier Inc.","title":"Actor engagement as a microfoundation for value co-creation","type":"article-journal","volume":"69"},"uris":["http://www.mendeley.com/documents/?uuid=369293a8-574b-4294-bb9c-e108176a0c3c"]}],"mendeley":{"formattedCitation":"(Storbacka, Brodie, Böhmann, Maglio, &amp; Nenonen, 2016)","manualFormatting":"Storbacka et al., (2016)","plainTextFormattedCitation":"(Storbacka, Brodie, Böhmann, Maglio, &amp; Nenonen, 2016)","previouslyFormattedCitation":"(Storbacka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Storbacka et al., (2016)</w:t>
      </w:r>
      <w:r w:rsidRPr="009672FC">
        <w:rPr>
          <w:rFonts w:ascii="Garamond" w:hAnsi="Garamond"/>
          <w:sz w:val="24"/>
          <w:szCs w:val="24"/>
        </w:rPr>
        <w:fldChar w:fldCharType="end"/>
      </w:r>
      <w:r w:rsidRPr="009672FC">
        <w:rPr>
          <w:rFonts w:ascii="Garamond" w:hAnsi="Garamond"/>
          <w:sz w:val="24"/>
          <w:szCs w:val="24"/>
        </w:rPr>
        <w:t xml:space="preserve"> argue that business network addresses the challenges of inter-firm engagement through new resources linkages, modifying resource-base or creating new resource configuration. Thus, the network must develop and exploit these resources to achieve a common network goal. To do these, scholars suggest the importance of coordination of network-actors relations </w:t>
      </w:r>
      <w:r w:rsidRPr="009672FC">
        <w:rPr>
          <w:rFonts w:ascii="Garamond" w:hAnsi="Garamond"/>
          <w:sz w:val="20"/>
        </w:rPr>
        <w:fldChar w:fldCharType="begin" w:fldLock="1"/>
      </w:r>
      <w:r w:rsidRPr="009672FC">
        <w:rPr>
          <w:rFonts w:ascii="Garamond" w:hAnsi="Garamond"/>
          <w:sz w:val="24"/>
          <w:szCs w:val="24"/>
        </w:rPr>
        <w:instrText>ADDIN CSL_CITATION {"citationItems":[{"id":"ITEM-1","itemData":{"ISSN":"00198501","abstract":"Customer engagement has emerged as a central concept in marketing. Despite extensive scholarly investigations and managerial interest though, considerations of customer engagement and emotional connections in business marketing have been scant. Researchers tend to focus on individual-level engagement, which is conceptually inadequate to address the inherently multi-actor nature of business-to-business marketing. Therefore, this article introduces the concept of collective engagement, highlighting both its characteristics and the conditions for its emergence. The resulting theoretical framework, with ten propositions, outlines the multidimensional nature of collective engagement, including its multiplicative aggregation, multidirectional valence, phenomenological and shared properties, emotional and institutional interdependence, and emergence in dynamic and multichannel settings. Collective engagement also offers a mechanism for considering emotions in business marketing, a topic that thus far has been largely ignored by the prevalent rational choice paradigm. Thus, this article contributes a systematic, coherent conceptualization of collective engagement and advances the theoretical domains of customer and actor engagement in particular and business-to-business research in general, while also suggesting a detailed research agenda.","author":[{"dropping-particle":"","family":"Kleinaltenkamp","given":"Michael","non-dropping-particle":"","parse-names":false,"suffix":""},{"dropping-particle":"","family":"Karpen","given":"Ingo O.","non-dropping-particle":"","parse-names":false,"suffix":""},{"dropping-particle":"","family":"Plewa","given":"Carolin","non-dropping-particle":"","parse-names":false,"suffix":""},{"dropping-particle":"","family":"Jaakkola","given":"E.","non-dropping-particle":"","parse-names":false,"suffix":""},{"dropping-particle":"","family":"Conduit","given":"J.","non-dropping-particle":"","parse-names":false,"suffix":""}],"container-title":"Industrial Marketing Management","id":"ITEM-1","issued":{"date-parts":[["2019"]]},"page":"11-23","publisher":"Elsevier","title":"Collective engagement in organizational settings","type":"article-journal","volume":"80"},"uris":["http://www.mendeley.com/documents/?uuid=189a4739-9ed7-4c52-805a-c4839308470e"]}],"mendeley":{"formattedCitation":"(Kleinaltenkamp et al., 2019)","plainTextFormattedCitation":"(Kleinaltenkamp et al., 2019)","previouslyFormattedCitation":"(Kleinaltenkamp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(Kleinaltenkamp et al., 2019)</w:t>
      </w:r>
      <w:r w:rsidRPr="009672FC">
        <w:rPr>
          <w:rFonts w:ascii="Garamond" w:hAnsi="Garamond"/>
          <w:sz w:val="24"/>
          <w:szCs w:val="24"/>
        </w:rPr>
        <w:fldChar w:fldCharType="end"/>
      </w:r>
      <w:r w:rsidRPr="009672FC">
        <w:rPr>
          <w:rFonts w:ascii="Garamond" w:hAnsi="Garamond"/>
          <w:sz w:val="24"/>
          <w:szCs w:val="24"/>
        </w:rPr>
        <w:t xml:space="preserve">, promoting resource integration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{"citationItems":[{"id":"ITEM-1","itemData":{"DOI":"10.1177/1470593111429512","author":[{"dropping-particle":"","family":"Kleinaltenkamp","given":"Michael","non-dropping-particle":"","parse-names":false,"suffix":""},{"dropping-particle":"","family":"Brodie","given":"Roderick J","non-dropping-particle":"","parse-names":false,"suffix":""},{"dropping-particle":"","family":"Frow","given":"Pennie","non-dropping-particle":"","parse-names":false,"suffix":""},{"dropping-particle":"","family":"Hughes","given":"Tim","non-dropping-particle":"","parse-names":false,"suffix":""},{"dropping-particle":"","family":"Peters","given":"Linda D","non-dropping-particle":"","parse-names":false,"suffix":""}],"container-title":"Marketing Theory","id":"ITEM-1","issued":{"date-parts":[["2012"]]},"title":"Resource integration; Commentary","type":"article-journal"},"uris":["http://www.mendeley.com/documents/?uuid=9ec6b89a-a1de-478e-b133-754aa5a72a34"]}],"mendeley":{"formattedCitation":"(Kleinaltenkamp, Brodie, Frow, Hughes, &amp; Peters, 2012)","manualFormatting":"(Kleinaltenkamp et al., 2012; Storbacka et al., 2016)","plainTextFormattedCitation":"(Kleinaltenkamp, Brodie, Frow, Hughes, &amp; Peters, 2012)","previouslyFormattedCitation":"(Kleinaltenkamp et al.,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{"citationItems":[{"id":"ITEM-1","itemData":{"DOI":"10.1016/j.jbusres.2016.02.034","ISSN":"01482963","abstract":"The starting point for this research is that value co-creation is difficult to observe empirically, whereas actor engagement is observable and thus more likely to be designable and manageable. Informed by the microfoundation movement in strategic management, actor engagement is conceptualized as a microfoundation for value co-creation within the context of a service ecosystem. Using a trans-disciplinary perspective, actors are viewed not only as humans, but also as machines and various combinations of humans and machines. Actor engagement is defined as both the actor's disposition to engage, and the activity of engaging in an interactive process of resource integration within a service ecosystem. This leads to identifying research issues for actors, engagement platforms, actor disposition, engagement properties and resource integration patterns. We conclude by drawing implications based on the identified research issues.","author":[{"dropping-particle":"","family":"Storbacka","given":"Kaj","non-dropping-particle":"","parse-names":false,"suffix":""},{"dropping-particle":"","family":"Brodie","given":"Roderick J.","non-dropping-particle":"","parse-names":false,"suffix":""},{"dropping-particle":"","family":"Böhmann","given":"Tilo","non-dropping-particle":"","parse-names":false,"suffix":""},{"dropping-particle":"","family":"Maglio","given":"Paul P.","non-dropping-particle":"","parse-names":false,"suffix":""},{"dropping-particle":"","family":"Nenonen","given":"Suvi","non-dropping-particle":"","parse-names":false,"suffix":""}],"container-title":"Journal of Business Research","id":"ITEM-1","issue":"8","issued":{"date-parts":[["2016"]]},"page":"3008-3017","publisher":"Elsevier Inc.","title":"Actor engagement as a microfoundation for value co-creation","type":"article-journal","volume":"69"},"uris":["http://www.mendeley.com/documents/?uuid=369293a8-574b-4294-bb9c-e108176a0c3c"]}],"mendeley":{"formattedCitation":"(Storbacka et al., 2016)","manualFormatting":"(","plainTextFormattedCitation":"(Storbacka et al., 2016)","previouslyFormattedCitation":"(Storbacka et al., 2016)"},"properties":{"noteIndex":0},"schema":"https://github.com/citation-style-language/schema/raw/master/csl-citation.json"}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w:t>
      </w:r>
      <w:r w:rsidRPr="009672FC">
        <w:rPr>
          <w:rFonts w:ascii="Garamond" w:hAnsi="Garamond"/>
          <w:noProof/>
          <w:sz w:val="24"/>
          <w:szCs w:val="24"/>
        </w:rPr>
        <w:fldChar w:fldCharType="end"/>
      </w:r>
      <w:r w:rsidRPr="009672FC">
        <w:rPr>
          <w:rFonts w:ascii="Garamond" w:hAnsi="Garamond"/>
          <w:noProof/>
          <w:sz w:val="24"/>
          <w:szCs w:val="24"/>
        </w:rPr>
        <w:t>Kleinaltenkamp et al., 2012; Storbacka et al., 2016)</w:t>
      </w:r>
      <w:r w:rsidRPr="009672FC">
        <w:rPr>
          <w:rFonts w:ascii="Garamond" w:hAnsi="Garamond"/>
          <w:sz w:val="24"/>
          <w:szCs w:val="24"/>
        </w:rPr>
        <w:fldChar w:fldCharType="end"/>
      </w:r>
      <w:r w:rsidRPr="009672FC">
        <w:rPr>
          <w:rFonts w:ascii="Garamond" w:hAnsi="Garamond"/>
          <w:sz w:val="24"/>
          <w:szCs w:val="24"/>
        </w:rPr>
        <w:t xml:space="preserve"> and managing value co-creation process from network resourcing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{"citationItems":[{"id":"ITEM-1","itemData":{"DOI":"10.1016/j.indmarman.2016.03.005","ISSN":"00198501","abstract":"To develop innovative solutions for complex societal and scientific challenges, organizations need to move beyond the boundaries of single firms and engage in collaborative networks. In these networks, multiple, diverse stakeholders are working together to co-create innovative value. Co-creation in a network creates new challenges in terms of changed processes and outcomes. Guided by grounded theory methodology, we explore these aspects by studying a public–private partnership involving 57 stakeholders. We take the number and diversity of stakeholders into account to shed light on the distinct processes through which value is co-created and captured. We also identify the types of value outcomes that accrue to the network and its participants. Overall, we present a multi-level cyclical process framework for leveraging value in multi-stakeholder collaborations and visualize these collaborations as a value space in which all stakeholders are uniquely positioned. In doing so, this study provides novel insights into the systemic, multi-actor nature of value co-creation and supports collaborators in maximizing value for both individual stakeholders and the network as a whole.","author":[{"dropping-particle":"","family":"Reypens","given":"Charlotte","non-dropping-particle":"","parse-names":false,"suffix":""},{"dropping-particle":"","family":"Lievens","given":"Annouk","non-dropping-particle":"","parse-names":false,"suffix":""},{"dropping-particle":"","family":"Blazevic","given":"Vera","non-dropping-particle":"","parse-names":false,"suffix":""}],"container-title":"Industrial Marketing Management","id":"ITEM-1","issued":{"date-parts":[["2016"]]},"page":"40-50","publisher":"Elsevier Inc.","title":"Leveraging value in multi-stakeholder innovation networks: A process framework for value co-creation and capture","type":"article-journal","volume":"56"},"uris":["http://www.mendeley.com/documents/?uuid=a6f6b3ed-5e16-4c14-aad0-e7c366a6e4ca"]}],"mendeley":{"formattedCitation":"(Reypens et al., 2016)","manualFormatting":"(Reypens, Lievens and Blazevic, 2016;","plainTextFormattedCitation":"(Reypens et al., 2016)","previouslyFormattedCitation":"(Reypens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(Reypens, Lievens and Blazevic, 2016;</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Nogatchewsky and Pezet, 2016)","plainTextFormattedCitation":"(Donada et al., 2016)","previouslyFormattedCitation":"(Donada et al.,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Donada, Nogatchewsky and Pezet, 2016)</w:t>
      </w:r>
      <w:r w:rsidRPr="009672FC">
        <w:rPr>
          <w:rFonts w:ascii="Garamond" w:hAnsi="Garamond"/>
          <w:sz w:val="24"/>
          <w:szCs w:val="24"/>
        </w:rPr>
        <w:fldChar w:fldCharType="end"/>
      </w:r>
      <w:r w:rsidRPr="009672FC">
        <w:rPr>
          <w:rFonts w:ascii="Garamond" w:hAnsi="Garamond"/>
          <w:sz w:val="24"/>
          <w:szCs w:val="24"/>
        </w:rPr>
        <w:t xml:space="preserve">. Moreover,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Jeffrey and Singh, (1998)","plainTextFormattedCitation":"(Dyer &amp; Singh, 1998)","previouslyFormattedCitation":"(Dyer &amp; Singh, 1998)"},"properties":{"noteIndex":0},"schema":"https://github.com/citation-style-language/schema/raw/master/csl-citation.json"}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Dyer, Jeffrey and Singh, (1998)</w:t>
      </w:r>
      <w:r w:rsidRPr="009672FC">
        <w:rPr>
          <w:rFonts w:ascii="Garamond" w:hAnsi="Garamond"/>
          <w:sz w:val="24"/>
          <w:szCs w:val="24"/>
        </w:rPr>
        <w:fldChar w:fldCharType="end"/>
      </w:r>
      <w:r w:rsidRPr="009672FC">
        <w:rPr>
          <w:rFonts w:ascii="Garamond" w:hAnsi="Garamond"/>
          <w:sz w:val="24"/>
          <w:szCs w:val="24"/>
        </w:rPr>
        <w:t xml:space="preserve"> evolved the importance of investment in relations-specific assets as a source of relational rent. This means that the network must </w:t>
      </w:r>
      <w:r w:rsidRPr="009672FC">
        <w:rPr>
          <w:rFonts w:ascii="Garamond" w:hAnsi="Garamond"/>
          <w:sz w:val="24"/>
          <w:szCs w:val="24"/>
        </w:rPr>
        <w:lastRenderedPageBreak/>
        <w:t xml:space="preserve">encourage investment in common resources to foster relations and </w:t>
      </w:r>
      <w:r w:rsidR="002E3C69" w:rsidRPr="009672FC">
        <w:rPr>
          <w:rFonts w:ascii="Garamond" w:hAnsi="Garamond"/>
          <w:sz w:val="24"/>
          <w:szCs w:val="24"/>
        </w:rPr>
        <w:t xml:space="preserve">the </w:t>
      </w:r>
      <w:r w:rsidRPr="009672FC">
        <w:rPr>
          <w:rFonts w:ascii="Garamond" w:hAnsi="Garamond"/>
          <w:sz w:val="24"/>
          <w:szCs w:val="24"/>
        </w:rPr>
        <w:t xml:space="preserve">co-creation process.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{"citationItems":[{"id":"ITEM-1","itemData":{"DOI":"10.1111/apce.12058","ISSN":"14678292","abstract":"This work aims at providing a framework for the analysis of governance in networks of cooperative firms. It builds on four bodies of literature: cooperation, transaction costs, monopoly capitalism, production networks. The framework associates the specific principles that define the identity of cooperative organizations (self-help, member ownership, democratic control, financial participation, limited capital remuneration) alongside more general governance levels (embodied values, property rights, control, resource allocation). We then apply the same dimensions to production networks and propose a stylized networking model for cooperatives. We introduce market power, and identify two polarized types of networks: (1) heterarchical forms of coordination based on cooperation and mutual help, (2) hierarchical coordination based on exclusive direction. We compare both types with our normative framework providing examples and brief case studies for each network type. Recommendations to scholars and practitioners point at the opportunity to discriminate inter-firm relations and production development strategy in terms of the values of cooperation, at all governance levels. Die erweiterte Governance von genossenschaftlichen Unternehmen: Koordination zwischen den Unternehmen und Übereinstimmung der Werte: Mit diesem Beitrag wird bezweckt, einen Rahmen für die Analyse der Governance in Netzwerken genossenschaftlicher Unternehmen zu schaffen. Die Arbeit basiert auf vier Literaturbereichen: Genossenschaftswesen, Transaktionskosten, Monopolkapitalismus und Produktionsnetzwerke. Der von uns entwickelte Rahmen verbindet die spezifischen Prinzipien miteinander, die, neben allgemeineren Governance-Kategorien (verkörperte Werte, Eigentumsrechte, Kontrolle, Ressourcenallokation), die Identität genossenschaftlicher Organisationen definieren (Selbsthilfe, Unternehmen im Eigentum der Mitglieder, demokratische Kontrolle, finanzielle Beteiligung, begrenzte Kapitalrendite). Sodann wenden wir dieselben Kriterien auf Produktionsnetzwerke an und schlagen ein stilisiertes Netzwerkmodell für Genossenschaften vor. Anschließend führen wir das Phänomen der Marktmacht ein und identifizieren zwei Extrempositionen von Netzwerktypen: (1) \"heterarchische\" Koordinationsformen, die auf Kooperation und gegenseitiger Hilfe basieren, und (2) hierarchische Koordination, die auf exklusiver Anweisungsbefugnis basiert. Wir vergleichen beide Typen mit unserem normativen Rahmen, wobei wir für jeden Ne…","author":[{"dropping-particle":"","family":"Sacchetti","given":"Silvia","non-dropping-particle":"","parse-names":false,"suffix":""},{"dropping-particle":"","family":"Tortia","given":"Ermanno","non-dropping-particle":"","parse-names":false,"suffix":""}],"container-title":"Annals of Public and Cooperative Economics","id":"ITEM-1","issue":"1","issued":{"date-parts":[["2016"]]},"page":"93-116","title":"The Extended Governance of Cooperative Firms: Inter-Firm Coordination and Consistency of Values","type":"article-journal","volume":"87"},"uris":["http://www.mendeley.com/documents/?uuid=29e0d9a6-00ba-4a32-b4a4-628089c7951d"]}],"mendeley":{"formattedCitation":"(Sacchetti &amp; Tortia, 2016)","manualFormatting":"Sacchetti and Tortia (2016)","plainTextFormattedCitation":"(Sacchetti &amp; Tortia, 2016)","previouslyFormattedCitation":"(Sacchetti &amp; Tortia, 2016)"},"properties":{"noteIndex":0},"schema":"https://github.com/citation-style-language/schema/raw/master/csl-citation.json"}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Sacchetti and Tortia (2016)</w:t>
      </w:r>
      <w:r w:rsidRPr="009672FC">
        <w:rPr>
          <w:rFonts w:ascii="Garamond" w:hAnsi="Garamond"/>
          <w:sz w:val="24"/>
          <w:szCs w:val="24"/>
        </w:rPr>
        <w:fldChar w:fldCharType="end"/>
      </w:r>
      <w:r w:rsidRPr="009672FC">
        <w:rPr>
          <w:rFonts w:ascii="Garamond" w:hAnsi="Garamond"/>
          <w:sz w:val="24"/>
          <w:szCs w:val="24"/>
        </w:rPr>
        <w:t xml:space="preserve"> argue that integration of financial or contractual control (</w:t>
      </w:r>
      <w:proofErr w:type="gramStart"/>
      <w:r w:rsidRPr="009672FC">
        <w:rPr>
          <w:rFonts w:ascii="Garamond" w:hAnsi="Garamond"/>
          <w:sz w:val="24"/>
          <w:szCs w:val="24"/>
        </w:rPr>
        <w:t>e.g.</w:t>
      </w:r>
      <w:proofErr w:type="gramEnd"/>
      <w:r w:rsidRPr="009672FC">
        <w:rPr>
          <w:rFonts w:ascii="Garamond" w:hAnsi="Garamond"/>
          <w:sz w:val="24"/>
          <w:szCs w:val="24"/>
        </w:rPr>
        <w:t xml:space="preserve"> ventures, subcontracting, market forms) are oriented towards the creation of mutually beneficial opportunities in collaborative projects.</w:t>
      </w:r>
    </w:p>
    <w:p w14:paraId="25FD6555" w14:textId="54583754" w:rsidR="003D5DE8"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 xml:space="preserve">Homophily/integration. Several scholars discuss the importance of aligning existing technology with network organizational structure (e.g.,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{"citationItems":[{"id":"ITEM-1","itemData":{"DOI":"10.1016/j.indmarman.2014.10.008","ISSN":"0019-8501","author":[{"dropping-particle":"","family":"Vargo","given":"Stephen L","non-dropping-particle":"","parse-names":false,"suffix":""},{"dropping-particle":"","family":"Wieland","given":"Heiko","non-dropping-particle":"","parse-names":false,"suffix":""},{"dropping-particle":"","family":"Archpru","given":"Melissa","non-dropping-particle":"","parse-names":false,"suffix":""}],"container-title":"Industrial Marketing Management","id":"ITEM-1","issued":{"date-parts":[["2015"]]},"page":"63-72","publisher":"Elsevier Inc.","title":"Industrial Marketing Management Innovation through institutionalization : A service ecosystems perspective","type":"article-journal","volume":"44"},"uris":["http://www.mendeley.com/documents/?uuid=902c908b-79b1-430f-bca0-fd7e1a6a348a"]}],"mendeley":{"formattedCitation":"(Vargo, Wieland, &amp; Archpru, 2015)","manualFormatting":"Vargo, Wieland and Archpru, 2015)","plainTextFormattedCitation":"(Vargo, Wieland, &amp; Archpru, 2015)","previouslyFormattedCitation":"(Vargo et al.,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Vargo, Wieland and Archpru, 2015)</w:t>
      </w:r>
      <w:r w:rsidRPr="009672FC">
        <w:rPr>
          <w:rFonts w:ascii="Garamond" w:hAnsi="Garamond"/>
          <w:sz w:val="24"/>
          <w:szCs w:val="24"/>
        </w:rPr>
        <w:fldChar w:fldCharType="end"/>
      </w:r>
      <w:r w:rsidRPr="009672FC">
        <w:rPr>
          <w:rFonts w:ascii="Garamond" w:hAnsi="Garamond"/>
          <w:sz w:val="24"/>
          <w:szCs w:val="24"/>
        </w:rPr>
        <w:t xml:space="preserve">. Alignment enables the compatibility of technology knowledge transfer and organizational process, by this way, any incongruence between the business network and firms, limits innovation practice in </w:t>
      </w:r>
      <w:r w:rsidR="002E3C69" w:rsidRPr="009672FC">
        <w:rPr>
          <w:rFonts w:ascii="Garamond" w:hAnsi="Garamond"/>
          <w:sz w:val="24"/>
          <w:szCs w:val="24"/>
        </w:rPr>
        <w:t xml:space="preserve">the </w:t>
      </w:r>
      <w:r w:rsidRPr="009672FC">
        <w:rPr>
          <w:rFonts w:ascii="Garamond" w:hAnsi="Garamond"/>
          <w:sz w:val="24"/>
          <w:szCs w:val="24"/>
        </w:rPr>
        <w:t xml:space="preserve">network ecosystem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{"citationItems":[{"id":"ITEM-1","itemData":{"DOI":"10.1016/j.indmarman.2014.10.008","ISSN":"0019-8501","author":[{"dropping-particle":"","family":"Vargo","given":"Stephen L","non-dropping-particle":"","parse-names":false,"suffix":""},{"dropping-particle":"","family":"Wieland","given":"Heiko","non-dropping-particle":"","parse-names":false,"suffix":""},{"dropping-particle":"","family":"Archpru","given":"Melissa","non-dropping-particle":"","parse-names":false,"suffix":""}],"container-title":"Industrial Marketing Management","id":"ITEM-1","issued":{"date-parts":[["2015"]]},"page":"63-72","publisher":"Elsevier Inc.","title":"Industrial Marketing Management Innovation through institutionalization : A service ecosystems perspective","type":"article-journal","volume":"44"},"uris":["http://www.mendeley.com/documents/?uuid=902c908b-79b1-430f-bca0-fd7e1a6a348a"]}],"mendeley":{"formattedCitation":"(Vargo et al., 2015)","plainTextFormattedCitation":"(Vargo et al., 2015)","previouslyFormattedCitation":"(Vargo et al.,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(Vargo et al., 2015)</w:t>
      </w:r>
      <w:r w:rsidRPr="009672FC">
        <w:rPr>
          <w:rFonts w:ascii="Garamond" w:hAnsi="Garamond"/>
          <w:sz w:val="24"/>
          <w:szCs w:val="24"/>
        </w:rPr>
        <w:fldChar w:fldCharType="end"/>
      </w:r>
      <w:r w:rsidRPr="009672FC">
        <w:rPr>
          <w:rFonts w:ascii="Garamond" w:hAnsi="Garamond"/>
          <w:sz w:val="24"/>
          <w:szCs w:val="24"/>
        </w:rPr>
        <w:t xml:space="preserve">. Thus, the role of the business network is critical to resources and institutional alignment within the network to address the challenges of mistrust, abuse, and free riding. Moreover, scholars discuss the importance of institutional configuration in the context of multiple stakeholder engagement in co-creation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10.1108/03090561111095685","author":[{"dropping-particle":"","family":"Storbacka","given":"Kaj","non-dropping-particle":"","parse-names":false,"suffix":""},{"dropping-particle":"","family":"Nenonen","given":"Suvi","non-dropping-particle":"","parse-names":false,"suffix":""}],"container-title":"European Journal of Marketing","id":"ITEM-1","issue":"1","issued":{"date-parts":[["2011"]]},"page":"241-258","title":"Markets as configurations","type":"article-journal","volume":"45"},"uris":["http://www.mendeley.com/documents/?uuid=bf178d2c-d976-44b5-bd49-bc19af5e7da7"]}],"mendeley":{"formattedCitation":"(Storbacka &amp; Nenonen, 2011)","manualFormatting":"(e.g., Storbacka and Nenonen, 2011; Storbacka's et al., 2016;","plainTextFormattedCitation":"(Storbacka &amp; Nenonen, 2011)","previouslyFormattedCitation":"(Storbacka &amp; Nenonen,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(e.g., Storbacka and Nenonen, 2011; </w:t>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{"citationItems":[{"id":"ITEM-1","itemData":{"DOI":"10.1016/j.jbusres.2016.02.034","ISSN":"01482963","abstract":"The starting point for this research is that value co-creation is difficult to observe empirically, whereas actor engagement is observable and thus more likely to be designable and manageable. Informed by the microfoundation movement in strategic management, actor engagement is conceptualized as a microfoundation for value co-creation within the context of a service ecosystem. Using a trans-disciplinary perspective, actors are viewed not only as humans, but also as machines and various combinations of humans and machines. Actor engagement is defined as both the actor's disposition to engage, and the activity of engaging in an interactive process of resource integration within a service ecosystem. This leads to identifying research issues for actors, engagement platforms, actor disposition, engagement properties and resource integration patterns. We conclude by drawing implications based on the identified research issues.","author":[{"dropping-particle":"","family":"Storbacka","given":"Kaj","non-dropping-particle":"","parse-names":false,"suffix":""},{"dropping-particle":"","family":"Brodie","given":"Roderick J.","non-dropping-particle":"","parse-names":false,"suffix":""},{"dropping-particle":"","family":"Böhmann","given":"Tilo","non-dropping-particle":"","parse-names":false,"suffix":""},{"dropping-particle":"","family":"Maglio","given":"Paul P.","non-dropping-particle":"","parse-names":false,"suffix":""},{"dropping-particle":"","family":"Nenonen","given":"Suvi","non-dropping-particle":"","parse-names":false,"suffix":""}],"container-title":"Journal of Business Research","id":"ITEM-1","issue":"8","issued":{"date-parts":[["2016"]]},"page":"3008-3017","publisher":"Elsevier Inc.","title":"Actor engagement as a microfoundation for value co-creation","type":"article-journal","volume":"69"},"uris":["http://www.mendeley.com/documents/?uuid=369293a8-574b-4294-bb9c-e108176a0c3c"]}],"mendeley":{"formattedCitation":"(Storbacka et al., 2016)","manualFormatting":"Storbacka's et al., 2016","plainTextFormattedCitation":"(Storbacka et al., 2016)","previouslyFormattedCitation":"(Storbacka et al., 2016)"},"properties":{"noteIndex":0},"schema":"https://github.com/citation-style-language/schema/raw/master/csl-citation.json"}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Storbacka's et al., 2016</w:t>
      </w:r>
      <w:r w:rsidRPr="009672FC">
        <w:rPr>
          <w:rFonts w:ascii="Garamond" w:hAnsi="Garamond"/>
          <w:noProof/>
          <w:sz w:val="24"/>
          <w:szCs w:val="24"/>
        </w:rPr>
        <w:fldChar w:fldCharType="end"/>
      </w:r>
      <w:r w:rsidRPr="009672FC">
        <w:rPr>
          <w:rFonts w:ascii="Garamond" w:hAnsi="Garamond"/>
          <w:noProof/>
          <w:sz w:val="24"/>
          <w:szCs w:val="24"/>
        </w:rPr>
        <w:t>;</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{"citationItems":[{"id":"ITEM-1","itemData":{"ISSN":"00198501","abstract":"Customer engagement has emerged as a central concept in marketing. Despite extensive scholarly investigations and managerial interest though, considerations of customer engagement and emotional connections in business marketing have been scant. Researchers tend to focus on individual-level engagement, which is conceptually inadequate to address the inherently multi-actor nature of business-to-business marketing. Therefore, this article introduces the concept of collective engagement, highlighting both its characteristics and the conditions for its emergence. The resulting theoretical framework, with ten propositions, outlines the multidimensional nature of collective engagement, including its multiplicative aggregation, multidirectional valence, phenomenological and shared properties, emotional and institutional interdependence, and emergence in dynamic and multichannel settings. Collective engagement also offers a mechanism for considering emotions in business marketing, a topic that thus far has been largely ignored by the prevalent rational choice paradigm. Thus, this article contributes a systematic, coherent conceptualization of collective engagement and advances the theoretical domains of customer and actor engagement in particular and business-to-business research in general, while also suggesting a detailed research agenda.","author":[{"dropping-particle":"","family":"Kleinaltenkamp","given":"Michael","non-dropping-particle":"","parse-names":false,"suffix":""},{"dropping-particle":"","family":"Karpen","given":"Ingo O.","non-dropping-particle":"","parse-names":false,"suffix":""},{"dropping-particle":"","family":"Plewa","given":"Carolin","non-dropping-particle":"","parse-names":false,"suffix":""},{"dropping-particle":"","family":"Jaakkola","given":"E.","non-dropping-particle":"","parse-names":false,"suffix":""},{"dropping-particle":"","family":"Conduit","given":"J.","non-dropping-particle":"","parse-names":false,"suffix":""}],"container-title":"Industrial Marketing Management","id":"ITEM-1","issued":{"date-parts":[["2019"]]},"page":"11-23","publisher":"Elsevier","title":"Collective engagement in organizational settings","type":"article-journal","volume":"80"},"uris":["http://www.mendeley.com/documents/?uuid=189a4739-9ed7-4c52-805a-c4839308470e"]}],"mendeley":{"formattedCitation":"(Kleinaltenkamp et al., 2019)","manualFormatting":"Kleinaltenkamp et al., 2019;","plainTextFormattedCitation":"(Kleinaltenkamp et al., 2019)","previouslyFormattedCitation":"(Kleinaltenkamp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Kleinaltenkamp et al., 2019;</w:t>
      </w:r>
      <w:r w:rsidRPr="009672FC">
        <w:rPr>
          <w:rFonts w:ascii="Garamond" w:hAnsi="Garamond"/>
          <w:sz w:val="24"/>
          <w:szCs w:val="24"/>
        </w:rPr>
        <w:fldChar w:fldCharType="end"/>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{"citationItems":[{"id":"ITEM-1","itemData":{"DOI":"10.1016/j.ijproman.2019.12.001","ISSN":"02637863","abstract":"External stakeholder engagement is crucial for delivering value to diverse stakeholders in inter-organizational projects, however, it is not straightforward to organize this in a way that adds value. The intra-organizational focus of previous research offers limited insights into the relevant roles, responsibilities, arrangements and activities in inter-organizational contexts. Moreover, comprehensive empirical studies of the phenomenon are rare. This study explicates how internal stakeholders organize external stakeholder engagement in inter-organizational projects. Our multiple-case study of two infrastructure projects in Northern Europe identified three organizing solutions based on governance, values and dynamism. While governance-based solutions provide an overall structure for organizing external stakeholder engagement, value-based solutions ensure genuine cooperation and dynamism-based solutions facilitate timely organizing. The study develops propositions that constitute a model of how external stakeholder engagement can be organized in inter-organizational projects. The findings have implications for project stakeholder management and mainstream stakeholder research.","author":[{"dropping-particle":"","family":"Lehtinen","given":"Jere","non-dropping-particle":"","parse-names":false,"suffix":""},{"dropping-particle":"","family":"Aaltonen","given":"Kirsi","non-dropping-particle":"","parse-names":false,"suffix":""}],"container-title":"International Journal of Project Management","id":"ITEM-1","issue":"2","issued":{"date-parts":[["2020"]]},"page":"85-98","title":"Organizing external stakeholder engagement in inter-organizational projects: Opening the black box","type":"article-journal","volume":"38"},"uris":["http://www.mendeley.com/documents/?uuid=92140008-1a42-433a-8337-04045650d4a8"]}],"mendeley":{"formattedCitation":"(Lehtinen &amp; Aaltonen, 2020)","manualFormatting":" Lehtinen and Aaltonen, 2020)","plainTextFormattedCitation":"(Lehtinen &amp; Aaltonen, 2020)","previouslyFormattedCitation":"(Lehtinen &amp; Aaltonen,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Lehtinen and Aaltonen, 2020)</w:t>
      </w:r>
      <w:r w:rsidRPr="009672FC">
        <w:rPr>
          <w:rFonts w:ascii="Garamond" w:hAnsi="Garamond"/>
          <w:sz w:val="24"/>
          <w:szCs w:val="24"/>
        </w:rPr>
        <w:fldChar w:fldCharType="end"/>
      </w:r>
      <w:r w:rsidRPr="009672FC">
        <w:rPr>
          <w:rFonts w:ascii="Garamond" w:hAnsi="Garamond"/>
          <w:sz w:val="24"/>
          <w:szCs w:val="24"/>
        </w:rPr>
        <w:t xml:space="preserve"> argu</w:t>
      </w:r>
      <w:r w:rsidR="002E3C69" w:rsidRPr="009672FC">
        <w:rPr>
          <w:rFonts w:ascii="Garamond" w:hAnsi="Garamond"/>
          <w:sz w:val="24"/>
          <w:szCs w:val="24"/>
        </w:rPr>
        <w:t>e</w:t>
      </w:r>
      <w:r w:rsidRPr="009672FC">
        <w:rPr>
          <w:rFonts w:ascii="Garamond" w:hAnsi="Garamond"/>
          <w:sz w:val="24"/>
          <w:szCs w:val="24"/>
        </w:rPr>
        <w:t xml:space="preserve"> that shared norms, reputation, identity and interest are the structures that enable cooperative norms and shared values for actors’ disposition in an inter-firm co-creation context.</w:t>
      </w:r>
    </w:p>
    <w:p w14:paraId="05253EBB" w14:textId="2A10EB97" w:rsidR="003D5DE8"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 xml:space="preserve">Furthermore, relational theorists recognize the importance of institutional rules or social controls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1998)","plainTextFormattedCitation":"(Dyer &amp; Singh, 1998)","previouslyFormattedCitation":"(Dyer &amp; Singh, 1998)"},"properties":{"noteIndex":0},"schema":"https://github.com/citation-style-language/schema/raw/master/csl-citation.json"}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(Dyer &amp; Singh, 1998)</w:t>
      </w:r>
      <w:r w:rsidRPr="009672FC">
        <w:rPr>
          <w:rFonts w:ascii="Garamond" w:hAnsi="Garamond"/>
          <w:sz w:val="24"/>
          <w:szCs w:val="24"/>
        </w:rPr>
        <w:fldChar w:fldCharType="end"/>
      </w:r>
      <w:r w:rsidRPr="009672FC">
        <w:rPr>
          <w:rFonts w:ascii="Garamond" w:hAnsi="Garamond"/>
          <w:sz w:val="24"/>
          <w:szCs w:val="24"/>
        </w:rPr>
        <w:t xml:space="preserve"> as </w:t>
      </w:r>
      <w:r w:rsidR="002E3C69" w:rsidRPr="009672FC">
        <w:rPr>
          <w:rFonts w:ascii="Garamond" w:hAnsi="Garamond"/>
          <w:sz w:val="24"/>
          <w:szCs w:val="24"/>
        </w:rPr>
        <w:t xml:space="preserve">a </w:t>
      </w:r>
      <w:r w:rsidRPr="009672FC">
        <w:rPr>
          <w:rFonts w:ascii="Garamond" w:hAnsi="Garamond"/>
          <w:sz w:val="24"/>
          <w:szCs w:val="24"/>
        </w:rPr>
        <w:t xml:space="preserve">source of rent. This means, that all actors share common goals that </w:t>
      </w:r>
      <w:r w:rsidR="002E3C69" w:rsidRPr="009672FC">
        <w:rPr>
          <w:rFonts w:ascii="Garamond" w:hAnsi="Garamond"/>
          <w:sz w:val="24"/>
          <w:szCs w:val="24"/>
        </w:rPr>
        <w:t>are</w:t>
      </w:r>
      <w:r w:rsidRPr="009672FC">
        <w:rPr>
          <w:rFonts w:ascii="Garamond" w:hAnsi="Garamond"/>
          <w:sz w:val="24"/>
          <w:szCs w:val="24"/>
        </w:rPr>
        <w:t xml:space="preserve"> bigger than their individual firms’ goals. The hierarchical structures and positions embedded in institutional arrangements define actor roles and responsibilities to promote inter-firm harmony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{"citationItems":[{"id":"ITEM-1","itemData":{"DOI":"10.1177/1094670519827385","author":[{"dropping-particle":"","family":"Brodie","given":"Roderick J","non-dropping-particle":"","parse-names":false,"suffix":""},{"dropping-particle":"","family":"Fehrer","given":"Julia A","non-dropping-particle":"","parse-names":false,"suffix":""},{"dropping-particle":"","family":"Jaakkola","given":"Elina","non-dropping-particle":"","parse-names":false,"suffix":""},{"dropping-particle":"","family":"Conduit","given":"Jodie","non-dropping-particle":"","parse-names":false,"suffix":""}],"container-title":"Journal of Service Research","id":"ITEM-1","issue":"2","issued":{"date-parts":[["2019"]]},"page":"173-188","title":"Actor Engagement in Networks : Defining the Conceptual Domain","type":"article-journal","volume":"22"},"uris":["http://www.mendeley.com/documents/?uuid=0fa18959-7250-478b-94bd-a943c50f009d"]}],"mendeley":{"formattedCitation":"(Brodie, Fehrer, Jaakkola, &amp; Conduit, 2019)","plainTextFormattedCitation":"(Brodie, Fehrer, Jaakkola, &amp; Conduit, 2019)","previouslyFormattedCitation":"(Brodie et al., 2019)"},"properties":{"noteIndex":0},"schema":"https://github.com/citation-style-language/schema/raw/master/csl-citation.json"}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(Brodie, Fehrer, Jaakkola, &amp; Conduit, 2019)</w:t>
      </w:r>
      <w:r w:rsidRPr="009672FC">
        <w:rPr>
          <w:rFonts w:ascii="Garamond" w:hAnsi="Garamond"/>
          <w:sz w:val="24"/>
          <w:szCs w:val="24"/>
        </w:rPr>
        <w:fldChar w:fldCharType="end"/>
      </w:r>
      <w:r w:rsidRPr="009672FC">
        <w:rPr>
          <w:rFonts w:ascii="Garamond" w:hAnsi="Garamond"/>
          <w:sz w:val="24"/>
          <w:szCs w:val="24"/>
        </w:rPr>
        <w:t xml:space="preserve">, and programs create both asymmetries and potential barriers to entry and exit in the ecosystem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{"citationItems":[{"id":"ITEM-1","itemData":{"DOI":"10.1177/1094670519827385","author":[{"dropping-particle":"","family":"Brodie","given":"Roderick J","non-dropping-particle":"","parse-names":false,"suffix":""},{"dropping-particle":"","family":"Fehrer","given":"Julia A","non-dropping-particle":"","parse-names":false,"suffix":""},{"dropping-particle":"","family":"Jaakkola","given":"Elina","non-dropping-particle":"","parse-names":false,"suffix":""},{"dropping-particle":"","family":"Conduit","given":"Jodie","non-dropping-particle":"","parse-names":false,"suffix":""}],"container-title":"Journal of Service Research","id":"ITEM-1","issue":"2","issued":{"date-parts":[["2019"]]},"page":"173-188","title":"Actor Engagement in Networks : Defining the Conceptual Domain","type":"article-journal","volume":"22"},"uris":["http://www.mendeley.com/documents/?uuid=0fa18959-7250-478b-94bd-a943c50f009d"]}],"mendeley":{"formattedCitation":"(Brodie et al., 2019)","plainTextFormattedCitation":"(Brodie et al., 2019)","previouslyFormattedCitation":"(Brodie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(Brodie et al., 2019)</w:t>
      </w:r>
      <w:r w:rsidRPr="009672FC">
        <w:rPr>
          <w:rFonts w:ascii="Garamond" w:hAnsi="Garamond"/>
          <w:sz w:val="24"/>
          <w:szCs w:val="24"/>
        </w:rPr>
        <w:fldChar w:fldCharType="end"/>
      </w:r>
      <w:r w:rsidRPr="009672FC">
        <w:rPr>
          <w:rFonts w:ascii="Garamond" w:hAnsi="Garamond"/>
          <w:sz w:val="24"/>
          <w:szCs w:val="24"/>
        </w:rPr>
        <w:t xml:space="preserve">. Lastly,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{"citationItems":[{"id":"ITEM-1","itemData":{"DOI":"10.1016/j.ijproman.2019.12.001","ISSN":"02637863","abstract":"External stakeholder engagement is crucial for delivering value to diverse stakeholders in inter-organizational projects, however, it is not straightforward to organize this in a way that adds value. The intra-organizational focus of previous research offers limited insights into the relevant roles, responsibilities, arrangements and activities in inter-organizational contexts. Moreover, comprehensive empirical studies of the phenomenon are rare. This study explicates how internal stakeholders organize external stakeholder engagement in inter-organizational projects. Our multiple-case study of two infrastructure projects in Northern Europe identified three organizing solutions based on governance, values and dynamism. While governance-based solutions provide an overall structure for organizing external stakeholder engagement, value-based solutions ensure genuine cooperation and dynamism-based solutions facilitate timely organizing. The study develops propositions that constitute a model of how external stakeholder engagement can be organized in inter-organizational projects. The findings have implications for project stakeholder management and mainstream stakeholder research.","author":[{"dropping-particle":"","family":"Lehtinen","given":"Jere","non-dropping-particle":"","parse-names":false,"suffix":""},{"dropping-particle":"","family":"Aaltonen","given":"Kirsi","non-dropping-particle":"","parse-names":false,"suffix":""}],"container-title":"International Journal of Project Management","id":"ITEM-1","issue":"2","issued":{"date-parts":[["2020"]]},"page":"85-98","title":"Organizing external stakeholder engagement in inter-organizational projects: Opening the black box","type":"article-journal","volume":"38"},"uris":["http://www.mendeley.com/documents/?uuid=92140008-1a42-433a-8337-04045650d4a8"]}],"mendeley":{"formattedCitation":"(Lehtinen &amp; Aaltonen, 2020)","manualFormatting":"Lehtinen and Aaltonen, (2020)","plainTextFormattedCitation":"(Lehtinen &amp; Aaltonen, 2020)","previouslyFormattedCitation":"(Lehtinen &amp; Aaltonen,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Lehtinen and Aaltonen, (2020)</w:t>
      </w:r>
      <w:r w:rsidRPr="009672FC">
        <w:rPr>
          <w:rFonts w:ascii="Garamond" w:hAnsi="Garamond"/>
          <w:sz w:val="24"/>
          <w:szCs w:val="24"/>
        </w:rPr>
        <w:fldChar w:fldCharType="end"/>
      </w:r>
      <w:r w:rsidRPr="009672FC">
        <w:rPr>
          <w:rFonts w:ascii="Garamond" w:hAnsi="Garamond"/>
          <w:sz w:val="24"/>
          <w:szCs w:val="24"/>
        </w:rPr>
        <w:t xml:space="preserve">, find that </w:t>
      </w:r>
      <w:r w:rsidR="002E3C69" w:rsidRPr="009672FC">
        <w:rPr>
          <w:rFonts w:ascii="Garamond" w:hAnsi="Garamond"/>
          <w:sz w:val="24"/>
          <w:szCs w:val="24"/>
        </w:rPr>
        <w:t xml:space="preserve">the </w:t>
      </w:r>
      <w:r w:rsidRPr="009672FC">
        <w:rPr>
          <w:rFonts w:ascii="Garamond" w:hAnsi="Garamond"/>
          <w:sz w:val="24"/>
          <w:szCs w:val="24"/>
        </w:rPr>
        <w:t xml:space="preserve">institutional structure of the network provides an important atmosphere for enabling co-creation in </w:t>
      </w:r>
      <w:r w:rsidR="002E3C69" w:rsidRPr="009672FC">
        <w:rPr>
          <w:rFonts w:ascii="Garamond" w:hAnsi="Garamond"/>
          <w:sz w:val="24"/>
          <w:szCs w:val="24"/>
        </w:rPr>
        <w:t xml:space="preserve">a </w:t>
      </w:r>
      <w:r w:rsidRPr="009672FC">
        <w:rPr>
          <w:rFonts w:ascii="Garamond" w:hAnsi="Garamond"/>
          <w:sz w:val="24"/>
          <w:szCs w:val="24"/>
        </w:rPr>
        <w:t xml:space="preserve">multi-actor setting, such </w:t>
      </w:r>
      <w:r w:rsidR="002E3C69" w:rsidRPr="009672FC">
        <w:rPr>
          <w:rFonts w:ascii="Garamond" w:hAnsi="Garamond"/>
          <w:sz w:val="24"/>
          <w:szCs w:val="24"/>
        </w:rPr>
        <w:t xml:space="preserve">as </w:t>
      </w:r>
      <w:r w:rsidRPr="009672FC">
        <w:rPr>
          <w:rFonts w:ascii="Garamond" w:hAnsi="Garamond"/>
          <w:sz w:val="24"/>
          <w:szCs w:val="24"/>
        </w:rPr>
        <w:t xml:space="preserve">a network. </w:t>
      </w:r>
    </w:p>
    <w:p w14:paraId="24D7A374" w14:textId="48A6AA14" w:rsidR="002E3C69"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 xml:space="preserve">Engagement platform. Recent studies emphasize the importance of stakeholder engagement platforms </w:t>
      </w:r>
      <w:r w:rsidRPr="009672FC">
        <w:rPr>
          <w:rFonts w:ascii="Garamond" w:hAnsi="Garamond"/>
          <w:sz w:val="20"/>
        </w:rPr>
        <w:fldChar w:fldCharType="begin" w:fldLock="1"/>
      </w:r>
      <w:r w:rsidRPr="009672FC">
        <w:rPr>
          <w:rFonts w:ascii="Garamond" w:hAnsi="Garamond"/>
          <w:sz w:val="24"/>
          <w:szCs w:val="24"/>
        </w:rPr>
        <w:instrText>ADDIN CSL_CITATION {"citationItems":[{"id":"ITEM-1","itemData":{"ISSN":"00198501","abstract":"Customer engagement has emerged as a central concept in marketing. Despite extensive scholarly investigations and managerial interest though, considerations of customer engagement and emotional connections in business marketing have been scant. Researchers tend to focus on individual-level engagement, which is conceptually inadequate to address the inherently multi-actor nature of business-to-business marketing. Therefore, this article introduces the concept of collective engagement, highlighting both its characteristics and the conditions for its emergence. The resulting theoretical framework, with ten propositions, outlines the multidimensional nature of collective engagement, including its multiplicative aggregation, multidirectional valence, phenomenological and shared properties, emotional and institutional interdependence, and emergence in dynamic and multichannel settings. Collective engagement also offers a mechanism for considering emotions in business marketing, a topic that thus far has been largely ignored by the prevalent rational choice paradigm. Thus, this article contributes a systematic, coherent conceptualization of collective engagement and advances the theoretical domains of customer and actor engagement in particular and business-to-business research in general, while also suggesting a detailed research agenda.","author":[{"dropping-particle":"","family":"Kleinaltenkamp","given":"Michael","non-dropping-particle":"","parse-names":false,"suffix":""},{"dropping-particle":"","family":"Karpen","given":"Ingo O.","non-dropping-particle":"","parse-names":false,"suffix":""},{"dropping-particle":"","family":"Plewa","given":"Carolin","non-dropping-particle":"","parse-names":false,"suffix":""},{"dropping-particle":"","family":"Jaakkola","given":"E.","non-dropping-particle":"","parse-names":false,"suffix":""},{"dropping-particle":"","family":"Conduit","given":"J.","non-dropping-particle":"","parse-names":false,"suffix":""}],"container-title":"Industrial Marketing Management","id":"ITEM-1","issued":{"date-parts":[["2019"]]},"page":"11-23","publisher":"Elsevier","title":"Collective engagement in organizational settings","type":"article-journal","volume":"80"},"uris":["http://www.mendeley.com/documents/?uuid=189a4739-9ed7-4c52-805a-c4839308470e"]}],"mendeley":{"formattedCitation":"(Kleinaltenkamp et al., 2019)","manualFormatting":"(e.g., Kleinaltenkamp et al., 2019)","plainTextFormattedCitation":"(Kleinaltenkamp et al., 2019)","previouslyFormattedCitation":"(Kleinaltenkamp et al., 2019)"},"properties":{"noteIndex":0},"schema":"https://github.com/citation-style-language/schema/raw/master/csl-citation.json"}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(e.g., Kleinaltenkamp et al., 2019)</w:t>
      </w:r>
      <w:r w:rsidRPr="009672FC">
        <w:rPr>
          <w:rFonts w:ascii="Garamond" w:hAnsi="Garamond"/>
          <w:sz w:val="24"/>
          <w:szCs w:val="24"/>
        </w:rPr>
        <w:fldChar w:fldCharType="end"/>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and Singh (1998)","plainTextFormattedCitation":"(Dyer &amp; Singh, 1998)","previouslyFormattedCitation":"(Dyer &amp; Singh, 1998)"},"properties":{"noteIndex":0},"schema":"https://github.com/citation-style-language/schema/raw/master/csl-citation.json"}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Dyer and Singh (1998)</w:t>
      </w:r>
      <w:r w:rsidRPr="009672FC">
        <w:rPr>
          <w:rFonts w:ascii="Garamond" w:hAnsi="Garamond"/>
          <w:sz w:val="24"/>
          <w:szCs w:val="24"/>
        </w:rPr>
        <w:fldChar w:fldCharType="end"/>
      </w:r>
      <w:r w:rsidRPr="009672FC">
        <w:rPr>
          <w:rFonts w:ascii="Garamond" w:hAnsi="Garamond"/>
          <w:sz w:val="24"/>
          <w:szCs w:val="24"/>
        </w:rPr>
        <w:t xml:space="preserve"> evolved the investment of relations-specific assets where actors are fully and effectively engaged in a collaborative project. For example, investment in communication systems (such as IT infrastructure) enabl</w:t>
      </w:r>
      <w:r w:rsidR="002E3C69" w:rsidRPr="009672FC">
        <w:rPr>
          <w:rFonts w:ascii="Garamond" w:hAnsi="Garamond"/>
          <w:sz w:val="24"/>
          <w:szCs w:val="24"/>
        </w:rPr>
        <w:t>es</w:t>
      </w:r>
      <w:r w:rsidRPr="009672FC">
        <w:rPr>
          <w:rFonts w:ascii="Garamond" w:hAnsi="Garamond"/>
          <w:sz w:val="24"/>
          <w:szCs w:val="24"/>
        </w:rPr>
        <w:t xml:space="preserve"> a virtual interaction and hence a constant flow of information between actors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{"citationItems":[{"id":"ITEM-1","itemData":{"DOI":"10.1108/MSQ-08-2013-0158","ISBN":"2981639129","author":[{"dropping-particle":"","family":"Breidbach","given":"Christoph F","non-dropping-particle":"","parse-names":false,"suffix":""},{"dropping-particle":"","family":"Brodie","given":"Roderick","non-dropping-particle":"","parse-names":false,"suffix":""},{"dropping-particle":"","family":"Hollebeek","given":"Linda","non-dropping-particle":"","parse-names":false,"suffix":""}],"container-title":"Managing Service Quality","id":"ITEM-1","issue":"6","issued":{"date-parts":[["2014"]]},"page":"592-611","title":"\"Beyond virtuality: from engagement platforms to engagement ecosystems\", Managing Service Quality.","type":"article-journal","volume":"24"},"uris":["http://www.mendeley.com/documents/?uuid=ce39fa7c-ee56-4dec-9bfa-578d192fefa6"]}],"mendeley":{"formattedCitation":"(Breidbach, Brodie, &amp; Hollebeek, 2014)","plainTextFormattedCitation":"(Breidbach, Brodie, &amp; Hollebeek, 2014)","previouslyFormattedCitation":"(Breidbach et al., 2014)"},"properties":{"noteIndex":0},"schema":"https://github.com/citation-style-language/schema/raw/master/csl-citation.json"}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(Breidbach, Brodie, &amp; Hollebeek, 2014)</w:t>
      </w:r>
      <w:r w:rsidRPr="009672FC">
        <w:rPr>
          <w:rFonts w:ascii="Garamond" w:hAnsi="Garamond"/>
          <w:sz w:val="24"/>
          <w:szCs w:val="24"/>
        </w:rPr>
        <w:fldChar w:fldCharType="end"/>
      </w:r>
      <w:r w:rsidRPr="009672FC">
        <w:rPr>
          <w:rFonts w:ascii="Garamond" w:hAnsi="Garamond"/>
          <w:sz w:val="24"/>
          <w:szCs w:val="24"/>
        </w:rPr>
        <w:t xml:space="preserve">. These practices reduce the challenges of physical interaction in a specific </w:t>
      </w:r>
      <w:r w:rsidRPr="009672FC">
        <w:rPr>
          <w:rFonts w:ascii="Garamond" w:hAnsi="Garamond"/>
          <w:sz w:val="24"/>
          <w:szCs w:val="24"/>
        </w:rPr>
        <w:lastRenderedPageBreak/>
        <w:t>network context. These engagement platforms are the means where inter-firm engagement activities are carried out. This includes the creation of a social mechanism, both physical and virtual engagement atmosphere, conferences, and social and interpersonal bonding events, allowing for the socialization of entrepreneurs.</w:t>
      </w:r>
    </w:p>
    <w:p w14:paraId="4F531176" w14:textId="1115DD6F" w:rsidR="003D5DE8"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 xml:space="preserve">Trust building mechanism. Through </w:t>
      </w:r>
      <w:r w:rsidR="002E3C69" w:rsidRPr="009672FC">
        <w:rPr>
          <w:rFonts w:ascii="Garamond" w:hAnsi="Garamond"/>
          <w:sz w:val="24"/>
          <w:szCs w:val="24"/>
        </w:rPr>
        <w:t xml:space="preserve">a </w:t>
      </w:r>
      <w:r w:rsidRPr="009672FC">
        <w:rPr>
          <w:rFonts w:ascii="Garamond" w:hAnsi="Garamond"/>
          <w:sz w:val="24"/>
          <w:szCs w:val="24"/>
        </w:rPr>
        <w:t xml:space="preserve">collaborative partnership, network actors tend to adopt network ethical values: </w:t>
      </w:r>
      <w:r w:rsidR="002E3C69" w:rsidRPr="009672FC">
        <w:rPr>
          <w:rFonts w:ascii="Garamond" w:hAnsi="Garamond"/>
          <w:sz w:val="24"/>
          <w:szCs w:val="24"/>
        </w:rPr>
        <w:t>“</w:t>
      </w:r>
      <w:r w:rsidRPr="009672FC">
        <w:rPr>
          <w:rFonts w:ascii="Garamond" w:hAnsi="Garamond"/>
          <w:sz w:val="24"/>
          <w:szCs w:val="24"/>
        </w:rPr>
        <w:t>solidarity, altruism, loyalty, trust, reputation, trust and act in good faith</w:t>
      </w:r>
      <w:r w:rsidR="002E3C69" w:rsidRPr="009672FC">
        <w:rPr>
          <w:rFonts w:ascii="Garamond" w:hAnsi="Garamond"/>
          <w:sz w:val="24"/>
          <w:szCs w:val="24"/>
        </w:rPr>
        <w:t>”</w:t>
      </w:r>
      <w:r w:rsidRPr="009672FC">
        <w:rPr>
          <w:rFonts w:ascii="Garamond" w:hAnsi="Garamond"/>
          <w:sz w:val="24"/>
          <w:szCs w:val="24"/>
        </w:rPr>
        <w:t xml:space="preserve">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and Ricciardi, 2015, pp. 43-44)","plainTextFormattedCitation":"(Rossignoli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(Rossignoli and Ricciardi, 2015, pp. 43-44)</w:t>
      </w:r>
      <w:r w:rsidRPr="009672FC">
        <w:rPr>
          <w:rFonts w:ascii="Garamond" w:hAnsi="Garamond"/>
          <w:sz w:val="24"/>
          <w:szCs w:val="24"/>
        </w:rPr>
        <w:fldChar w:fldCharType="end"/>
      </w:r>
      <w:r w:rsidRPr="009672FC">
        <w:rPr>
          <w:rFonts w:ascii="Garamond" w:hAnsi="Garamond"/>
          <w:sz w:val="24"/>
          <w:szCs w:val="24"/>
        </w:rPr>
        <w:t xml:space="preserve">. </w:t>
      </w:r>
      <w:r w:rsidR="002E3C69" w:rsidRPr="009672FC">
        <w:rPr>
          <w:rFonts w:ascii="Garamond" w:hAnsi="Garamond"/>
          <w:sz w:val="24"/>
          <w:szCs w:val="24"/>
        </w:rPr>
        <w:t>These scholars argue that u</w:t>
      </w:r>
      <w:r w:rsidRPr="009672FC">
        <w:rPr>
          <w:rFonts w:ascii="Garamond" w:hAnsi="Garamond"/>
          <w:sz w:val="24"/>
          <w:szCs w:val="24"/>
        </w:rPr>
        <w:t>nder these conditions, interaction among network actors and their recurrent expectations of exchanges, promote relational ties, and thus reduce opportunistic behavio</w:t>
      </w:r>
      <w:r w:rsidR="002E3C69" w:rsidRPr="009672FC">
        <w:rPr>
          <w:rFonts w:ascii="Garamond" w:hAnsi="Garamond"/>
          <w:sz w:val="24"/>
          <w:szCs w:val="24"/>
        </w:rPr>
        <w:t>u</w:t>
      </w:r>
      <w:r w:rsidRPr="009672FC">
        <w:rPr>
          <w:rFonts w:ascii="Garamond" w:hAnsi="Garamond"/>
          <w:sz w:val="24"/>
          <w:szCs w:val="24"/>
        </w:rPr>
        <w:t>r.</w:t>
      </w:r>
    </w:p>
    <w:p w14:paraId="4337E9A6" w14:textId="75A0C5C0" w:rsidR="002E3C69" w:rsidRPr="009672FC" w:rsidRDefault="007549AA" w:rsidP="002E3C69">
      <w:pPr>
        <w:pStyle w:val="MDPI18keywords"/>
        <w:spacing w:line="360" w:lineRule="auto"/>
        <w:ind w:left="0"/>
        <w:rPr>
          <w:rFonts w:ascii="Garamond" w:hAnsi="Garamond"/>
          <w:sz w:val="24"/>
          <w:szCs w:val="24"/>
        </w:rPr>
      </w:pPr>
      <w:r w:rsidRPr="009672FC">
        <w:rPr>
          <w:rFonts w:ascii="Garamond" w:hAnsi="Garamond"/>
          <w:sz w:val="24"/>
          <w:szCs w:val="24"/>
        </w:rPr>
        <w:t>Coordination and control. Studies suggest that critical challenges confronting inter-firm engagement is coordination and control. Coordination of collaborative projects includes the management of common-network proprietary knowledge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10.1016/j.respol.2010.05.003","ISSN":"0048-7333","author":[{"dropping-particle":"De","family":"Faria","given":"Pedro","non-dropping-particle":"","parse-names":false,"suffix":""},{"dropping-particle":"","family":"Lima","given":"Francisco","non-dropping-particle":"","parse-names":false,"suffix":""},{"dropping-particle":"","family":"Santos","given":"Rui","non-dropping-particle":"","parse-names":false,"suffix":""}],"container-title":"Research Policy","id":"ITEM-1","issue":"8","issued":{"date-parts":[["2010"]]},"page":"1082-1092","publisher":"Elsevier B.V.","title":"Cooperation in innovation activities : The importance of partners","type":"article-journal","volume":"39"},"uris":["http://www.mendeley.com/documents/?uuid=2596217f-41c1-464a-93bb-76b214bea07c"]}],"mendeley":{"formattedCitation":"(Faria, Lima, &amp; Santos, 2010)","manualFormatting":"Faria, Lima and Santos, 2010)","plainTextFormattedCitation":"(Faria, Lima, &amp; Santos, 2010)","previouslyFormattedCitation":"(Faria et al.,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Faria, Lima and Santos, 2010)</w:t>
      </w:r>
      <w:r w:rsidRPr="009672FC">
        <w:rPr>
          <w:rFonts w:ascii="Garamond" w:hAnsi="Garamond"/>
          <w:sz w:val="24"/>
          <w:szCs w:val="24"/>
        </w:rPr>
        <w:fldChar w:fldCharType="end"/>
      </w:r>
      <w:r w:rsidRPr="009672FC">
        <w:rPr>
          <w:rFonts w:ascii="Garamond" w:hAnsi="Garamond"/>
          <w:sz w:val="24"/>
          <w:szCs w:val="24"/>
        </w:rPr>
        <w:t xml:space="preserve">, managing social ties and interaction </w:t>
      </w:r>
      <w:r w:rsidRPr="009672FC">
        <w:rPr>
          <w:rFonts w:ascii="Garamond" w:hAnsi="Garamond"/>
          <w:sz w:val="20"/>
        </w:rPr>
        <w:fldChar w:fldCharType="begin" w:fldLock="1"/>
      </w:r>
      <w:r w:rsidR="00813D37" w:rsidRPr="009672FC">
        <w:rPr>
          <w:rFonts w:ascii="Garamond" w:hAnsi="Garamond"/>
          <w:sz w:val="24"/>
          <w:szCs w:val="24"/>
        </w:rPr>
        <w:instrText>ADDIN CSL_CITATION {"citationItems":[{"id":"ITEM-1","itemData":{"DOI":"10.1287/orsc.1090.0428","author":[{"dropping-particle":"","family":"Raisch","given":"Sebastian","non-dropping-particle":"","parse-names":false,"suffix":""},{"dropping-particle":"","family":"Birkinshaw","given":"Julian","non-dropping-particle":"","parse-names":false,"suffix":""},{"dropping-particle":"","family":"Probst","given":"Gilbert","non-dropping-particle":"","parse-names":false,"suffix":""},{"dropping-particle":"","family":"Tushman","given":"Michael L","non-dropping-particle":"","parse-names":false,"suffix":""}],"container-title":"Organization Science","id":"ITEM-1","issue":"4","issued":{"date-parts":[["2009"]]},"page":"685-695","title":"Organizational Ambidexterity: Balancing Exploitation and Exploration for Sustained Performance","type":"article-journal","volume":"20"},"uris":["http://www.mendeley.com/documents/?uuid=bf8ebce3-156b-4e7f-afea-4ad9f740a41b"]}],"mendeley":{"formattedCitation":"(Raisch, Birkinshaw, Probst, &amp; Tushman, 2009)","plainTextFormattedCitation":"(Raisch, Birkinshaw, Probst, &amp; Tushman, 2009)","previouslyFormattedCitation":"(Raisch et al., 2009)"},"properties":{"noteIndex":0},"schema":"https://github.com/citation-style-language/schema/raw/master/csl-citation.json"}</w:instrText>
      </w:r>
      <w:r w:rsidRPr="009672FC">
        <w:rPr>
          <w:rFonts w:ascii="Garamond" w:hAnsi="Garamond"/>
          <w:sz w:val="24"/>
          <w:szCs w:val="24"/>
        </w:rPr>
        <w:fldChar w:fldCharType="separate"/>
      </w:r>
      <w:r w:rsidR="00813D37" w:rsidRPr="009672FC">
        <w:rPr>
          <w:rFonts w:ascii="Garamond" w:hAnsi="Garamond"/>
          <w:noProof/>
          <w:sz w:val="24"/>
          <w:szCs w:val="24"/>
        </w:rPr>
        <w:t>(Raisch, Birkinshaw, Probst, &amp; Tushman, 2009)</w:t>
      </w:r>
      <w:r w:rsidRPr="009672FC">
        <w:rPr>
          <w:rFonts w:ascii="Garamond" w:hAnsi="Garamond"/>
          <w:sz w:val="24"/>
          <w:szCs w:val="24"/>
        </w:rPr>
        <w:fldChar w:fldCharType="end"/>
      </w:r>
      <w:r w:rsidRPr="009672FC">
        <w:rPr>
          <w:rFonts w:ascii="Garamond" w:hAnsi="Garamond"/>
          <w:sz w:val="24"/>
          <w:szCs w:val="24"/>
        </w:rPr>
        <w:t xml:space="preserve"> thus enabling inter-firm relationship</w:t>
      </w:r>
      <w:r w:rsidR="002E3C69" w:rsidRPr="009672FC">
        <w:rPr>
          <w:rFonts w:ascii="Garamond" w:hAnsi="Garamond"/>
          <w:sz w:val="24"/>
          <w:szCs w:val="24"/>
        </w:rPr>
        <w:t>s</w:t>
      </w:r>
      <w:r w:rsidRPr="009672FC">
        <w:rPr>
          <w:rFonts w:ascii="Garamond" w:hAnsi="Garamond"/>
          <w:sz w:val="24"/>
          <w:szCs w:val="24"/>
        </w:rPr>
        <w:t xml:space="preserve"> and resource</w:t>
      </w:r>
      <w:r w:rsidR="002E3C69" w:rsidRPr="009672FC">
        <w:rPr>
          <w:rFonts w:ascii="Garamond" w:hAnsi="Garamond"/>
          <w:sz w:val="24"/>
          <w:szCs w:val="24"/>
        </w:rPr>
        <w:t>s</w:t>
      </w:r>
      <w:r w:rsidRPr="009672FC">
        <w:rPr>
          <w:rFonts w:ascii="Garamond" w:hAnsi="Garamond"/>
          <w:sz w:val="24"/>
          <w:szCs w:val="24"/>
        </w:rPr>
        <w:t xml:space="preserve"> integration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{"citationItems":[{"id":"ITEM-1","itemData":{"DOI":"10.1287/orsc.1080.0406","author":[{"dropping-particle":"","family":"Andriopoulos","given":"Constantine","non-dropping-particle":"","parse-names":false,"suffix":""},{"dropping-particle":"","family":"Lewis","given":"Marianne W","non-dropping-particle":"","parse-names":false,"suffix":""}],"container-title":"Organization Science","id":"ITEM-1","issue":"4","issued":{"date-parts":[["2009"]]},"page":"696-717","title":"Exploitation-Exploration Tensions and Organizational Ambidexterity: Managing Paradoxes of Innovation","type":"article-journal","volume":"24"},"uris":["http://www.mendeley.com/documents/?uuid=9ca5cac4-8ef8-49e6-9741-4bc03769fc15"]}],"mendeley":{"formattedCitation":"(Andriopoulos &amp; Lewis, 2009)","manualFormatting":"(Su-rong and Wen-ping, 2012; Andriopoulos and Lewis, 2009)","plainTextFormattedCitation":"(Andriopoulos &amp; Lewis, 2009)","previouslyFormattedCitation":"(Andriopoulos &amp; Lewis, 2009)"},"properties":{"noteIndex":0},"schema":"https://github.com/citation-style-language/schema/raw/master/csl-citation.json"}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0"/>
        </w:rPr>
        <w:fldChar w:fldCharType="begin" w:fldLock="1"/>
      </w:r>
      <w:r w:rsidRPr="009672FC">
        <w:rPr>
          <w:rFonts w:ascii="Garamond" w:hAnsi="Garamond"/>
          <w:noProof/>
          <w:sz w:val="24"/>
          <w:szCs w:val="24"/>
        </w:rPr>
        <w:instrText>ADDIN CSL_CITATION {"citationItems":[{"id":"ITEM-1","itemData":{"DOI":"10.1016/j.phpro.2012.02.185","ISSN":"1875-3892","author":[{"dropping-particle":"","family":"Su-rong","given":"Zhang","non-dropping-particle":"","parse-names":false,"suffix":""},{"dropping-particle":"","family":"Wen-ping","given":"Wang","non-dropping-particle":"","parse-names":false,"suffix":""}],"container-title":"Physics Procedia","id":"ITEM-1","issued":{"date-parts":[["2012"]]},"page":"1238-1242","title":"Inter-firm Networks, Organizational Learning and Knowledge Updating: An Empirical Study","type":"article-journal","volume":"24"},"uris":["http://www.mendeley.com/documents/?uuid=f3db5b04-7f1c-49c6-a1ec-65e19a863989"]}],"mendeley":{"formattedCitation":"(Su-rong &amp; Wen-ping, 2012)","manualFormatting":"(Su-rong and Wen-ping, 2012","plainTextFormattedCitation":"(Su-rong &amp; Wen-ping, 2012)","previouslyFormattedCitation":"(Su-rong &amp; Wen-ping, 2012)"},"properties":{"noteIndex":0},"schema":"https://github.com/citation-style-language/schema/raw/master/csl-citation.json"}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(Su-rong and Wen-ping, 2012</w:t>
      </w:r>
      <w:r w:rsidRPr="009672FC">
        <w:rPr>
          <w:rFonts w:ascii="Garamond" w:hAnsi="Garamond"/>
          <w:noProof/>
          <w:sz w:val="24"/>
          <w:szCs w:val="24"/>
        </w:rPr>
        <w:fldChar w:fldCharType="end"/>
      </w:r>
      <w:r w:rsidRPr="009672FC">
        <w:rPr>
          <w:rFonts w:ascii="Garamond" w:hAnsi="Garamond"/>
          <w:noProof/>
          <w:sz w:val="24"/>
          <w:szCs w:val="24"/>
        </w:rPr>
        <w:t>; Andriopoulos and Lewis, 2009)</w:t>
      </w:r>
      <w:r w:rsidRPr="009672FC">
        <w:rPr>
          <w:rFonts w:ascii="Garamond" w:hAnsi="Garamond"/>
          <w:sz w:val="24"/>
          <w:szCs w:val="24"/>
        </w:rPr>
        <w:fldChar w:fldCharType="end"/>
      </w:r>
      <w:r w:rsidRPr="009672FC">
        <w:rPr>
          <w:rFonts w:ascii="Garamond" w:hAnsi="Garamond"/>
          <w:sz w:val="24"/>
          <w:szCs w:val="24"/>
        </w:rPr>
        <w:t xml:space="preserve">. Such control practices mitigate against external knowledge spillover, and actors’ appropriation concerns </w:t>
      </w:r>
      <w:r w:rsidRPr="009672FC">
        <w:rPr>
          <w:rFonts w:ascii="Garamond" w:hAnsi="Garamond"/>
          <w:sz w:val="20"/>
        </w:rPr>
        <w:fldChar w:fldCharType="begin" w:fldLock="1"/>
      </w:r>
      <w:r w:rsidRPr="009672FC">
        <w:rPr>
          <w:rFonts w:ascii="Garamond" w:hAnsi="Garamond"/>
          <w:sz w:val="24"/>
          <w:szCs w:val="24"/>
        </w:rPr>
        <w:instrText>ADDIN CSL_CITATION {"citationItems":[{"id":"ITEM-1","itemData":{"DOI":"10.1111/j.1467-8551.2010.00688.x","ISSN":"10453172","abstract":"Project alliances offer firms an opportunity to increase innovation performance through the flexible combination of specialized competencies across firms. Inspired by internal project management I classify two metrics of project alliances: formal and emergent operating practices. This study of 166 project alliances analyses the innovation performance impact of those practices. I find that emergent operating practices improve planned and serendipitous innovation regardless of a firm's size. After a classification of two groups, small and large firms, I find that firm size moderates the effect of formal operating practices. Results show that small firms can improve their innovation performance by formal operating practices. Instead, large firms will face performance reductions on planned innovation when implementing formal operating practices. © 2010 British Academy of Management.","author":[{"dropping-particle":"","family":"Bouncken","given":"Ricarda B.","non-dropping-particle":"","parse-names":false,"suffix":""}],"container-title":"British Journal of Management","id":"ITEM-1","issue":"4","issued":{"date-parts":[["2011"]]},"page":"586-608","title":"Innovation by Operating Practices in Project Alliances - When Size Matters","type":"article-journal","volume":"22"},"uris":["http://www.mendeley.com/documents/?uuid=d4ddaf71-dd27-484d-b0f1-566dc6da9551"]}],"mendeley":{"formattedCitation":"(Bouncken, 2011)","plainTextFormattedCitation":"(Bouncken, 2011)","previouslyFormattedCitation":"(Bouncken, 2011)"},"properties":{"noteIndex":0},"schema":"https://github.com/citation-style-language/schema/raw/master/csl-citation.json"}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(Bouncken, 2011)</w:t>
      </w:r>
      <w:r w:rsidRPr="009672FC">
        <w:rPr>
          <w:rFonts w:ascii="Garamond" w:hAnsi="Garamond"/>
          <w:sz w:val="24"/>
          <w:szCs w:val="24"/>
        </w:rPr>
        <w:fldChar w:fldCharType="end"/>
      </w:r>
      <w:r w:rsidRPr="009672FC">
        <w:rPr>
          <w:rFonts w:ascii="Garamond" w:hAnsi="Garamond"/>
          <w:sz w:val="24"/>
          <w:szCs w:val="24"/>
        </w:rPr>
        <w:t>. Although, it is challenging for the business network to achieve this, managing these learning practices, are potential sources of network competitive [dis]advantage.</w:t>
      </w:r>
    </w:p>
    <w:p w14:paraId="4B39FB1A" w14:textId="03E20E89" w:rsidR="003D5DE8" w:rsidRPr="009672FC" w:rsidRDefault="007549AA" w:rsidP="002E3C69">
      <w:pPr>
        <w:pStyle w:val="MDPI51figurecaption"/>
        <w:numPr>
          <w:ilvl w:val="1"/>
          <w:numId w:val="9"/>
        </w:numPr>
        <w:spacing w:line="360" w:lineRule="auto"/>
        <w:jc w:val="both"/>
        <w:outlineLvl w:val="1"/>
        <w:rPr>
          <w:rFonts w:ascii="Garamond" w:hAnsi="Garamond"/>
          <w:b/>
          <w:bCs/>
          <w:sz w:val="24"/>
          <w:szCs w:val="24"/>
        </w:rPr>
      </w:pPr>
      <w:r w:rsidRPr="009672FC">
        <w:rPr>
          <w:rFonts w:ascii="Garamond" w:hAnsi="Garamond"/>
          <w:b/>
          <w:bCs/>
          <w:sz w:val="24"/>
          <w:szCs w:val="24"/>
        </w:rPr>
        <w:t xml:space="preserve"> </w:t>
      </w:r>
      <w:bookmarkStart w:id="90" w:name="_Toc85617732"/>
      <w:bookmarkStart w:id="91" w:name="_Toc85708726"/>
      <w:bookmarkStart w:id="92" w:name="_Toc85709740"/>
      <w:r w:rsidRPr="009672FC">
        <w:rPr>
          <w:rFonts w:ascii="Garamond" w:hAnsi="Garamond"/>
          <w:b/>
          <w:bCs/>
          <w:sz w:val="24"/>
          <w:szCs w:val="24"/>
        </w:rPr>
        <w:t>Materials and Methods</w:t>
      </w:r>
      <w:bookmarkEnd w:id="90"/>
      <w:bookmarkEnd w:id="91"/>
      <w:bookmarkEnd w:id="92"/>
    </w:p>
    <w:p w14:paraId="0A62E9CB" w14:textId="77777777" w:rsidR="003D5DE8" w:rsidRPr="009672FC" w:rsidRDefault="007549AA" w:rsidP="002E3C69">
      <w:pPr>
        <w:pStyle w:val="MDPI51figurecaption"/>
        <w:numPr>
          <w:ilvl w:val="2"/>
          <w:numId w:val="9"/>
        </w:numPr>
        <w:spacing w:after="0" w:line="360" w:lineRule="auto"/>
        <w:jc w:val="both"/>
        <w:outlineLvl w:val="2"/>
        <w:rPr>
          <w:rFonts w:ascii="Garamond" w:hAnsi="Garamond"/>
          <w:b/>
          <w:bCs/>
          <w:sz w:val="24"/>
          <w:szCs w:val="24"/>
        </w:rPr>
      </w:pPr>
      <w:bookmarkStart w:id="93" w:name="_Toc85617733"/>
      <w:bookmarkStart w:id="94" w:name="_Toc85708727"/>
      <w:bookmarkStart w:id="95" w:name="_Toc85709741"/>
      <w:r w:rsidRPr="009672FC">
        <w:rPr>
          <w:rFonts w:ascii="Garamond" w:hAnsi="Garamond"/>
          <w:b/>
          <w:bCs/>
          <w:i/>
          <w:iCs/>
          <w:sz w:val="24"/>
          <w:szCs w:val="24"/>
        </w:rPr>
        <w:t>A Single Case Study Approach</w:t>
      </w:r>
      <w:bookmarkStart w:id="96" w:name="_Hlk34272121"/>
      <w:bookmarkEnd w:id="93"/>
      <w:bookmarkEnd w:id="94"/>
      <w:bookmarkEnd w:id="95"/>
    </w:p>
    <w:p w14:paraId="041FAB87" w14:textId="2038F394" w:rsidR="002E3C69" w:rsidRPr="009672FC" w:rsidRDefault="007549AA" w:rsidP="002E3C69">
      <w:pPr>
        <w:spacing w:line="360" w:lineRule="auto"/>
        <w:jc w:val="both"/>
        <w:rPr>
          <w:rFonts w:ascii="Garamond" w:hAnsi="Garamond"/>
        </w:rPr>
      </w:pPr>
      <w:r w:rsidRPr="009672FC">
        <w:rPr>
          <w:rFonts w:ascii="Garamond" w:hAnsi="Garamond"/>
        </w:rPr>
        <w:t xml:space="preserve">The present study contextualizes the role of </w:t>
      </w:r>
      <w:r w:rsidR="002E3C69" w:rsidRPr="009672FC">
        <w:rPr>
          <w:rFonts w:ascii="Garamond" w:hAnsi="Garamond"/>
        </w:rPr>
        <w:t xml:space="preserve">the </w:t>
      </w:r>
      <w:r w:rsidRPr="009672FC">
        <w:rPr>
          <w:rFonts w:ascii="Garamond" w:hAnsi="Garamond"/>
        </w:rPr>
        <w:t xml:space="preserve">business network in organizing inter-firm engagement, antecedents enabling such engagement, and their linkages with network relational capabilities. A single case study approach was employed </w:t>
      </w:r>
      <w:r w:rsidRPr="009672FC">
        <w:rPr>
          <w:rFonts w:ascii="Garamond" w:hAnsi="Garamond"/>
        </w:rPr>
        <w:fldChar w:fldCharType="begin" w:fldLock="1"/>
      </w:r>
      <w:r w:rsidRPr="009672FC">
        <w:rPr>
          <w:rFonts w:ascii="Garamond" w:hAnsi="Garamond"/>
        </w:rPr>
        <w:instrText>ADDIN CSL_CITATION {"citationItems":[{"id":"ITEM-1","itemData":{"author":[{"dropping-particle":"","family":"Eisenhardt","given":"Kathleen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Research","type":"article-journal","volume":"14"},"uris":["http://www.mendeley.com/documents/?uuid=9f7de81d-1386-4764-b001-d83d1fe00724"]}],"mendeley":{"formattedCitation":"(Eisenhardt, 1989a)","manualFormatting":"(Eisenhardt, 1989;","plainTextFormattedCitation":"(Eisenhardt, 1989a)","previouslyFormattedCitation":"(Eisenhardt, 1989a)"},"properties":{"noteIndex":0},"schema":"https://github.com/citation-style-language/schema/raw/master/csl-citation.json"}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(Eisenhardt, 1989;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Rashid, Warraich, Sameen Sabir, &amp; Waseem, 2019)","manualFormatting":"Rashid et al., 2019)","plainTextFormattedCitation":"(Rashid, Rashid, Warraich, Sameen Sabir, &amp; Waseem, 2019)","previouslyFormattedCitation":"(Rashid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Rashid et al., 2019)</w:t>
      </w:r>
      <w:r w:rsidRPr="009672FC">
        <w:rPr>
          <w:rFonts w:ascii="Garamond" w:hAnsi="Garamond"/>
        </w:rPr>
        <w:fldChar w:fldCharType="end"/>
      </w:r>
      <w:r w:rsidRPr="009672FC">
        <w:rPr>
          <w:rFonts w:ascii="Garamond" w:hAnsi="Garamond"/>
        </w:rPr>
        <w:t xml:space="preserve">. Since </w:t>
      </w:r>
      <w:r w:rsidR="002E3C69" w:rsidRPr="009672FC">
        <w:rPr>
          <w:rFonts w:ascii="Garamond" w:hAnsi="Garamond"/>
        </w:rPr>
        <w:t xml:space="preserve">an </w:t>
      </w:r>
      <w:r w:rsidRPr="009672FC">
        <w:rPr>
          <w:rFonts w:ascii="Garamond" w:hAnsi="Garamond"/>
        </w:rPr>
        <w:t xml:space="preserve">inter-firm relationship is characterized by social interaction, we consider an explorative case study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2018)</w:t>
      </w:r>
      <w:r w:rsidRPr="009672FC">
        <w:rPr>
          <w:rFonts w:ascii="Garamond" w:hAnsi="Garamond"/>
        </w:rPr>
        <w:fldChar w:fldCharType="end"/>
      </w:r>
      <w:r w:rsidRPr="009672FC">
        <w:rPr>
          <w:rFonts w:ascii="Garamond" w:hAnsi="Garamond"/>
        </w:rPr>
        <w:t xml:space="preserve"> as a suitable method to observe the relational dynamics associated with inter-firm engagement practices. Rashid et al., (2019, p. 1) argue that through a case study approach, social phenomena can be explored in great depth – allowing for discussion over the “why” or “how” phenomenon within some social context. Further, a case study approach sought to provide a systematic but open assessment of experiences because of its exploratory power </w:t>
      </w:r>
      <w:r w:rsidRPr="009672FC">
        <w:rPr>
          <w:rFonts w:ascii="Garamond" w:hAnsi="Garamond"/>
        </w:rPr>
        <w:fldChar w:fldCharType="begin" w:fldLock="1"/>
      </w:r>
      <w:r w:rsidRPr="009672FC">
        <w:rPr>
          <w:rFonts w:ascii="Garamond" w:hAnsi="Garamond"/>
        </w:rPr>
        <w:instrText>ADDIN CSL_CITATION {"citationItems":[{"id":"ITEM-1","itemData":{"author":[{"dropping-particle":"","family":"Rowley","given":"Jennifer","non-dropping-particle":"","parse-names":false,"suffix":""}],"container-title":"Management Research News","id":"ITEM-1","issued":{"date-parts":[["2000"]]},"page":"16-27","title":"Using Case Studies in Research","type":"article-journal","volume":"25"},"uris":["http://www.mendeley.com/documents/?uuid=88f744f7-f513-4238-a806-e79b31ffd0dd"]}],"mendeley":{"formattedCitation":"(Rowley, 2000)","manualFormatting":"(see Rowley, 2000;","plainTextFormattedCitation":"(Rowley, 2000)","previouslyFormattedCitation":"(Rowley,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(see </w:t>
      </w:r>
      <w:r w:rsidRPr="009672FC">
        <w:rPr>
          <w:rFonts w:ascii="Garamond" w:hAnsi="Garamond"/>
          <w:noProof/>
        </w:rPr>
        <w:lastRenderedPageBreak/>
        <w:t>Rowley, 2000;</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Editio","id":"ITEM-1","issued":{"date-parts":[["2009"]]},"publisher":"Pearson Education Limited","publisher-place":"Edinburgh Gate, Harlow, Essex CM20 2JE, England","title":"Research methods for business students","type":"book"},"uris":["http://www.mendeley.com/documents/?uuid=4bf0f9df-7383-4d65-8a69-66ac683dc8c8"]}],"mendeley":{"formattedCitation":"(M. Saunders, Lewis, &amp; Thornhill, 2009)","manualFormatting":"Saunders, Lewis and Thornhill, 2009)","plainTextFormattedCitation":"(M. Saunders, Lewis, &amp; Thornhill, 2009)","previouslyFormattedCitation":"(M. Saunders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Saunders, Lewis and Thornhill, 2009)</w:t>
      </w:r>
      <w:r w:rsidRPr="009672FC">
        <w:rPr>
          <w:rFonts w:ascii="Garamond" w:hAnsi="Garamond"/>
        </w:rPr>
        <w:fldChar w:fldCharType="end"/>
      </w:r>
      <w:r w:rsidRPr="009672FC">
        <w:rPr>
          <w:rFonts w:ascii="Garamond" w:hAnsi="Garamond"/>
        </w:rPr>
        <w:t xml:space="preserve"> to uncover the underlying social aspects in network-actor engagements over time, with simultaneous inclusion of theoretical constructs </w:t>
      </w:r>
      <w:r w:rsidRPr="009672FC">
        <w:rPr>
          <w:rFonts w:ascii="Garamond" w:hAnsi="Garamond"/>
        </w:rPr>
        <w:fldChar w:fldCharType="begin" w:fldLock="1"/>
      </w:r>
      <w:r w:rsidRPr="009672FC">
        <w:rPr>
          <w:rFonts w:ascii="Garamond" w:hAnsi="Garamond"/>
        </w:rPr>
        <w:instrText>ADDIN CSL_CITATION {"citationItems":[{"id":"ITEM-1","itemData":{"author":[{"dropping-particle":"","family":"Eisenhardt","given":"Kathleen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Research","type":"article-journal","volume":"14"},"uris":["http://www.mendeley.com/documents/?uuid=9f7de81d-1386-4764-b001-d83d1fe00724"]}],"mendeley":{"formattedCitation":"(Eisenhardt, 1989a)","plainTextFormattedCitation":"(Eisenhardt, 1989a)","previouslyFormattedCitation":"(Eisenhardt, 1989a)"},"properties":{"noteIndex":0},"schema":"https://github.com/citation-style-language/schema/raw/master/csl-citation.json"}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(Eisenhardt, 1989a)</w:t>
      </w:r>
      <w:r w:rsidRPr="009672FC">
        <w:rPr>
          <w:rFonts w:ascii="Garamond" w:hAnsi="Garamond"/>
        </w:rPr>
        <w:fldChar w:fldCharType="end"/>
      </w:r>
      <w:r w:rsidRPr="009672FC">
        <w:rPr>
          <w:rFonts w:ascii="Garamond" w:hAnsi="Garamond"/>
        </w:rPr>
        <w:t xml:space="preserve"> that are implicit in those underlying processes.</w:t>
      </w:r>
    </w:p>
    <w:p w14:paraId="6463B7C0" w14:textId="0168141E" w:rsidR="003D5DE8" w:rsidRPr="009672FC" w:rsidRDefault="007549AA" w:rsidP="002E3C69">
      <w:pPr>
        <w:spacing w:before="240" w:line="360" w:lineRule="auto"/>
        <w:jc w:val="both"/>
        <w:rPr>
          <w:rFonts w:ascii="Garamond" w:hAnsi="Garamond"/>
        </w:rPr>
      </w:pPr>
      <w:r w:rsidRPr="009672FC">
        <w:rPr>
          <w:rFonts w:ascii="Garamond" w:hAnsi="Garamond"/>
        </w:rPr>
        <w:t xml:space="preserve">Theory building is an integral part of scientific research, and research suggests that exploratory case study enables the development of new theory, and the integration of existing knowledge with emerging phenomena, to advance science </w:t>
      </w:r>
      <w:r w:rsidRPr="009672FC">
        <w:rPr>
          <w:rFonts w:ascii="Garamond" w:hAnsi="Garamond"/>
        </w:rPr>
        <w:fldChar w:fldCharType="begin" w:fldLock="1"/>
      </w:r>
      <w:r w:rsidRPr="009672FC">
        <w:rPr>
          <w:rFonts w:ascii="Garamond" w:hAnsi="Garamond"/>
        </w:rPr>
        <w:instrText>ADDIN CSL_CITATION {"citationItems":[{"id":"ITEM-1","itemData":{"author":[{"dropping-particle":"","family":"Eisenhardt","given":"Kathleen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Research","type":"article-journal","volume":"14"},"uris":["http://www.mendeley.com/documents/?uuid=9f7de81d-1386-4764-b001-d83d1fe00724"]}],"mendeley":{"formattedCitation":"(Eisenhardt, 1989a)","manualFormatting":"(see Eisenhardt, 1989)","plainTextFormattedCitation":"(Eisenhardt, 1989a)","previouslyFormattedCitation":"(Eisenhardt, 1989a)"},"properties":{"noteIndex":0},"schema":"https://github.com/citation-style-language/schema/raw/master/csl-citation.json"}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(see Eisenhardt, 1989)</w:t>
      </w:r>
      <w:r w:rsidRPr="009672FC">
        <w:rPr>
          <w:rFonts w:ascii="Garamond" w:hAnsi="Garamond"/>
        </w:rPr>
        <w:fldChar w:fldCharType="end"/>
      </w:r>
      <w:r w:rsidRPr="009672FC">
        <w:rPr>
          <w:rFonts w:ascii="Garamond" w:hAnsi="Garamond"/>
        </w:rPr>
        <w:t>.</w:t>
      </w:r>
      <w:r w:rsidR="002E3C69" w:rsidRPr="009672FC">
        <w:rPr>
          <w:rFonts w:ascii="Garamond" w:hAnsi="Garamond"/>
        </w:rPr>
        <w:t xml:space="preserve"> </w:t>
      </w:r>
      <w:r w:rsidRPr="009672FC">
        <w:rPr>
          <w:rFonts w:ascii="Garamond" w:hAnsi="Garamond"/>
        </w:rPr>
        <w:t xml:space="preserve">This case study follows the development of a robust interview protocol prepared a priori, thus guiding the entire research process. Through semi-structured discussions, we build insights from empirical data from semi-structured personal discussions, and data from other secondary sources, increasing the content validity of real-life phenomena </w:t>
      </w:r>
      <w:r w:rsidRPr="009672FC">
        <w:rPr>
          <w:rFonts w:ascii="Garamond" w:hAnsi="Garamond"/>
        </w:rPr>
        <w:fldChar w:fldCharType="begin" w:fldLock="1"/>
      </w:r>
      <w:r w:rsidRPr="009672FC">
        <w:rPr>
          <w:rFonts w:ascii="Garamond" w:hAnsi="Garamond"/>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Editio","id":"ITEM-1","issued":{"date-parts":[["2009"]]},"publisher":"Pearson Education Limited","publisher-place":"Edinburgh Gate, Harlow, Essex CM20 2JE, England","title":"Research methods for business students","type":"book"},"uris":["http://www.mendeley.com/documents/?uuid=4bf0f9df-7383-4d65-8a69-66ac683dc8c8"]}],"mendeley":{"formattedCitation":"(M. Saunders et al., 2009)","manualFormatting":"(Saunders, Lewis and Thornhill, 2009;","plainTextFormattedCitation":"(M. Saunders et al., 2009)","previouslyFormattedCitation":"(M. Saunders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(Saunders, Lewis and Thornhill, 2009;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{"citationItems":[{"id":"ITEM-1","itemData":{"DOI":"10.3844/ajassp.2008.1602.1604","author":[{"dropping-particle":"","family":"Mohd Noor","given":"Khairul Baharein","non-dropping-particle":"","parse-names":false,"suffix":""}],"container-title":"American Journal of Applied Sciences","id":"ITEM-1","issue":"11","issued":{"date-parts":[["2014"]]},"title":"Case Study : A Strategic Research Methodology","type":"article-journal","volume":"5"},"uris":["http://www.mendeley.com/documents/?uuid=7bb66e37-4ae2-47c8-99c3-a921a5523d1a"]}],"mendeley":{"formattedCitation":"(Mohd Noor, 2014)","manualFormatting":"Mohd Noor, 2014)","plainTextFormattedCitation":"(Mohd Noor, 2014)","previouslyFormattedCitation":"(Mohd Noor, 2014)"},"properties":{"noteIndex":0},"schema":"https://github.com/citation-style-language/schema/raw/master/csl-citation.json"}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Mohd Noor, 2014)</w:t>
      </w:r>
      <w:r w:rsidRPr="009672FC">
        <w:rPr>
          <w:rFonts w:ascii="Garamond" w:hAnsi="Garamond"/>
        </w:rPr>
        <w:fldChar w:fldCharType="end"/>
      </w:r>
      <w:r w:rsidRPr="009672FC">
        <w:rPr>
          <w:rFonts w:ascii="Garamond" w:hAnsi="Garamond"/>
        </w:rPr>
        <w:t xml:space="preserve"> that characterize the nature of </w:t>
      </w:r>
      <w:r w:rsidR="002E3C69" w:rsidRPr="009672FC">
        <w:rPr>
          <w:rFonts w:ascii="Garamond" w:hAnsi="Garamond"/>
        </w:rPr>
        <w:t xml:space="preserve">the </w:t>
      </w:r>
      <w:r w:rsidRPr="009672FC">
        <w:rPr>
          <w:rFonts w:ascii="Garamond" w:hAnsi="Garamond"/>
        </w:rPr>
        <w:t xml:space="preserve">inter-firm relationship in a business network context. these multiple data sources, ensure data triangulation building a strong empirical case that supports the validity of the research findings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2018)","manualFormatting":"(see Yin, 2018; 2013)","plainTextFormattedCitation":"(Yin,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(see Yin, 2018; </w:t>
      </w:r>
      <w:r w:rsidRPr="009672FC">
        <w:rPr>
          <w:rFonts w:ascii="Garamond" w:hAnsi="Garamond"/>
          <w:noProof/>
        </w:rPr>
        <w:fldChar w:fldCharType="begin" w:fldLock="1"/>
      </w:r>
      <w:r w:rsidRPr="009672FC">
        <w:rPr>
          <w:rFonts w:ascii="Garamond" w:hAnsi="Garamond"/>
          <w:noProof/>
        </w:rPr>
        <w:instrText>ADDIN CSL_CITATION {"citationItems":[{"id":"ITEM-1","itemData":{"DOI":"10.1177/1356389013497081","ISSN":"13563890","abstract":"Validity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 The Author(s) 2013.","author":[{"dropping-particle":"","family":"Yin","given":"Robert K.","non-dropping-particle":"","parse-names":false,"suffix":""}],"container-title":"Evaluation","id":"ITEM-1","issue":"3","issued":{"date-parts":[["2013"]]},"page":"321-332","title":"Validity and generalization in future case study evaluations","type":"article-journal","volume":"19"},"uris":["http://www.mendeley.com/documents/?uuid=496afc1b-f287-4525-90f5-14cae29de876"]}],"mendeley":{"formattedCitation":"(Yin, 2013)","manualFormatting":"2013)","plainTextFormattedCitation":"(Yin, 2013)","previouslyFormattedCitation":"(Yin,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2013)</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w:t>
      </w:r>
      <w:bookmarkEnd w:id="96"/>
    </w:p>
    <w:p w14:paraId="608D1EDC" w14:textId="4939D05A" w:rsidR="003D5DE8" w:rsidRPr="009672FC" w:rsidRDefault="007549AA" w:rsidP="002E3C69">
      <w:pPr>
        <w:pStyle w:val="MDPI51figurecaption"/>
        <w:numPr>
          <w:ilvl w:val="2"/>
          <w:numId w:val="9"/>
        </w:numPr>
        <w:spacing w:after="0" w:line="360" w:lineRule="auto"/>
        <w:jc w:val="both"/>
        <w:outlineLvl w:val="2"/>
        <w:rPr>
          <w:rFonts w:ascii="Garamond" w:hAnsi="Garamond"/>
          <w:b/>
          <w:bCs/>
          <w:i/>
          <w:iCs/>
          <w:sz w:val="24"/>
          <w:szCs w:val="24"/>
        </w:rPr>
      </w:pPr>
      <w:bookmarkStart w:id="97" w:name="_Toc85617734"/>
      <w:bookmarkStart w:id="98" w:name="_Toc85708728"/>
      <w:bookmarkStart w:id="99" w:name="_Toc85709742"/>
      <w:r w:rsidRPr="009672FC">
        <w:rPr>
          <w:rFonts w:ascii="Garamond" w:hAnsi="Garamond"/>
          <w:b/>
          <w:bCs/>
          <w:i/>
          <w:iCs/>
          <w:sz w:val="24"/>
          <w:szCs w:val="24"/>
        </w:rPr>
        <w:t>Case Presentation and Context.</w:t>
      </w:r>
      <w:bookmarkEnd w:id="97"/>
      <w:bookmarkEnd w:id="98"/>
      <w:bookmarkEnd w:id="99"/>
    </w:p>
    <w:p w14:paraId="44341537" w14:textId="17FCDB07" w:rsidR="002E3C69" w:rsidRPr="009672FC" w:rsidRDefault="007549AA" w:rsidP="002E3C69">
      <w:pPr>
        <w:spacing w:line="360" w:lineRule="auto"/>
        <w:jc w:val="both"/>
        <w:rPr>
          <w:rFonts w:ascii="Garamond" w:hAnsi="Garamond"/>
        </w:rPr>
      </w:pPr>
      <w:r w:rsidRPr="009672FC">
        <w:rPr>
          <w:rFonts w:ascii="Garamond" w:hAnsi="Garamond"/>
        </w:rPr>
        <w:t xml:space="preserve">Based on the theoretical sampling nature of this study </w:t>
      </w:r>
      <w:r w:rsidRPr="009672FC">
        <w:rPr>
          <w:rFonts w:ascii="Garamond" w:hAnsi="Garamond"/>
        </w:rPr>
        <w:fldChar w:fldCharType="begin" w:fldLock="1"/>
      </w:r>
      <w:r w:rsidRPr="009672FC">
        <w:rPr>
          <w:rFonts w:ascii="Garamond" w:hAnsi="Garamond"/>
        </w:rPr>
        <w:instrText>ADDIN CSL_CITATION {"citationItems":[{"id":"ITEM-1","itemData":{"author":[{"dropping-particle":"","family":"Eisenhardt","given":"Kathleen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Research","type":"article-journal","volume":"14"},"uris":["http://www.mendeley.com/documents/?uuid=9f7de81d-1386-4764-b001-d83d1fe00724"]}],"mendeley":{"formattedCitation":"(Eisenhardt, 1989a)","plainTextFormattedCitation":"(Eisenhardt, 1989a)","previouslyFormattedCitation":"(Eisenhardt, 1989a)"},"properties":{"noteIndex":0},"schema":"https://github.com/citation-style-language/schema/raw/master/csl-citation.json"}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(Eisenhardt, 1989a)</w:t>
      </w:r>
      <w:r w:rsidRPr="009672FC">
        <w:rPr>
          <w:rFonts w:ascii="Garamond" w:hAnsi="Garamond"/>
        </w:rPr>
        <w:fldChar w:fldCharType="end"/>
      </w:r>
      <w:r w:rsidRPr="009672FC">
        <w:rPr>
          <w:rFonts w:ascii="Garamond" w:hAnsi="Garamond"/>
        </w:rPr>
        <w:t xml:space="preserve">, a single case study </w:t>
      </w:r>
      <w:r w:rsidR="002E3C69" w:rsidRPr="009672FC">
        <w:rPr>
          <w:rFonts w:ascii="Garamond" w:hAnsi="Garamond"/>
        </w:rPr>
        <w:t xml:space="preserve">that </w:t>
      </w:r>
      <w:r w:rsidRPr="009672FC">
        <w:rPr>
          <w:rFonts w:ascii="Garamond" w:hAnsi="Garamond"/>
        </w:rPr>
        <w:t>investigates a local Italian SMEs business network, operating in the agricultural food subsector, was conducted. We use a fictitious name –</w:t>
      </w:r>
      <w:r w:rsidRPr="009672FC">
        <w:rPr>
          <w:rFonts w:ascii="Garamond" w:hAnsi="Garamond"/>
          <w:i/>
          <w:iCs/>
        </w:rPr>
        <w:t>Sparrow,</w:t>
      </w:r>
      <w:r w:rsidRPr="009672FC">
        <w:rPr>
          <w:rFonts w:ascii="Garamond" w:hAnsi="Garamond"/>
        </w:rPr>
        <w:t xml:space="preserve"> to describe this Agricultural food business network. </w:t>
      </w:r>
      <w:r w:rsidR="00663C31">
        <w:rPr>
          <w:rFonts w:ascii="Garamond" w:hAnsi="Garamond"/>
        </w:rPr>
        <w:t xml:space="preserve">The </w:t>
      </w:r>
      <w:r w:rsidRPr="009672FC">
        <w:rPr>
          <w:rFonts w:ascii="Garamond" w:hAnsi="Garamond"/>
        </w:rPr>
        <w:t xml:space="preserve">Sparrow business network was established in 2012, registered under the Italian Business network contract, and located in the territory of Veneto in </w:t>
      </w:r>
      <w:r w:rsidR="002E3C69" w:rsidRPr="009672FC">
        <w:rPr>
          <w:rFonts w:ascii="Garamond" w:hAnsi="Garamond"/>
        </w:rPr>
        <w:t xml:space="preserve">the </w:t>
      </w:r>
      <w:r w:rsidRPr="009672FC">
        <w:rPr>
          <w:rFonts w:ascii="Garamond" w:hAnsi="Garamond"/>
        </w:rPr>
        <w:t xml:space="preserve">northern region.  Since its registration, the network focuses on supporting and coordinating the production, certification, and marketing and export of agricultural food products, and consists of several partners and a membership of 34 SMEs that are geographically spread across </w:t>
      </w:r>
      <w:r w:rsidR="002E3C69" w:rsidRPr="009672FC">
        <w:rPr>
          <w:rFonts w:ascii="Garamond" w:hAnsi="Garamond"/>
        </w:rPr>
        <w:t xml:space="preserve">the </w:t>
      </w:r>
      <w:r w:rsidRPr="009672FC">
        <w:rPr>
          <w:rFonts w:ascii="Garamond" w:hAnsi="Garamond"/>
        </w:rPr>
        <w:t>Veneto area.</w:t>
      </w:r>
    </w:p>
    <w:p w14:paraId="304A80E5" w14:textId="77777777" w:rsidR="002E3C69" w:rsidRPr="009672FC" w:rsidRDefault="007549AA" w:rsidP="002E3C69">
      <w:pPr>
        <w:spacing w:before="240" w:line="360" w:lineRule="auto"/>
        <w:jc w:val="both"/>
        <w:rPr>
          <w:rFonts w:ascii="Garamond" w:hAnsi="Garamond"/>
        </w:rPr>
      </w:pPr>
      <w:r w:rsidRPr="009672FC">
        <w:rPr>
          <w:rFonts w:ascii="Garamond" w:hAnsi="Garamond"/>
        </w:rPr>
        <w:t xml:space="preserve">The Sparrow business network is a service system for collaborative innovation </w:t>
      </w:r>
      <w:r w:rsidRPr="009672FC">
        <w:rPr>
          <w:rFonts w:ascii="Garamond" w:hAnsi="Garamond"/>
        </w:rPr>
        <w:fldChar w:fldCharType="begin" w:fldLock="1"/>
      </w:r>
      <w:r w:rsidRPr="009672FC">
        <w:rPr>
          <w:rFonts w:ascii="Garamond" w:hAnsi="Garamond"/>
        </w:rPr>
        <w:instrText>ADDIN CSL_CITATION {"citationItems":[{"id":"ITEM-1","itemData":{"DOI":"10.1177/1094670519827385","author":[{"dropping-particle":"","family":"Brodie","given":"Roderick J","non-dropping-particle":"","parse-names":false,"suffix":""},{"dropping-particle":"","family":"Fehrer","given":"Julia A","non-dropping-particle":"","parse-names":false,"suffix":""},{"dropping-particle":"","family":"Jaakkola","given":"Elina","non-dropping-particle":"","parse-names":false,"suffix":""},{"dropping-particle":"","family":"Conduit","given":"Jodie","non-dropping-particle":"","parse-names":false,"suffix":""}],"container-title":"Journal of Service Research","id":"ITEM-1","issue":"2","issued":{"date-parts":[["2019"]]},"page":"173-188","title":"Actor Engagement in Networks : Defining the Conceptual Domain","type":"article-journal","volume":"22"},"uris":["http://www.mendeley.com/documents/?uuid=0fa18959-7250-478b-94bd-a943c50f009d"]}],"mendeley":{"formattedCitation":"(Brodie et al., 2019)","manualFormatting":"(Brodie et al., 2019;","plainTextFormattedCitation":"(Brodie et al., 2019)","previouslyFormattedCitation":"(Brodie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(Brodie </w:t>
      </w:r>
      <w:r w:rsidRPr="009672FC">
        <w:rPr>
          <w:rFonts w:ascii="Garamond" w:hAnsi="Garamond"/>
          <w:i/>
          <w:noProof/>
        </w:rPr>
        <w:t>et al.</w:t>
      </w:r>
      <w:r w:rsidRPr="009672FC">
        <w:rPr>
          <w:rFonts w:ascii="Garamond" w:hAnsi="Garamond"/>
          <w:noProof/>
        </w:rPr>
        <w:t>, 2019;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{"citationItems":[{"id":"ITEM-1","itemData":{"ISSN":"00198501","abstract":"Customer engagement has emerged as a central concept in marketing. Despite extensive scholarly investigations and managerial interest though, considerations of customer engagement and emotional connections in business marketing have been scant. Researchers tend to focus on individual-level engagement, which is conceptually inadequate to address the inherently multi-actor nature of business-to-business marketing. Therefore, this article introduces the concept of collective engagement, highlighting both its characteristics and the conditions for its emergence. The resulting theoretical framework, with ten propositions, outlines the multidimensional nature of collective engagement, including its multiplicative aggregation, multidirectional valence, phenomenological and shared properties, emotional and institutional interdependence, and emergence in dynamic and multichannel settings. Collective engagement also offers a mechanism for considering emotions in business marketing, a topic that thus far has been largely ignored by the prevalent rational choice paradigm. Thus, this article contributes a systematic, coherent conceptualization of collective engagement and advances the theoretical domains of customer and actor engagement in particular and business-to-business research in general, while also suggesting a detailed research agenda.","author":[{"dropping-particle":"","family":"Kleinaltenkamp","given":"Michael","non-dropping-particle":"","parse-names":false,"suffix":""},{"dropping-particle":"","family":"Karpen","given":"Ingo O.","non-dropping-particle":"","parse-names":false,"suffix":""},{"dropping-particle":"","family":"Plewa","given":"Carolin","non-dropping-particle":"","parse-names":false,"suffix":""},{"dropping-particle":"","family":"Jaakkola","given":"E.","non-dropping-particle":"","parse-names":false,"suffix":""},{"dropping-particle":"","family":"Conduit","given":"J.","non-dropping-particle":"","parse-names":false,"suffix":""}],"container-title":"Industrial Marketing Management","id":"ITEM-1","issued":{"date-parts":[["2019"]]},"page":"11-23","publisher":"Elsevier","title":"Collective engagement in organizational settings","type":"article-journal","volume":"80"},"uris":["http://www.mendeley.com/documents/?uuid=189a4739-9ed7-4c52-805a-c4839308470e"]}],"mendeley":{"formattedCitation":"(Kleinaltenkamp et al., 2019)","manualFormatting":"Kleinaltenkamp et al., 2019)","plainTextFormattedCitation":"(Kleinaltenkamp et al., 2019)","previouslyFormattedCitation":"(Kleinaltenkamp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Kleinaltenkamp </w:t>
      </w:r>
      <w:r w:rsidRPr="009672FC">
        <w:rPr>
          <w:rFonts w:ascii="Garamond" w:hAnsi="Garamond"/>
          <w:i/>
          <w:noProof/>
        </w:rPr>
        <w:t>et al.</w:t>
      </w:r>
      <w:r w:rsidRPr="009672FC">
        <w:rPr>
          <w:rFonts w:ascii="Garamond" w:hAnsi="Garamond"/>
          <w:noProof/>
        </w:rPr>
        <w:t>, 2019)</w:t>
      </w:r>
      <w:r w:rsidRPr="009672FC">
        <w:rPr>
          <w:rFonts w:ascii="Garamond" w:hAnsi="Garamond"/>
        </w:rPr>
        <w:fldChar w:fldCharType="end"/>
      </w:r>
      <w:r w:rsidRPr="009672FC">
        <w:rPr>
          <w:rFonts w:ascii="Garamond" w:hAnsi="Garamond"/>
        </w:rPr>
        <w:t xml:space="preserve"> providing an ideal context for organizing inter-firm projects and a climate for coordinating collaborative activities. The network context allows for the </w:t>
      </w:r>
      <w:r w:rsidRPr="009672FC">
        <w:rPr>
          <w:rFonts w:ascii="Garamond" w:hAnsi="Garamond"/>
          <w:i/>
          <w:iCs/>
        </w:rPr>
        <w:t>in-situ</w:t>
      </w:r>
      <w:r w:rsidRPr="009672FC">
        <w:rPr>
          <w:rFonts w:ascii="Garamond" w:hAnsi="Garamond"/>
        </w:rPr>
        <w:t xml:space="preserve"> exploration of social interactions between firms and their relationship with </w:t>
      </w:r>
      <w:r w:rsidR="002E3C69" w:rsidRPr="009672FC">
        <w:rPr>
          <w:rFonts w:ascii="Garamond" w:hAnsi="Garamond"/>
        </w:rPr>
        <w:t xml:space="preserve">a </w:t>
      </w:r>
      <w:r w:rsidRPr="009672FC">
        <w:rPr>
          <w:rFonts w:ascii="Garamond" w:hAnsi="Garamond"/>
        </w:rPr>
        <w:t xml:space="preserve">business network, as proposed by Lehtinen and </w:t>
      </w:r>
      <w:proofErr w:type="spellStart"/>
      <w:r w:rsidRPr="009672FC">
        <w:rPr>
          <w:rFonts w:ascii="Garamond" w:hAnsi="Garamond"/>
        </w:rPr>
        <w:t>Aaltonen</w:t>
      </w:r>
      <w:proofErr w:type="spellEnd"/>
      <w:r w:rsidRPr="009672FC">
        <w:rPr>
          <w:rFonts w:ascii="Garamond" w:hAnsi="Garamond"/>
        </w:rPr>
        <w:t xml:space="preserve">, (2020). Furthermore, our selection of this network case is motivated by the fact that one of the researchers have been engaged in the strategic decision processes of the network over the past several years and had developed substantial experience and </w:t>
      </w:r>
      <w:r w:rsidRPr="009672FC">
        <w:rPr>
          <w:rFonts w:ascii="Garamond" w:hAnsi="Garamond"/>
        </w:rPr>
        <w:lastRenderedPageBreak/>
        <w:t>knowledge on the workings of the network, enabling access to relevant data to support this research.</w:t>
      </w:r>
    </w:p>
    <w:p w14:paraId="701C938C" w14:textId="77777777" w:rsidR="00663C31" w:rsidRDefault="007549AA" w:rsidP="002E3C69">
      <w:pPr>
        <w:spacing w:before="240" w:line="360" w:lineRule="auto"/>
        <w:jc w:val="both"/>
        <w:rPr>
          <w:rFonts w:ascii="Garamond" w:hAnsi="Garamond"/>
        </w:rPr>
      </w:pPr>
      <w:r w:rsidRPr="009672FC">
        <w:rPr>
          <w:rFonts w:ascii="Garamond" w:hAnsi="Garamond"/>
        </w:rPr>
        <w:t>The Sparrow business network is governed by a network manager, who facilitates the operations of the network, and the horizontal coordination of the participating firms in the network. The network seeks to foster more collaborative, fairer and inclusive inter-firm relationship</w:t>
      </w:r>
      <w:r w:rsidR="002E3C69" w:rsidRPr="009672FC">
        <w:rPr>
          <w:rFonts w:ascii="Garamond" w:hAnsi="Garamond"/>
        </w:rPr>
        <w:t>s</w:t>
      </w:r>
      <w:r w:rsidRPr="009672FC">
        <w:rPr>
          <w:rFonts w:ascii="Garamond" w:hAnsi="Garamond"/>
        </w:rPr>
        <w:t xml:space="preserve"> that promote “the good tastes of Venetian territory, make them accessible to a large public, support traditions and craft</w:t>
      </w:r>
      <w:r w:rsidR="002E3C69" w:rsidRPr="009672FC">
        <w:rPr>
          <w:rFonts w:ascii="Garamond" w:hAnsi="Garamond"/>
        </w:rPr>
        <w:t>s</w:t>
      </w:r>
      <w:r w:rsidRPr="009672FC">
        <w:rPr>
          <w:rFonts w:ascii="Garamond" w:hAnsi="Garamond"/>
        </w:rPr>
        <w:t>manship</w:t>
      </w:r>
      <w:r w:rsidRPr="009672FC">
        <w:rPr>
          <w:rFonts w:ascii="Garamond" w:hAnsi="Garamond"/>
          <w:vertAlign w:val="superscript"/>
        </w:rPr>
        <w:footnoteReference w:id="2"/>
      </w:r>
      <w:r w:rsidRPr="009672FC">
        <w:rPr>
          <w:rFonts w:ascii="Garamond" w:hAnsi="Garamond"/>
        </w:rPr>
        <w:t xml:space="preserve">”, enabling a constant exchange of information, skills, and opportunities for the benefit of firms and the network. Further, these cooperative practices are possible where actors demonstrate mutual respect and trust, openness, and safeguarding the common internal interests </w:t>
      </w:r>
      <w:r w:rsidRPr="009672FC">
        <w:rPr>
          <w:rFonts w:ascii="Garamond" w:hAnsi="Garamond"/>
        </w:rPr>
        <w:fldChar w:fldCharType="begin" w:fldLock="1"/>
      </w:r>
      <w:r w:rsidRPr="009672FC">
        <w:rPr>
          <w:rFonts w:ascii="Garamond" w:hAnsi="Garamond"/>
        </w:rPr>
        <w:instrText>ADDIN CSL_CITATION {"citationItems":[{"id":"ITEM-1","itemData":{"author":[{"dropping-particle":"","family":"Cantele","given":"S .","non-dropping-particle":"","parse-names":false,"suffix":""},{"dropping-particle":"","family":"Vernizzi","given":"S .","non-dropping-particle":"","parse-names":false,"suffix":""},{"dropping-particle":"","family":"Ricciardi","given":"F .","non-dropping-particle":"","parse-names":false,"suffix":""}],"container-title":"World review of Entrepreneurship","id":"ITEM-1","issued":{"date-parts":[["2016"]]},"page":"1-14","title":"The emerging wave of agility-oriented business networks in Italy: a new strategy for facing global competition The emerging wave of agility-oriented business networks in Italy : a new strategy for facing global competition.","type":"article-journal"},"uris":["http://www.mendeley.com/documents/?uuid=c436eb1c-81cb-4adc-8c04-115f8492725e"]}],"mendeley":{"formattedCitation":"(Cantele et al., 2016)","plainTextFormattedCitation":"(Cantele et al., 2016)","previouslyFormattedCitation":"(Cantele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(Cantele et al., 2016)</w:t>
      </w:r>
      <w:r w:rsidRPr="009672FC">
        <w:rPr>
          <w:rFonts w:ascii="Garamond" w:hAnsi="Garamond"/>
        </w:rPr>
        <w:fldChar w:fldCharType="end"/>
      </w:r>
      <w:r w:rsidRPr="009672FC">
        <w:rPr>
          <w:rFonts w:ascii="Garamond" w:hAnsi="Garamond"/>
        </w:rPr>
        <w:t>. The Sparrow network also engaged in organizing innovation training, which enable</w:t>
      </w:r>
      <w:r w:rsidR="002E3C69" w:rsidRPr="009672FC">
        <w:rPr>
          <w:rFonts w:ascii="Garamond" w:hAnsi="Garamond"/>
        </w:rPr>
        <w:t>s</w:t>
      </w:r>
      <w:r w:rsidRPr="009672FC">
        <w:rPr>
          <w:rFonts w:ascii="Garamond" w:hAnsi="Garamond"/>
        </w:rPr>
        <w:t xml:space="preserve"> network firms to interact and share ideas, for the advancement of individual interests. This makes the network an open innovation hub for local firms enabling value capture and cocreation </w:t>
      </w:r>
      <w:r w:rsidRPr="009672FC">
        <w:rPr>
          <w:rFonts w:ascii="Garamond" w:hAnsi="Garamond"/>
        </w:rPr>
        <w:fldChar w:fldCharType="begin" w:fldLock="1"/>
      </w:r>
      <w:r w:rsidRPr="009672FC">
        <w:rPr>
          <w:rFonts w:ascii="Garamond" w:hAnsi="Garamond"/>
        </w:rPr>
        <w:instrText>ADDIN CSL_CITATION {"citationItems":[{"id":"ITEM-1","itemData":{"DOI":"10.1016/j.indmarman.2016.03.005","ISSN":"00198501","abstract":"To develop innovative solutions for complex societal and scientific challenges, organizations need to move beyond the boundaries of single firms and engage in collaborative networks. In these networks, multiple, diverse stakeholders are working together to co-create innovative value. Co-creation in a network creates new challenges in terms of changed processes and outcomes. Guided by grounded theory methodology, we explore these aspects by studying a public–private partnership involving 57 stakeholders. We take the number and diversity of stakeholders into account to shed light on the distinct processes through which value is co-created and captured. We also identify the types of value outcomes that accrue to the network and its participants. Overall, we present a multi-level cyclical process framework for leveraging value in multi-stakeholder collaborations and visualize these collaborations as a value space in which all stakeholders are uniquely positioned. In doing so, this study provides novel insights into the systemic, multi-actor nature of value co-creation and supports collaborators in maximizing value for both individual stakeholders and the network as a whole.","author":[{"dropping-particle":"","family":"Reypens","given":"Charlotte","non-dropping-particle":"","parse-names":false,"suffix":""},{"dropping-particle":"","family":"Lievens","given":"Annouk","non-dropping-particle":"","parse-names":false,"suffix":""},{"dropping-particle":"","family":"Blazevic","given":"Vera","non-dropping-particle":"","parse-names":false,"suffix":""}],"container-title":"Industrial Marketing Management","id":"ITEM-1","issued":{"date-parts":[["2016"]]},"page":"40-50","publisher":"Elsevier Inc.","title":"Leveraging value in multi-stakeholder innovation networks: A process framework for value co-creation and capture","type":"article-journal","volume":"56"},"uris":["http://www.mendeley.com/documents/?uuid=a6f6b3ed-5e16-4c14-aad0-e7c366a6e4ca"]}],"mendeley":{"formattedCitation":"(Reypens et al., 2016)","plainTextFormattedCitation":"(Reypens et al., 2016)","previouslyFormattedCitation":"(Reypens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(Reypens et al., 2016)</w:t>
      </w:r>
      <w:r w:rsidRPr="009672FC">
        <w:rPr>
          <w:rFonts w:ascii="Garamond" w:hAnsi="Garamond"/>
        </w:rPr>
        <w:fldChar w:fldCharType="end"/>
      </w:r>
      <w:r w:rsidRPr="009672FC">
        <w:rPr>
          <w:rFonts w:ascii="Garamond" w:hAnsi="Garamond"/>
        </w:rPr>
        <w:t xml:space="preserve">. Thus, this case study aims to understand the role of the network, and its strategic role of organizing inter-firm engagement, and linking it to the development of the network relational capabilities, over time. Since network contracts seek to promote a collaborative inter-firm relationship, providing a conduit for knowledge sharing, innovation, and promotion of common interest </w:t>
      </w:r>
      <w:r w:rsidRPr="009672FC">
        <w:rPr>
          <w:rFonts w:ascii="Garamond" w:hAnsi="Garamond"/>
        </w:rPr>
        <w:fldChar w:fldCharType="begin" w:fldLock="1"/>
      </w:r>
      <w:r w:rsidRPr="009672FC">
        <w:rPr>
          <w:rFonts w:ascii="Garamond" w:hAnsi="Garamond"/>
        </w:rPr>
        <w:instrText>ADDIN CSL_CITATION {"citationItems":[{"id":"ITEM-1","itemData":{"DOI":"10.1016/j.jbusres.2016.04.154","ISSN":"01482963","abstract":"Firm performance in turbulent business environments strongly depends on the adaptive (re)generation of the firm's business model. However, studies on the enablers of business model innovation are sparse. This study leverages the literature on dynamic capabilities, on organizational ambidexterity/vacillation, and Lewis's view of organizational paradoxes to build an integrated model of organizational dynamism that includes seven dimensions: three pairs of paradoxical constructs (cooperation–competition, exploration–exploitation, and conformity–agency) and dynamic capabilities. The study posits that these seven dimensions of organizational dynamism describe the key enablers of adaptive business model innovation (ABMI). The results of applying a fuzzy set qualitative comparative analysis (fsQCA) to 35 selected cases confirm that the paradoxical dimensions of organizational dynamism, although logically opposed, strongly intertwine in enabling the adaptive (re)generation of a firm's business model. Further, this article highlights fsQCA's suitability to test models that include paradoxical constructs.","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Research","id":"ITEM-1","issue":"11","issued":{"date-parts":[["2016"]]},"page":"5487-5493","publisher":"Elsevier Inc.","title":"Organizational dynamism and adaptive business model innovation: The triple paradox configuration","type":"article-journal","volume":"69"},"uris":["http://www.mendeley.com/documents/?uuid=8acf2015-3e04-469b-b520-98e47f048fc4"]}],"mendeley":{"formattedCitation":"(Ricciardi et al., 2016)","plainTextFormattedCitation":"(Ricciardi et al., 2016)","previouslyFormattedCitation":"(Ricciardi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(Ricciardi et al., 2016)</w:t>
      </w:r>
      <w:r w:rsidRPr="009672FC">
        <w:rPr>
          <w:rFonts w:ascii="Garamond" w:hAnsi="Garamond"/>
        </w:rPr>
        <w:fldChar w:fldCharType="end"/>
      </w:r>
      <w:r w:rsidRPr="009672FC">
        <w:rPr>
          <w:rFonts w:ascii="Garamond" w:hAnsi="Garamond"/>
        </w:rPr>
        <w:t>, aggregation of firms and resources, is</w:t>
      </w:r>
      <w:r w:rsidR="002E3C69" w:rsidRPr="009672FC">
        <w:rPr>
          <w:rFonts w:ascii="Garamond" w:hAnsi="Garamond"/>
        </w:rPr>
        <w:t>,</w:t>
      </w:r>
      <w:r w:rsidRPr="009672FC">
        <w:rPr>
          <w:rFonts w:ascii="Garamond" w:hAnsi="Garamond"/>
        </w:rPr>
        <w:t xml:space="preserve"> however, a primary role of the business network. These horizontal organizing functions of the network </w:t>
      </w:r>
      <w:proofErr w:type="spellStart"/>
      <w:r w:rsidRPr="009672FC">
        <w:rPr>
          <w:rFonts w:ascii="Garamond" w:hAnsi="Garamond"/>
        </w:rPr>
        <w:t>favours</w:t>
      </w:r>
      <w:proofErr w:type="spellEnd"/>
      <w:r w:rsidRPr="009672FC">
        <w:rPr>
          <w:rFonts w:ascii="Garamond" w:hAnsi="Garamond"/>
        </w:rPr>
        <w:t xml:space="preserve"> innovation and competitiveness of collaborative networks around the world </w:t>
      </w:r>
      <w:r w:rsidRPr="009672FC">
        <w:rPr>
          <w:rFonts w:ascii="Garamond" w:hAnsi="Garamond"/>
        </w:rPr>
        <w:fldChar w:fldCharType="begin" w:fldLock="1"/>
      </w:r>
      <w:r w:rsidRPr="009672FC">
        <w:rPr>
          <w:rFonts w:ascii="Garamond" w:hAnsi="Garamond"/>
        </w:rPr>
        <w:instrText>ADDIN CSL_CITATION {"citationItems":[{"id":"ITEM-1","itemData":{"author":[{"dropping-particle":"","family":"Rosenfeld","given":"Stuart A","non-dropping-particle":"","parse-names":false,"suffix":""}],"container-title":"Research Policy","id":"ITEM-1","issued":{"date-parts":[["1996"]]},"page":"247-263","title":"Does cooperation enhance competitiveness? Assessing the impacts of inter-firm collaboration","type":"article-journal","volume":"25"},"uris":["http://www.mendeley.com/documents/?uuid=8be49a2b-9a35-4c12-bc7b-2b0fc1094ff0"]}],"mendeley":{"formattedCitation":"(Rosenfeld, 1996)","plainTextFormattedCitation":"(Rosenfeld, 1996)","previouslyFormattedCitation":"(Rosenfeld, 1996)"},"properties":{"noteIndex":0},"schema":"https://github.com/citation-style-language/schema/raw/master/csl-citation.json"}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(Rosenfeld, 1996)</w:t>
      </w:r>
      <w:r w:rsidRPr="009672FC">
        <w:rPr>
          <w:rFonts w:ascii="Garamond" w:hAnsi="Garamond"/>
        </w:rPr>
        <w:fldChar w:fldCharType="end"/>
      </w:r>
      <w:r w:rsidRPr="009672FC">
        <w:rPr>
          <w:rFonts w:ascii="Garamond" w:hAnsi="Garamond"/>
        </w:rPr>
        <w:t>. In fact, since 2012, the Sparrow business network has invested</w:t>
      </w:r>
      <w:r w:rsidR="002E3C69" w:rsidRPr="009672FC">
        <w:rPr>
          <w:rFonts w:ascii="Garamond" w:hAnsi="Garamond"/>
        </w:rPr>
        <w:t xml:space="preserve"> in</w:t>
      </w:r>
      <w:r w:rsidRPr="009672FC">
        <w:rPr>
          <w:rFonts w:ascii="Garamond" w:hAnsi="Garamond"/>
        </w:rPr>
        <w:t xml:space="preserve"> several innovation</w:t>
      </w:r>
      <w:r w:rsidR="002E3C69" w:rsidRPr="009672FC">
        <w:rPr>
          <w:rFonts w:ascii="Garamond" w:hAnsi="Garamond"/>
        </w:rPr>
        <w:t>-based</w:t>
      </w:r>
      <w:r w:rsidRPr="009672FC">
        <w:rPr>
          <w:rFonts w:ascii="Garamond" w:hAnsi="Garamond"/>
        </w:rPr>
        <w:t xml:space="preserve"> programme</w:t>
      </w:r>
      <w:r w:rsidR="002E3C69" w:rsidRPr="009672FC">
        <w:rPr>
          <w:rFonts w:ascii="Garamond" w:hAnsi="Garamond"/>
        </w:rPr>
        <w:t>s</w:t>
      </w:r>
      <w:r w:rsidRPr="009672FC">
        <w:rPr>
          <w:rFonts w:ascii="Garamond" w:hAnsi="Garamond"/>
        </w:rPr>
        <w:t xml:space="preserve">, including conferences, </w:t>
      </w:r>
      <w:r w:rsidR="002E3C69" w:rsidRPr="009672FC">
        <w:rPr>
          <w:rFonts w:ascii="Garamond" w:hAnsi="Garamond"/>
        </w:rPr>
        <w:t xml:space="preserve">technical and soft skills </w:t>
      </w:r>
      <w:r w:rsidRPr="009672FC">
        <w:rPr>
          <w:rFonts w:ascii="Garamond" w:hAnsi="Garamond"/>
        </w:rPr>
        <w:t xml:space="preserve">training programmes, and socialization events, </w:t>
      </w:r>
      <w:r w:rsidR="002E3C69" w:rsidRPr="009672FC">
        <w:rPr>
          <w:rFonts w:ascii="Garamond" w:hAnsi="Garamond"/>
        </w:rPr>
        <w:t xml:space="preserve">which </w:t>
      </w:r>
      <w:r w:rsidRPr="009672FC">
        <w:rPr>
          <w:rFonts w:ascii="Garamond" w:hAnsi="Garamond"/>
        </w:rPr>
        <w:t xml:space="preserve">aim to foster collaborative practices amongst firms. After six years of network activities, it has become a popular hub for supporting local SMEs in terms of packaging, logistics, marketing, and exports promotion, contributing up to 27% of </w:t>
      </w:r>
      <w:r w:rsidR="002E3C69" w:rsidRPr="009672FC">
        <w:rPr>
          <w:rFonts w:ascii="Garamond" w:hAnsi="Garamond"/>
        </w:rPr>
        <w:t xml:space="preserve">the </w:t>
      </w:r>
      <w:r w:rsidRPr="009672FC">
        <w:rPr>
          <w:rFonts w:ascii="Garamond" w:hAnsi="Garamond"/>
        </w:rPr>
        <w:t>region’s export share in 2020</w:t>
      </w:r>
      <w:r w:rsidRPr="009672FC">
        <w:rPr>
          <w:rFonts w:ascii="Garamond" w:hAnsi="Garamond"/>
          <w:vertAlign w:val="superscript"/>
        </w:rPr>
        <w:footnoteReference w:id="3"/>
      </w:r>
      <w:r w:rsidR="002E3C69" w:rsidRPr="009672FC">
        <w:rPr>
          <w:rFonts w:ascii="Garamond" w:hAnsi="Garamond"/>
        </w:rPr>
        <w:t>.</w:t>
      </w:r>
    </w:p>
    <w:p w14:paraId="4AD6F1A2" w14:textId="77777777" w:rsidR="00663C31" w:rsidRDefault="00663C31" w:rsidP="002E3C69">
      <w:pPr>
        <w:spacing w:before="240" w:line="360" w:lineRule="auto"/>
        <w:jc w:val="both"/>
        <w:rPr>
          <w:rFonts w:ascii="Garamond" w:hAnsi="Garamond"/>
        </w:rPr>
      </w:pPr>
    </w:p>
    <w:p w14:paraId="7969B901" w14:textId="13554F7C" w:rsidR="003D5DE8" w:rsidRPr="009672FC" w:rsidRDefault="007549AA" w:rsidP="002E3C69">
      <w:pPr>
        <w:spacing w:before="240" w:line="360" w:lineRule="auto"/>
        <w:jc w:val="both"/>
        <w:rPr>
          <w:rFonts w:ascii="Garamond" w:hAnsi="Garamond"/>
        </w:rPr>
      </w:pPr>
      <w:r w:rsidRPr="009672FC">
        <w:rPr>
          <w:rFonts w:ascii="Garamond" w:hAnsi="Garamond"/>
        </w:rPr>
        <w:t xml:space="preserve"> </w:t>
      </w:r>
      <w:bookmarkStart w:id="100" w:name="_Hlk34276752"/>
      <w:bookmarkEnd w:id="100"/>
    </w:p>
    <w:p w14:paraId="67EB5C76" w14:textId="2698E83E" w:rsidR="003D5DE8" w:rsidRPr="009672FC" w:rsidRDefault="007549AA" w:rsidP="002E3C69">
      <w:pPr>
        <w:pStyle w:val="Title"/>
        <w:numPr>
          <w:ilvl w:val="2"/>
          <w:numId w:val="9"/>
        </w:numPr>
        <w:spacing w:before="240" w:line="360" w:lineRule="auto"/>
        <w:jc w:val="both"/>
        <w:outlineLvl w:val="2"/>
        <w:rPr>
          <w:rFonts w:ascii="Garamond" w:hAnsi="Garamond" w:cs="Times New Roman"/>
          <w:b/>
          <w:bCs/>
          <w:i/>
          <w:iCs/>
          <w:sz w:val="24"/>
          <w:szCs w:val="24"/>
        </w:rPr>
      </w:pPr>
      <w:bookmarkStart w:id="101" w:name="_Toc85708729"/>
      <w:bookmarkStart w:id="102" w:name="_Toc85709743"/>
      <w:r w:rsidRPr="009672FC">
        <w:rPr>
          <w:rFonts w:ascii="Garamond" w:hAnsi="Garamond" w:cs="Times New Roman"/>
          <w:b/>
          <w:bCs/>
          <w:i/>
          <w:iCs/>
          <w:sz w:val="24"/>
          <w:szCs w:val="24"/>
        </w:rPr>
        <w:lastRenderedPageBreak/>
        <w:t>Data Structure</w:t>
      </w:r>
      <w:bookmarkEnd w:id="101"/>
      <w:bookmarkEnd w:id="102"/>
      <w:r w:rsidRPr="009672FC">
        <w:rPr>
          <w:rFonts w:ascii="Garamond" w:hAnsi="Garamond" w:cs="Times New Roman"/>
          <w:b/>
          <w:bCs/>
          <w:i/>
          <w:iCs/>
          <w:sz w:val="24"/>
          <w:szCs w:val="24"/>
        </w:rPr>
        <w:t xml:space="preserve"> </w:t>
      </w:r>
    </w:p>
    <w:p w14:paraId="20721E4E" w14:textId="77777777" w:rsidR="002E3C69" w:rsidRPr="009672FC" w:rsidRDefault="007549AA" w:rsidP="002E3C69">
      <w:pPr>
        <w:spacing w:line="360" w:lineRule="auto"/>
        <w:jc w:val="both"/>
        <w:rPr>
          <w:rFonts w:ascii="Garamond" w:hAnsi="Garamond"/>
        </w:rPr>
      </w:pPr>
      <w:r w:rsidRPr="009672FC">
        <w:rPr>
          <w:rFonts w:ascii="Garamond" w:hAnsi="Garamond"/>
        </w:rPr>
        <w:t xml:space="preserve">This qualitative study tries to understand the role of a business network in organizing inter-firm projects, the antecedents enabling such engagement, and finally liking these to the development of network relational dynamic capabilities. To address these research questions, we leveraged </w:t>
      </w:r>
      <w:r w:rsidRPr="009672FC">
        <w:rPr>
          <w:rFonts w:ascii="Garamond" w:hAnsi="Garamond"/>
        </w:rPr>
        <w:fldChar w:fldCharType="begin" w:fldLock="1"/>
      </w:r>
      <w:r w:rsidRPr="009672FC">
        <w:rPr>
          <w:rFonts w:ascii="Garamond" w:hAnsi="Garamond"/>
        </w:rPr>
        <w:instrText>ADDIN CSL_CITATION {"citationItems":[{"id":"ITEM-1","itemData":{"author":[{"dropping-particle":"","family":"Eisenhardt","given":"Kathleen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Research","type":"article-journal","volume":"14"},"uris":["http://www.mendeley.com/documents/?uuid=9f7de81d-1386-4764-b001-d83d1fe00724"]}],"mendeley":{"formattedCitation":"(Eisenhardt, 1989a)","manualFormatting":"Eisenhardt, (1989)","plainTextFormattedCitation":"(Eisenhardt, 1989a)","previouslyFormattedCitation":"(Eisenhardt, 1989a)"},"properties":{"noteIndex":0},"schema":"https://github.com/citation-style-language/schema/raw/master/csl-citation.json"}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Eisenhardt, (1989)</w:t>
      </w:r>
      <w:r w:rsidRPr="009672FC">
        <w:rPr>
          <w:rFonts w:ascii="Garamond" w:hAnsi="Garamond"/>
        </w:rPr>
        <w:fldChar w:fldCharType="end"/>
      </w:r>
      <w:r w:rsidRPr="009672FC">
        <w:rPr>
          <w:rFonts w:ascii="Garamond" w:hAnsi="Garamond"/>
        </w:rPr>
        <w:t xml:space="preserve"> and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2018)","manualFormatting":"Yin, (2018)","plainTextFormattedCitation":"(Yin,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(2018)</w:t>
      </w:r>
      <w:r w:rsidRPr="009672FC">
        <w:rPr>
          <w:rFonts w:ascii="Garamond" w:hAnsi="Garamond"/>
        </w:rPr>
        <w:fldChar w:fldCharType="end"/>
      </w:r>
      <w:r w:rsidRPr="009672FC">
        <w:rPr>
          <w:rFonts w:ascii="Garamond" w:hAnsi="Garamond"/>
        </w:rPr>
        <w:t xml:space="preserve"> using </w:t>
      </w:r>
      <w:r w:rsidR="002E3C69" w:rsidRPr="009672FC">
        <w:rPr>
          <w:rFonts w:ascii="Garamond" w:hAnsi="Garamond"/>
        </w:rPr>
        <w:t xml:space="preserve">a </w:t>
      </w:r>
      <w:r w:rsidRPr="009672FC">
        <w:rPr>
          <w:rFonts w:ascii="Garamond" w:hAnsi="Garamond"/>
        </w:rPr>
        <w:t xml:space="preserve">case study for theory iteration and development. Because previous research on the selected context is limited, an exploratory case study is conducted to analyze the phenomenon of organizing inter-firm projects, and linking with network relational capabilities, considering the business network context. </w:t>
      </w:r>
    </w:p>
    <w:p w14:paraId="400C42BC" w14:textId="3BBEF362" w:rsidR="002E3C69" w:rsidRPr="009672FC" w:rsidRDefault="007549AA" w:rsidP="002E3C69">
      <w:pPr>
        <w:spacing w:before="240" w:line="360" w:lineRule="auto"/>
        <w:jc w:val="both"/>
        <w:rPr>
          <w:rFonts w:ascii="Garamond" w:hAnsi="Garamond"/>
          <w:bCs/>
        </w:rPr>
      </w:pPr>
      <w:r w:rsidRPr="009672FC">
        <w:rPr>
          <w:rFonts w:ascii="Garamond" w:hAnsi="Garamond"/>
          <w:bCs/>
        </w:rPr>
        <w:t xml:space="preserve">Data collection strategy was developed: phase 1, empirical data was collected through personal interviews, information discussions, and observation between October 2014 and December 2020. The rationale for conducting interviews over the period was “to tap the knowledge and experience” </w:t>
      </w:r>
      <w:r w:rsidRPr="009672FC">
        <w:rPr>
          <w:rFonts w:ascii="Garamond" w:hAnsi="Garamond"/>
        </w:rPr>
        <w:fldChar w:fldCharType="begin" w:fldLock="1"/>
      </w:r>
      <w:r w:rsidRPr="009672FC">
        <w:rPr>
          <w:rFonts w:ascii="Garamond" w:hAnsi="Garamond"/>
          <w:bCs/>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et al., 2018)","manualFormatting":"(Jonas et al., 2018, p. 406)","plainTextFormattedCitation":"(Jonas et al., 2018)","previouslyFormattedCitation":"(Jonas et al., 2018)"},"properties":{"noteIndex":0},"schema":"https://github.com/citation-style-language/schema/raw/master/csl-citation.json"}</w:instrText>
      </w:r>
      <w:r w:rsidRPr="009672FC">
        <w:rPr>
          <w:rFonts w:ascii="Garamond" w:hAnsi="Garamond"/>
          <w:bCs/>
        </w:rPr>
        <w:fldChar w:fldCharType="separate"/>
      </w:r>
      <w:r w:rsidRPr="009672FC">
        <w:rPr>
          <w:rFonts w:ascii="Garamond" w:hAnsi="Garamond"/>
          <w:bCs/>
          <w:noProof/>
        </w:rPr>
        <w:t xml:space="preserve">(Jonas </w:t>
      </w:r>
      <w:r w:rsidRPr="009672FC">
        <w:rPr>
          <w:rFonts w:ascii="Garamond" w:hAnsi="Garamond"/>
          <w:bCs/>
          <w:i/>
          <w:noProof/>
        </w:rPr>
        <w:t>et al.</w:t>
      </w:r>
      <w:r w:rsidRPr="009672FC">
        <w:rPr>
          <w:rFonts w:ascii="Garamond" w:hAnsi="Garamond"/>
          <w:bCs/>
          <w:noProof/>
        </w:rPr>
        <w:t>, 2018, p. 406)</w:t>
      </w:r>
      <w:r w:rsidRPr="009672FC">
        <w:rPr>
          <w:rFonts w:ascii="Garamond" w:hAnsi="Garamond"/>
          <w:bCs/>
        </w:rPr>
        <w:fldChar w:fldCharType="end"/>
      </w:r>
      <w:r w:rsidRPr="009672FC">
        <w:rPr>
          <w:rFonts w:ascii="Garamond" w:hAnsi="Garamond"/>
          <w:bCs/>
        </w:rPr>
        <w:t xml:space="preserve"> of key informants of the Sparrow business network as the network progresses its aggregating role, over time. Each interview was record</w:t>
      </w:r>
      <w:r w:rsidR="002E3C69" w:rsidRPr="009672FC">
        <w:rPr>
          <w:rFonts w:ascii="Garamond" w:hAnsi="Garamond"/>
          <w:bCs/>
        </w:rPr>
        <w:t>ed</w:t>
      </w:r>
      <w:r w:rsidRPr="009672FC">
        <w:rPr>
          <w:rFonts w:ascii="Garamond" w:hAnsi="Garamond"/>
          <w:bCs/>
        </w:rPr>
        <w:t xml:space="preserve"> using </w:t>
      </w:r>
      <w:r w:rsidR="002E3C69" w:rsidRPr="009672FC">
        <w:rPr>
          <w:rFonts w:ascii="Garamond" w:hAnsi="Garamond"/>
          <w:bCs/>
        </w:rPr>
        <w:t xml:space="preserve">an </w:t>
      </w:r>
      <w:r w:rsidRPr="009672FC">
        <w:rPr>
          <w:rFonts w:ascii="Garamond" w:hAnsi="Garamond"/>
          <w:bCs/>
        </w:rPr>
        <w:t>audio recorder and later transcribed. Data generated from these interview sessions informed this research about how the network was set</w:t>
      </w:r>
      <w:r w:rsidR="002E3C69" w:rsidRPr="009672FC">
        <w:rPr>
          <w:rFonts w:ascii="Garamond" w:hAnsi="Garamond"/>
          <w:bCs/>
        </w:rPr>
        <w:t xml:space="preserve"> </w:t>
      </w:r>
      <w:r w:rsidRPr="009672FC">
        <w:rPr>
          <w:rFonts w:ascii="Garamond" w:hAnsi="Garamond"/>
          <w:bCs/>
        </w:rPr>
        <w:t>up, its functions and responsibilities, antecedents enabling inter-firm engagements, and how the network develops inter-firm relational capabilities over time. At this phase, 12 face-to-face, in-depth interviews, with key informants (e.g., network manager, president of the network, Export manager, and technicians) constitute the sampling population of this study. This population was ideal as they are familiar with the workings of the Sparrow network over the years and have acquired relevant expertise and privileged knowledge about the operations of the network. Each interview last</w:t>
      </w:r>
      <w:r w:rsidR="002E3C69" w:rsidRPr="009672FC">
        <w:rPr>
          <w:rFonts w:ascii="Garamond" w:hAnsi="Garamond"/>
          <w:bCs/>
        </w:rPr>
        <w:t>ed</w:t>
      </w:r>
      <w:r w:rsidRPr="009672FC">
        <w:rPr>
          <w:rFonts w:ascii="Garamond" w:hAnsi="Garamond"/>
          <w:bCs/>
        </w:rPr>
        <w:t xml:space="preserve"> for at least two hours. The interviews were mainly conducted by one of the researchers, who have been engaged in the various research works on the Sparrow network, thus allowing for access to relevant data</w:t>
      </w:r>
      <w:r w:rsidR="002E3C69" w:rsidRPr="009672FC">
        <w:rPr>
          <w:rFonts w:ascii="Garamond" w:hAnsi="Garamond"/>
          <w:bCs/>
        </w:rPr>
        <w:t xml:space="preserve"> useful </w:t>
      </w:r>
      <w:r w:rsidRPr="009672FC">
        <w:rPr>
          <w:rFonts w:ascii="Garamond" w:hAnsi="Garamond"/>
          <w:bCs/>
        </w:rPr>
        <w:t>for this study.</w:t>
      </w:r>
    </w:p>
    <w:p w14:paraId="17AC79C2" w14:textId="33689572" w:rsidR="003D5DE8" w:rsidRPr="009672FC" w:rsidRDefault="002E3C69" w:rsidP="002E3C69">
      <w:pPr>
        <w:spacing w:before="240" w:line="360" w:lineRule="auto"/>
        <w:jc w:val="both"/>
        <w:rPr>
          <w:rFonts w:ascii="Garamond" w:hAnsi="Garamond"/>
          <w:bCs/>
        </w:rPr>
      </w:pPr>
      <w:r w:rsidRPr="009672FC">
        <w:rPr>
          <w:rFonts w:ascii="Garamond" w:hAnsi="Garamond"/>
          <w:bCs/>
        </w:rPr>
        <w:t xml:space="preserve">In </w:t>
      </w:r>
      <w:r w:rsidR="007549AA" w:rsidRPr="009672FC">
        <w:rPr>
          <w:rFonts w:ascii="Garamond" w:hAnsi="Garamond"/>
          <w:bCs/>
        </w:rPr>
        <w:t xml:space="preserve">Phase 2, we also sought secondary data </w:t>
      </w:r>
      <w:r w:rsidR="007549AA" w:rsidRPr="009672FC">
        <w:rPr>
          <w:rFonts w:ascii="Garamond" w:hAnsi="Garamond"/>
        </w:rPr>
        <w:fldChar w:fldCharType="begin" w:fldLock="1"/>
      </w:r>
      <w:r w:rsidR="007549AA" w:rsidRPr="009672FC">
        <w:rPr>
          <w:rFonts w:ascii="Garamond" w:hAnsi="Garamond"/>
          <w:bCs/>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et al., 2019)","manualFormatting":"(Rashid et al., 2019;","plainTextFormattedCitation":"(Rashid et al., 2019)","previouslyFormattedCitation":"(Rashid et al., 2019)"},"properties":{"noteIndex":0},"schema":"https://github.com/citation-style-language/schema/raw/master/csl-citation.json"}</w:instrText>
      </w:r>
      <w:r w:rsidR="007549AA" w:rsidRPr="009672FC">
        <w:rPr>
          <w:rFonts w:ascii="Garamond" w:hAnsi="Garamond"/>
          <w:bCs/>
        </w:rPr>
        <w:fldChar w:fldCharType="separate"/>
      </w:r>
      <w:r w:rsidR="007549AA" w:rsidRPr="009672FC">
        <w:rPr>
          <w:rFonts w:ascii="Garamond" w:hAnsi="Garamond"/>
          <w:bCs/>
          <w:noProof/>
        </w:rPr>
        <w:t xml:space="preserve">(Rashid </w:t>
      </w:r>
      <w:r w:rsidR="007549AA" w:rsidRPr="009672FC">
        <w:rPr>
          <w:rFonts w:ascii="Garamond" w:hAnsi="Garamond"/>
          <w:bCs/>
          <w:i/>
          <w:noProof/>
        </w:rPr>
        <w:t>et al.</w:t>
      </w:r>
      <w:r w:rsidR="007549AA" w:rsidRPr="009672FC">
        <w:rPr>
          <w:rFonts w:ascii="Garamond" w:hAnsi="Garamond"/>
          <w:bCs/>
          <w:noProof/>
        </w:rPr>
        <w:t>, 2019;</w:t>
      </w:r>
      <w:r w:rsidR="007549AA" w:rsidRPr="009672FC">
        <w:rPr>
          <w:rFonts w:ascii="Garamond" w:hAnsi="Garamond"/>
          <w:bCs/>
        </w:rPr>
        <w:fldChar w:fldCharType="end"/>
      </w:r>
      <w:r w:rsidR="007549AA" w:rsidRPr="009672FC">
        <w:rPr>
          <w:rFonts w:ascii="Garamond" w:hAnsi="Garamond"/>
          <w:bCs/>
        </w:rPr>
        <w:t xml:space="preserve"> </w:t>
      </w:r>
      <w:r w:rsidR="007549AA" w:rsidRPr="009672FC">
        <w:rPr>
          <w:rFonts w:ascii="Garamond" w:hAnsi="Garamond"/>
        </w:rPr>
        <w:fldChar w:fldCharType="begin" w:fldLock="1"/>
      </w:r>
      <w:r w:rsidR="007549AA" w:rsidRPr="009672FC">
        <w:rPr>
          <w:rFonts w:ascii="Garamond" w:hAnsi="Garamond"/>
          <w:bCs/>
        </w:rPr>
        <w:instrText>ADDIN CSL_CITATION {"citationItems":[{"id":"ITEM-1","itemData":{"author":[{"dropping-particle":"","family":"Rowley","given":"Jennifer","non-dropping-particle":"","parse-names":false,"suffix":""}],"container-title":"Management Research News","id":"ITEM-1","issued":{"date-parts":[["2000"]]},"page":"16-27","title":"Using Case Studies in Research","type":"article-journal","volume":"25"},"uris":["http://www.mendeley.com/documents/?uuid=88f744f7-f513-4238-a806-e79b31ffd0dd"]}],"mendeley":{"formattedCitation":"(Rowley, 2000)","manualFormatting":"Rowley, 2000)","plainTextFormattedCitation":"(Rowley, 2000)","previouslyFormattedCitation":"(Rowley, 2000)"},"properties":{"noteIndex":0},"schema":"https://github.com/citation-style-language/schema/raw/master/csl-citation.json"}</w:instrText>
      </w:r>
      <w:r w:rsidR="007549AA" w:rsidRPr="009672FC">
        <w:rPr>
          <w:rFonts w:ascii="Garamond" w:hAnsi="Garamond"/>
          <w:bCs/>
        </w:rPr>
        <w:fldChar w:fldCharType="separate"/>
      </w:r>
      <w:r w:rsidR="007549AA" w:rsidRPr="009672FC">
        <w:rPr>
          <w:rFonts w:ascii="Garamond" w:hAnsi="Garamond"/>
          <w:bCs/>
          <w:noProof/>
        </w:rPr>
        <w:t>Rowley, 2000)</w:t>
      </w:r>
      <w:r w:rsidR="007549AA" w:rsidRPr="009672FC">
        <w:rPr>
          <w:rFonts w:ascii="Garamond" w:hAnsi="Garamond"/>
          <w:bCs/>
        </w:rPr>
        <w:fldChar w:fldCharType="end"/>
      </w:r>
      <w:r w:rsidR="007549AA" w:rsidRPr="009672FC">
        <w:rPr>
          <w:rFonts w:ascii="Garamond" w:hAnsi="Garamond"/>
          <w:bCs/>
        </w:rPr>
        <w:t xml:space="preserve"> to expand our understanding of the network context. Secondary data sources include publicly available network documents, newsletters, presentations, and news publications. Secondary data deepen our insights into the complex processes of the network, its activities and relationships with members and other stakeholders. Based on such data, we could identify key participants and the impact of the network membership. Such analysis helps to validate our research questions. Table </w:t>
      </w:r>
      <w:r w:rsidRPr="009672FC">
        <w:rPr>
          <w:rFonts w:ascii="Garamond" w:hAnsi="Garamond"/>
          <w:bCs/>
        </w:rPr>
        <w:t>4</w:t>
      </w:r>
      <w:r w:rsidR="007549AA" w:rsidRPr="009672FC">
        <w:rPr>
          <w:rFonts w:ascii="Garamond" w:hAnsi="Garamond"/>
          <w:bCs/>
        </w:rPr>
        <w:t xml:space="preserve"> below, highlight</w:t>
      </w:r>
      <w:r w:rsidRPr="009672FC">
        <w:rPr>
          <w:rFonts w:ascii="Garamond" w:hAnsi="Garamond"/>
          <w:bCs/>
        </w:rPr>
        <w:t>s</w:t>
      </w:r>
      <w:r w:rsidR="007549AA" w:rsidRPr="009672FC">
        <w:rPr>
          <w:rFonts w:ascii="Garamond" w:hAnsi="Garamond"/>
          <w:bCs/>
        </w:rPr>
        <w:t xml:space="preserve"> the main data used in the current research. </w:t>
      </w:r>
    </w:p>
    <w:p w14:paraId="4E39FD98" w14:textId="38954055" w:rsidR="002663FA" w:rsidRPr="009672FC" w:rsidRDefault="002663FA" w:rsidP="002E3C69">
      <w:pPr>
        <w:spacing w:before="240" w:line="360" w:lineRule="auto"/>
        <w:jc w:val="both"/>
        <w:rPr>
          <w:rFonts w:ascii="Garamond" w:hAnsi="Garamond"/>
        </w:rPr>
      </w:pPr>
      <w:r w:rsidRPr="009672FC">
        <w:rPr>
          <w:rFonts w:ascii="Garamond" w:hAnsi="Garamond"/>
        </w:rPr>
        <w:lastRenderedPageBreak/>
        <w:t>For data analysis, this</w:t>
      </w:r>
      <w:r w:rsidRPr="009672FC">
        <w:rPr>
          <w:rFonts w:ascii="Garamond" w:hAnsi="Garamond"/>
          <w:b/>
          <w:bCs/>
        </w:rPr>
        <w:t xml:space="preserve"> </w:t>
      </w:r>
      <w:r w:rsidRPr="009672FC">
        <w:rPr>
          <w:rFonts w:ascii="Garamond" w:hAnsi="Garamond"/>
        </w:rPr>
        <w:t xml:space="preserve">study employed a two-step mixed inductive-deductive coding approach </w:t>
      </w:r>
      <w:r w:rsidRPr="009672FC">
        <w:rPr>
          <w:rFonts w:ascii="Garamond" w:hAnsi="Garamond"/>
        </w:rPr>
        <w:fldChar w:fldCharType="begin" w:fldLock="1"/>
      </w:r>
      <w:r w:rsidRPr="009672FC">
        <w:rPr>
          <w:rFonts w:ascii="Garamond" w:hAnsi="Garamond"/>
        </w:rPr>
        <w:instrText>ADDIN CSL_CITATION {"citationItems":[{"id":"ITEM-1","itemData":{"ISBN":"9788578110796","ISSN":"1098-6596","PMID":"25246403","author":[{"dropping-particle":"","family":"Yin","given":"Robert K.","non-dropping-particle":"","parse-names":false,"suffix":""}],"container-title":"New York: GuilPress.","id":"ITEM-1","issued":{"date-parts":[["2015"]]},"title":"Qualitative Research from Start to Finish","type":"book","volume":"(2nd Eds.)"},"uris":["http://www.mendeley.com/documents/?uuid=c9e090e1-2994-43c6-aacf-a71afd52f381"]}],"mendeley":{"formattedCitation":"(Yin, 2015)","manualFormatting":"(Yin, 2016;","plainTextFormattedCitation":"(Yin, 2015)","previouslyFormattedCitation":"(Yin,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2016;</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{"citationItems":[{"id":"ITEM-1","itemData":{"DOI":"10.1017/cbo9780511527630.008","ISBN":"9781446247365","abstract":"2nd ed. An introduction to codes and coding -- Writing analytic memos -- First cycle coding methods -- After first cycle coding -- Second cycle coding methods -- After second cycle coding -- Post-coding and pre-writing -- Appendix A.A glossary of coding methods -- Appendix B.A glossary of analytic recommendations -- Appendix C. Field note, interview transcript, and document samples for coding -- Appendix D. Exercises and activities for coding and qualitative data analytic skill development.","author":[{"dropping-particle":"","family":"Saldaña","given":"Johnny","non-dropping-particle":"","parse-names":false,"suffix":""}],"container-title":"SAGE Publications Ltd (2nd Eds.)","id":"ITEM-1","issued":{"date-parts":[["2013"]]},"number-of-pages":"172-187","title":"The Coding Manual for Qualitative Researchers","type":"book"},"uris":["http://www.mendeley.com/documents/?uuid=c2954bca-7b34-41c7-b12a-7e586cf9cd67"]}],"mendeley":{"formattedCitation":"(Saldaña, 2013)","manualFormatting":"Saldaña, 2013)","plainTextFormattedCitation":"(Saldaña, 2013)","previouslyFormattedCitation":"(Saldaña,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Saldaña, 2013)</w:t>
      </w:r>
      <w:r w:rsidRPr="009672FC">
        <w:rPr>
          <w:rFonts w:ascii="Garamond" w:hAnsi="Garamond"/>
        </w:rPr>
        <w:fldChar w:fldCharType="end"/>
      </w:r>
      <w:r w:rsidRPr="009672FC">
        <w:rPr>
          <w:rFonts w:ascii="Garamond" w:hAnsi="Garamond"/>
        </w:rPr>
        <w:t xml:space="preserve">. Through the deductive approach, the first sets of codes were generated from the literature on the inter-organizational relationship (e.g.,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et al.,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Rossignoli </w:t>
      </w:r>
      <w:r w:rsidRPr="009672FC">
        <w:rPr>
          <w:rFonts w:ascii="Garamond" w:hAnsi="Garamond"/>
          <w:i/>
          <w:noProof/>
        </w:rPr>
        <w:t>et al.</w:t>
      </w:r>
      <w:r w:rsidRPr="009672FC">
        <w:rPr>
          <w:rFonts w:ascii="Garamond" w:hAnsi="Garamond"/>
          <w:noProof/>
        </w:rPr>
        <w:t>, 2015;</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{"citationItems":[{"id":"ITEM-1","itemData":{"DOI":"10.1057/dbm.2010.23","author":[{"dropping-particle":"","family":"Osarenkhoe","given":"Aihie","non-dropping-particle":"","parse-names":false,"suffix":""}],"container-title":"Database Marketing &amp; Customer Strategy Management","id":"ITEM-1","issue":"April","issued":{"date-parts":[["2010"]]},"page":"201-221","title":"A study of inter-fi rm dynamics between competition and cooperation – A coopetition strategy","type":"article-journal","volume":"17"},"uris":["http://www.mendeley.com/documents/?uuid=1af99f5b-eb7a-413f-8e35-a1ee3e68f32b"]}],"mendeley":{"formattedCitation":"(Osarenkhoe, 2010)","manualFormatting":" Osarenkhoe, 2010)","plainTextFormattedCitation":"(Osarenkhoe, 2010)","previouslyFormattedCitation":"(Osarenkhoe,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Osarenkhoe, 2010)</w:t>
      </w:r>
      <w:r w:rsidRPr="009672FC">
        <w:rPr>
          <w:rFonts w:ascii="Garamond" w:hAnsi="Garamond"/>
        </w:rPr>
        <w:fldChar w:fldCharType="end"/>
      </w:r>
      <w:r w:rsidRPr="009672FC">
        <w:rPr>
          <w:rFonts w:ascii="Garamond" w:hAnsi="Garamond"/>
        </w:rPr>
        <w:t xml:space="preserve">, inter-firm engagement in network context (e.g., </w:t>
      </w:r>
      <w:proofErr w:type="spellStart"/>
      <w:r w:rsidRPr="009672FC">
        <w:rPr>
          <w:rFonts w:ascii="Garamond" w:hAnsi="Garamond"/>
        </w:rPr>
        <w:t>Breidbach</w:t>
      </w:r>
      <w:proofErr w:type="spellEnd"/>
      <w:r w:rsidRPr="009672FC">
        <w:rPr>
          <w:rFonts w:ascii="Garamond" w:hAnsi="Garamond"/>
        </w:rPr>
        <w:t xml:space="preserve">, Brodie and </w:t>
      </w:r>
      <w:proofErr w:type="spellStart"/>
      <w:r w:rsidRPr="009672FC">
        <w:rPr>
          <w:rFonts w:ascii="Garamond" w:hAnsi="Garamond"/>
        </w:rPr>
        <w:t>Hollebeek</w:t>
      </w:r>
      <w:proofErr w:type="spellEnd"/>
      <w:r w:rsidRPr="009672FC">
        <w:rPr>
          <w:rFonts w:ascii="Garamond" w:hAnsi="Garamond"/>
        </w:rPr>
        <w:t xml:space="preserve">, 2014; </w:t>
      </w:r>
      <w:r w:rsidRPr="009672FC">
        <w:rPr>
          <w:rFonts w:ascii="Garamond" w:hAnsi="Garamond"/>
        </w:rPr>
        <w:fldChar w:fldCharType="begin" w:fldLock="1"/>
      </w:r>
      <w:r w:rsidRPr="009672FC">
        <w:rPr>
          <w:rFonts w:ascii="Garamond" w:hAnsi="Garamond"/>
        </w:rPr>
        <w:instrText>ADDIN CSL_CITATION {"citationItems":[{"id":"ITEM-1","itemData":{"DOI":"10.1016/j.jbusres.2016.02.034","ISSN":"01482963","abstract":"The starting point for this research is that value co-creation is difficult to observe empirically, whereas actor engagement is observable and thus more likely to be designable and manageable. Informed by the microfoundation movement in strategic management, actor engagement is conceptualized as a microfoundation for value co-creation within the context of a service ecosystem. Using a trans-disciplinary perspective, actors are viewed not only as humans, but also as machines and various combinations of humans and machines. Actor engagement is defined as both the actor's disposition to engage, and the activity of engaging in an interactive process of resource integration within a service ecosystem. This leads to identifying research issues for actors, engagement platforms, actor disposition, engagement properties and resource integration patterns. We conclude by drawing implications based on the identified research issues.","author":[{"dropping-particle":"","family":"Storbacka","given":"Kaj","non-dropping-particle":"","parse-names":false,"suffix":""},{"dropping-particle":"","family":"Brodie","given":"Roderick J.","non-dropping-particle":"","parse-names":false,"suffix":""},{"dropping-particle":"","family":"Böhmann","given":"Tilo","non-dropping-particle":"","parse-names":false,"suffix":""},{"dropping-particle":"","family":"Maglio","given":"Paul P.","non-dropping-particle":"","parse-names":false,"suffix":""},{"dropping-particle":"","family":"Nenonen","given":"Suvi","non-dropping-particle":"","parse-names":false,"suffix":""}],"container-title":"Journal of Business Research","id":"ITEM-1","issue":"8","issued":{"date-parts":[["2016"]]},"page":"3008-3017","publisher":"Elsevier Inc.","title":"Actor engagement as a microfoundation for value co-creation","type":"article-journal","volume":"69"},"uris":["http://www.mendeley.com/documents/?uuid=369293a8-574b-4294-bb9c-e108176a0c3c"]}],"mendeley":{"formattedCitation":"(Storbacka et al., 2016)","manualFormatting":"Storbacka et al., 2016;","plainTextFormattedCitation":"(Storbacka et al., 2016)","previouslyFormattedCitation":"(Storbacka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Storbacka </w:t>
      </w:r>
      <w:r w:rsidRPr="009672FC">
        <w:rPr>
          <w:rFonts w:ascii="Garamond" w:hAnsi="Garamond"/>
          <w:i/>
          <w:noProof/>
        </w:rPr>
        <w:t>et al.</w:t>
      </w:r>
      <w:r w:rsidRPr="009672FC">
        <w:rPr>
          <w:rFonts w:ascii="Garamond" w:hAnsi="Garamond"/>
          <w:noProof/>
        </w:rPr>
        <w:t>, 2016;</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{"citationItems":[{"id":"ITEM-1","itemData":{"DOI":"10.1108/JOSM-08-2016-0237","ISBN":"0820160237","ISSN":"17575818","abstract":"Purpose: The purpose of this paper is to broaden extant understanding of actor engagement behavior beyond its currently dominant dyadic (micro-level) focus, by examining it from multiple levels of aggregation within a service ecosystem framework. Design/methodology/approach: This conceptual paper draws on service-dominant logic and structuration theory as theoretical lenses to inform engagement research. Findings: By means of a stepwise exercise of “zooming out,” the paper introduces a multi-perspective (micro-, meso-, macro- and meta-level) view of actor engagement that develops understanding of multiple engagement contexts, and suggests that balancing multiple roles may result in actor disengagement behavior. The role of reference groups and role conflict associated with balancing multiple roles is critical to understanding why engaged actor proclivities may wax and wane between contexts. Research limitations/implications: The paper offers a set of five propositions that can be utilized by engagement scholars undertaking further research in this area. Practical implications: Firms need to understand the values and norms embedded in diverse engagement contexts which can affect actor groups’ needs and motivations. Firms should develop appropriate organizational mechanisms to facilitate (rather than impede or obstruct) the desired behaviors of engaged actors. Originality/value: The broader context within which engaged actors operate, and its effects on engagement, has been largely overlooked to date. By broadening the analytical perspective on engagement beyond the dyadic this paper reveals previously unaddressed aspects of this phenomenon, such as the role of disengagement behavior, and the effects of multiple engagement contexts on actors’ future behaviors.","author":[{"dropping-particle":"","family":"Alexander","given":"Matthew J.","non-dropping-particle":"","parse-names":false,"suffix":""},{"dropping-particle":"","family":"Jaakkola","given":"Elina","non-dropping-particle":"","parse-names":false,"suffix":""},{"dropping-particle":"","family":"Hollebeek","given":"Linda D.","non-dropping-particle":"","parse-names":false,"suffix":""}],"container-title":"Journal of Service Management","id":"ITEM-1","issue":"3","issued":{"date-parts":[["2018"]]},"page":"333-351","title":"Zooming out: actor engagement beyond the dyadic","type":"article-journal","volume":"29"},"uris":["http://www.mendeley.com/documents/?uuid=25ad1338-5135-4977-b9ba-180b7da3a6b8"]}],"mendeley":{"formattedCitation":"(Alexander et al., 2018)","manualFormatting":"Alexander, Jaakkola and Hollebeek, 2018;","plainTextFormattedCitation":"(Alexander et al., 2018)","previouslyFormattedCitation":"(Alexander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Alexander, Jaakkola and Hollebeek, 2018;</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{"citationItems":[{"id":"ITEM-1","itemData":{"DOI":"10.1016/j.indmarman.2019.04.007","ISSN":"00198501","abstract":"We extend the discourse on actor engagement by arguing that the ‘actor’ should be viewed both as a single-actor (humans or machines) and a group of actors (collectives or organizations), and that engagement implies both exchange-based and non-exchange-based resource contributions, which are facilitated by dispositions, formed partly by actor specific characteristics and partly by the institutional and organizational arrangements prevalent in the context in which the resource contributions occur. We further show how the resource contributions, combined with other resources, improve resource density and, thus, drive value creation. This mechanism can be the foundation for ‘economies of actor engagement’; focal actors can achieve increasing returns by mobilizing actor engagement. Building on this, we argue that actor engagement is central for market-shaping strategies that aim for market innovations, which we define as the emergence and institutionalization of resource linkages that improve resource density and, hence, value creation in a market. Finally, we suggest that the dramatic shifts that we see in the operating environment are elevating the role of actor engagement, making the management of actor engagement a strategic priority.","author":[{"dropping-particle":"","family":"Storbacka","given":"Kaj","non-dropping-particle":"","parse-names":false,"suffix":""}],"container-title":"Industrial Marketing Management","id":"ITEM-1","issued":{"date-parts":[["2019"]]},"page":"4-10","publisher":"Elsevier","title":"Actor engagement, value creation and market innovation","type":"article-journal","volume":"80"},"uris":["http://www.mendeley.com/documents/?uuid=1ded81f7-7d19-44e5-a569-2d8778f3abee"]}],"mendeley":{"formattedCitation":"(Storbacka, 2019)","manualFormatting":"Storbacka, 2019;","plainTextFormattedCitation":"(Storbacka, 2019)","previouslyFormattedCitation":"(Storbacka,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Storbacka, 2019;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{"citationItems":[{"id":"ITEM-1","itemData":{"DOI":"10.1016/j.ijproman.2019.12.001","ISSN":"02637863","abstract":"External stakeholder engagement is crucial for delivering value to diverse stakeholders in inter-organizational projects, however, it is not straightforward to organize this in a way that adds value. The intra-organizational focus of previous research offers limited insights into the relevant roles, responsibilities, arrangements and activities in inter-organizational contexts. Moreover, comprehensive empirical studies of the phenomenon are rare. This study explicates how internal stakeholders organize external stakeholder engagement in inter-organizational projects. Our multiple-case study of two infrastructure projects in Northern Europe identified three organizing solutions based on governance, values and dynamism. While governance-based solutions provide an overall structure for organizing external stakeholder engagement, value-based solutions ensure genuine cooperation and dynamism-based solutions facilitate timely organizing. The study develops propositions that constitute a model of how external stakeholder engagement can be organized in inter-organizational projects. The findings have implications for project stakeholder management and mainstream stakeholder research.","author":[{"dropping-particle":"","family":"Lehtinen","given":"Jere","non-dropping-particle":"","parse-names":false,"suffix":""},{"dropping-particle":"","family":"Aaltonen","given":"Kirsi","non-dropping-particle":"","parse-names":false,"suffix":""}],"container-title":"International Journal of Project Management","id":"ITEM-1","issue":"2","issued":{"date-parts":[["2020"]]},"page":"85-98","title":"Organizing external stakeholder engagement in inter-organizational projects: Opening the black box","type":"article-journal","volume":"38"},"uris":["http://www.mendeley.com/documents/?uuid=92140008-1a42-433a-8337-04045650d4a8"]}],"mendeley":{"formattedCitation":"(Lehtinen &amp; Aaltonen, 2020)","manualFormatting":"Lehtinen and Aaltonen, 2020","plainTextFormattedCitation":"(Lehtinen &amp; Aaltonen, 2020)","previouslyFormattedCitation":"(Lehtinen &amp; Aaltonen,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Lehtinen and Aaltonen, 2020</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{"citationItems":[{"id":"ITEM-1","itemData":{"DOI":"10.1108/MSQ-08-2013-0158","ISBN":"2981639129","author":[{"dropping-particle":"","family":"Breidbach","given":"Christoph F","non-dropping-particle":"","parse-names":false,"suffix":""},{"dropping-particle":"","family":"Brodie","given":"Roderick","non-dropping-particle":"","parse-names":false,"suffix":""},{"dropping-particle":"","family":"Hollebeek","given":"Linda","non-dropping-particle":"","parse-names":false,"suffix":""}],"container-title":"Managing Service Quality","id":"ITEM-1","issue":"6","issued":{"date-parts":[["2014"]]},"page":"592-611","title":"\"Beyond virtuality: from engagement platforms to engagement ecosystems\", Managing Service Quality.","type":"article-journal","volume":"24"},"uris":["http://www.mendeley.com/documents/?uuid=ce39fa7c-ee56-4dec-9bfa-578d192fefa6"]}],"mendeley":{"formattedCitation":"(Breidbach et al., 2014)","manualFormatting":")","plainTextFormattedCitation":"(Breidbach et al., 2014)","previouslyFormattedCitation":"(Breidbach et al., 2014)"},"properties":{"noteIndex":0},"schema":"https://github.com/citation-style-language/schema/raw/master/csl-citation.json"}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rPr>
        <w:fldChar w:fldCharType="end"/>
      </w:r>
      <w:r w:rsidRPr="009672FC">
        <w:rPr>
          <w:rFonts w:ascii="Garamond" w:hAnsi="Garamond"/>
        </w:rPr>
        <w:t xml:space="preserve"> and network management </w:t>
      </w:r>
      <w:r w:rsidRPr="009672FC">
        <w:rPr>
          <w:rFonts w:ascii="Garamond" w:hAnsi="Garamond"/>
        </w:rPr>
        <w:fldChar w:fldCharType="begin" w:fldLock="1"/>
      </w:r>
      <w:r w:rsidR="00813D37" w:rsidRPr="009672FC">
        <w:rPr>
          <w:rFonts w:ascii="Garamond" w:hAnsi="Garamond"/>
        </w:rPr>
        <w:instrText>ADDIN CSL_CITATION {"citationItems":[{"id":"ITEM-1","itemData":{"DOI":"10.1007/s11747-008-0131-z","ISSN":"00920703","abstract":"Both supply chain management (SCM) and marketing in general have been moving from models and purposes narrowly focused on goods to more general models and purposes associated with partnerships, value networks, service provision, and value creation. Some of this movement has been captured in what has become known as service-dominant (S-D) logic. This article applies S-D logic to thinking about SCM in terms of service provision, in which goods are seen as service distribution or provisioning mechanisms, explores and elaborates on the concept of a value network, and develops a model of the firm as an essential service provisioning agent in a complex and adaptive value network. Research and managerial opportunities are also explored. © Academy of Marketing Science 2009.","author":[{"dropping-particle":"","family":"Lusch","given":"Robert F.","non-dropping-particle":"","parse-names":false,"suffix":""},{"dropping-particle":"","family":"Vargo","given":"Stephen L.","non-dropping-particle":"","parse-names":false,"suffix":""},{"dropping-particle":"","family":"Tanniru","given":"Mohan","non-dropping-particle":"","parse-names":false,"suffix":""}],"container-title":"Journal of the Academy of Marketing Science","id":"ITEM-1","issue":"1","issued":{"date-parts":[["2010"]]},"page":"19-31","title":"Service, value networks and learning","type":"article-journal","volume":"38"},"uris":["http://www.mendeley.com/documents/?uuid=75ea0cec-9242-48fc-b523-e96326ae3019"]}],"mendeley":{"formattedCitation":"(Lusch, Vargo, &amp; Tanniru, 2010)","manualFormatting":"(Lusch, Vargo and Tanniru, 2010;","plainTextFormattedCitation":"(Lusch, Vargo, &amp; Tanniru, 2010)","previouslyFormattedCitation":"(Lusch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(Lusch, Vargo and Tanniru, 2010;</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{"citationItems":[{"id":"ITEM-1","itemData":{"DOI":"10.1016/j.indmarman.2016.03.005","ISSN":"00198501","abstract":"To develop innovative solutions for complex societal and scientific challenges, organizations need to move beyond the boundaries of single firms and engage in collaborative networks. In these networks, multiple, diverse stakeholders are working together to co-create innovative value. Co-creation in a network creates new challenges in terms of changed processes and outcomes. Guided by grounded theory methodology, we explore these aspects by studying a public–private partnership involving 57 stakeholders. We take the number and diversity of stakeholders into account to shed light on the distinct processes through which value is co-created and captured. We also identify the types of value outcomes that accrue to the network and its participants. Overall, we present a multi-level cyclical process framework for leveraging value in multi-stakeholder collaborations and visualize these collaborations as a value space in which all stakeholders are uniquely positioned. In doing so, this study provides novel insights into the systemic, multi-actor nature of value co-creation and supports collaborators in maximizing value for both individual stakeholders and the network as a whole.","author":[{"dropping-particle":"","family":"Reypens","given":"Charlotte","non-dropping-particle":"","parse-names":false,"suffix":""},{"dropping-particle":"","family":"Lievens","given":"Annouk","non-dropping-particle":"","parse-names":false,"suffix":""},{"dropping-particle":"","family":"Blazevic","given":"Vera","non-dropping-particle":"","parse-names":false,"suffix":""}],"container-title":"Industrial Marketing Management","id":"ITEM-1","issued":{"date-parts":[["2016"]]},"page":"40-50","publisher":"Elsevier Inc.","title":"Leveraging value in multi-stakeholder innovation networks: A process framework for value co-creation and capture","type":"article-journal","volume":"56"},"uris":["http://www.mendeley.com/documents/?uuid=a6f6b3ed-5e16-4c14-aad0-e7c366a6e4ca"]}],"mendeley":{"formattedCitation":"(Reypens et al., 2016)","manualFormatting":"Reypens, Lievens and Blazevic, 2016; Donada, Nogatchewsky and Pezet, 2016; Ngugi, Johnsen and Erde, 2010)","plainTextFormattedCitation":"(Reypens et al., 2016)","previouslyFormattedCitation":"(Reypens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Reypens, Lievens and Blazevic, 2016; </w:t>
      </w:r>
      <w:r w:rsidRPr="009672FC">
        <w:rPr>
          <w:rFonts w:ascii="Garamond" w:hAnsi="Garamond"/>
          <w:noProof/>
        </w:rPr>
        <w:fldChar w:fldCharType="begin" w:fldLock="1"/>
      </w:r>
      <w:r w:rsidRPr="009672FC">
        <w:rPr>
          <w:rFonts w:ascii="Garamond" w:hAnsi="Garamond"/>
          <w:noProof/>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Nogatchewsky and Pezet, 2016;","plainTextFormattedCitation":"(Donada et al., 2016)","previouslyFormattedCitation":"(Donada et al., 2016)"},"properties":{"noteIndex":0},"schema":"https://github.com/citation-style-language/schema/raw/master/csl-citation.json"}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Donada, Nogatchewsky and Pezet, 2016;</w:t>
      </w:r>
      <w:r w:rsidRPr="009672FC">
        <w:rPr>
          <w:rFonts w:ascii="Garamond" w:hAnsi="Garamond"/>
          <w:noProof/>
        </w:rPr>
        <w:fldChar w:fldCharType="end"/>
      </w:r>
      <w:r w:rsidRPr="009672FC">
        <w:rPr>
          <w:rFonts w:ascii="Garamond" w:hAnsi="Garamond"/>
          <w:noProof/>
        </w:rPr>
        <w:t xml:space="preserve"> </w:t>
      </w:r>
      <w:r w:rsidRPr="009672FC">
        <w:rPr>
          <w:rFonts w:ascii="Garamond" w:hAnsi="Garamond"/>
          <w:noProof/>
        </w:rPr>
        <w:fldChar w:fldCharType="begin" w:fldLock="1"/>
      </w:r>
      <w:r w:rsidRPr="009672FC">
        <w:rPr>
          <w:rFonts w:ascii="Garamond" w:hAnsi="Garamond"/>
          <w:noProof/>
        </w:rPr>
        <w:instrText>ADDIN CSL_CITATION {"citationItems":[{"id":"ITEM-1","itemData":{"DOI":"10.1108/14626001011041256","author":[{"dropping-particle":"","family":"Ngugi","given":"Isaac K","non-dropping-particle":"","parse-names":false,"suffix":""},{"dropping-particle":"","family":"Johnsen","given":"Rhona E","non-dropping-particle":"","parse-names":false,"suffix":""},{"dropping-particle":"","family":"Erde","given":"Peter","non-dropping-particle":"","parse-names":false,"suffix":""}],"container-title":"Journal of Small Business and Enterprise Development","id":"ITEM-1","issue":"2","issued":{"date-parts":[["2010"]]},"page":"260-278","title":"Relational capabilities for value co-creation and innovation in SMEs","type":"article-journal","volume":"17"},"uris":["http://www.mendeley.com/documents/?uuid=0dd3c9c1-3952-416f-b08a-19e2ce826b7c"]}],"mendeley":{"formattedCitation":"(Ngugi et al., 2010)","manualFormatting":"Ngugi, Johnsen and Erde, 2010)","plainTextFormattedCitation":"(Ngugi et al., 2010)","previouslyFormattedCitation":"(Ngugi et al., 2010)"},"properties":{"noteIndex":0},"schema":"https://github.com/citation-style-language/schema/raw/master/csl-citation.json"}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Ngugi, Johnsen and Erde, 2010)</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ATLAS.ti was used for coding data. It is a qualitative data software used by researchers for coding and analysis of qualitative data. Data generated from the literature supports the coding process. </w:t>
      </w:r>
      <w:r w:rsidRPr="009672FC">
        <w:rPr>
          <w:rFonts w:ascii="Garamond" w:hAnsi="Garamond"/>
        </w:rPr>
        <w:fldChar w:fldCharType="begin" w:fldLock="1"/>
      </w:r>
      <w:r w:rsidRPr="009672FC">
        <w:rPr>
          <w:rFonts w:ascii="Garamond" w:hAnsi="Garamond"/>
        </w:rPr>
        <w:instrText>ADDIN CSL_CITATION {"citationItems":[{"id":"ITEM-1","itemData":{"DOI":"10.1017/cbo9780511527630.008","ISBN":"9781446247365","abstract":"2nd ed. An introduction to codes and coding -- Writing analytic memos -- First cycle coding methods -- After first cycle coding -- Second cycle coding methods -- After second cycle coding -- Post-coding and pre-writing -- Appendix A.A glossary of coding methods -- Appendix B.A glossary of analytic recommendations -- Appendix C. Field note, interview transcript, and document samples for coding -- Appendix D. Exercises and activities for coding and qualitative data analytic skill development.","author":[{"dropping-particle":"","family":"Saldaña","given":"Johnny","non-dropping-particle":"","parse-names":false,"suffix":""}],"container-title":"SAGE Publications Ltd (2nd Eds.)","id":"ITEM-1","issued":{"date-parts":[["2013"]]},"number-of-pages":"172-187","title":"The Coding Manual for Qualitative Researchers","type":"book"},"uris":["http://www.mendeley.com/documents/?uuid=c2954bca-7b34-41c7-b12a-7e586cf9cd67"]}],"mendeley":{"formattedCitation":"(Saldaña, 2013)","manualFormatting":"Saldaña (2013)","plainTextFormattedCitation":"(Saldaña, 2013)","previouslyFormattedCitation":"(Saldaña,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Saldaña (2013)</w:t>
      </w:r>
      <w:r w:rsidRPr="009672FC">
        <w:rPr>
          <w:rFonts w:ascii="Garamond" w:hAnsi="Garamond"/>
        </w:rPr>
        <w:fldChar w:fldCharType="end"/>
      </w:r>
      <w:r w:rsidRPr="009672FC">
        <w:rPr>
          <w:rFonts w:ascii="Garamond" w:hAnsi="Garamond"/>
        </w:rPr>
        <w:t xml:space="preserve"> suggests that a theory-driven coding strategy enables the integration of data with codes that are consistent with relevant theories.</w:t>
      </w:r>
    </w:p>
    <w:p w14:paraId="4EC7CFB6" w14:textId="0C3EBFDA" w:rsidR="003D5DE8" w:rsidRPr="00663C31" w:rsidRDefault="00EB5D6B" w:rsidP="00663C31">
      <w:pPr>
        <w:pStyle w:val="Caption"/>
        <w:keepNext/>
        <w:spacing w:before="240" w:after="0"/>
        <w:jc w:val="center"/>
        <w:rPr>
          <w:rFonts w:ascii="Garamond" w:hAnsi="Garamond"/>
          <w:sz w:val="22"/>
          <w:szCs w:val="22"/>
        </w:rPr>
      </w:pPr>
      <w:bookmarkStart w:id="103" w:name="_Toc85628645"/>
      <w:bookmarkStart w:id="104" w:name="_Toc85617735"/>
      <w:bookmarkStart w:id="105" w:name="_Toc85711313"/>
      <w:r w:rsidRPr="00663C31">
        <w:rPr>
          <w:rFonts w:ascii="Garamond" w:hAnsi="Garamond"/>
          <w:sz w:val="22"/>
          <w:szCs w:val="22"/>
        </w:rPr>
        <w:t xml:space="preserve">Table </w:t>
      </w:r>
      <w:r w:rsidR="00C10BC3" w:rsidRPr="00663C31">
        <w:rPr>
          <w:rFonts w:ascii="Garamond" w:hAnsi="Garamond"/>
          <w:sz w:val="22"/>
          <w:szCs w:val="22"/>
        </w:rPr>
        <w:fldChar w:fldCharType="begin"/>
      </w:r>
      <w:r w:rsidR="00C10BC3" w:rsidRPr="00663C31">
        <w:rPr>
          <w:rFonts w:ascii="Garamond" w:hAnsi="Garamond"/>
          <w:sz w:val="22"/>
          <w:szCs w:val="22"/>
        </w:rPr>
        <w:instrText xml:space="preserve"> SEQ Table \* ARABIC </w:instrText>
      </w:r>
      <w:r w:rsidR="00C10BC3" w:rsidRPr="00663C31">
        <w:rPr>
          <w:rFonts w:ascii="Garamond" w:hAnsi="Garamond"/>
          <w:sz w:val="22"/>
          <w:szCs w:val="22"/>
        </w:rPr>
        <w:fldChar w:fldCharType="separate"/>
      </w:r>
      <w:r w:rsidR="001C1648">
        <w:rPr>
          <w:rFonts w:ascii="Garamond" w:hAnsi="Garamond"/>
          <w:noProof/>
          <w:sz w:val="22"/>
          <w:szCs w:val="22"/>
        </w:rPr>
        <w:t>6</w:t>
      </w:r>
      <w:r w:rsidR="00C10BC3" w:rsidRPr="00663C31">
        <w:rPr>
          <w:rFonts w:ascii="Garamond" w:hAnsi="Garamond"/>
          <w:noProof/>
          <w:sz w:val="22"/>
          <w:szCs w:val="22"/>
        </w:rPr>
        <w:fldChar w:fldCharType="end"/>
      </w:r>
      <w:r w:rsidRPr="00663C31">
        <w:rPr>
          <w:rFonts w:ascii="Garamond" w:hAnsi="Garamond"/>
          <w:sz w:val="22"/>
          <w:szCs w:val="22"/>
        </w:rPr>
        <w:t>. Data Collection</w:t>
      </w:r>
      <w:bookmarkEnd w:id="103"/>
      <w:bookmarkEnd w:id="104"/>
      <w:bookmarkEnd w:id="105"/>
    </w:p>
    <w:tbl>
      <w:tblPr>
        <w:tblW w:w="9360" w:type="dxa"/>
        <w:tblLayout w:type="fixed"/>
        <w:tblLook w:val="04A0" w:firstRow="1" w:lastRow="0" w:firstColumn="1" w:lastColumn="0" w:noHBand="0" w:noVBand="1"/>
      </w:tblPr>
      <w:tblGrid>
        <w:gridCol w:w="2340"/>
        <w:gridCol w:w="1101"/>
        <w:gridCol w:w="5919"/>
      </w:tblGrid>
      <w:tr w:rsidR="003D5DE8" w:rsidRPr="009672FC" w14:paraId="26A9535D" w14:textId="77777777" w:rsidTr="002663FA">
        <w:tc>
          <w:tcPr>
            <w:tcW w:w="2340" w:type="dxa"/>
            <w:tcBorders>
              <w:top w:val="single" w:sz="4" w:space="0" w:color="000000"/>
              <w:bottom w:val="single" w:sz="4" w:space="0" w:color="000000"/>
            </w:tcBorders>
          </w:tcPr>
          <w:p w14:paraId="6278477E" w14:textId="77777777" w:rsidR="003D5DE8" w:rsidRPr="009672FC" w:rsidRDefault="007549AA" w:rsidP="002E3C69">
            <w:pPr>
              <w:widowControl w:val="0"/>
              <w:spacing w:line="360" w:lineRule="auto"/>
              <w:rPr>
                <w:rFonts w:ascii="Garamond" w:hAnsi="Garamond"/>
                <w:b/>
                <w:bCs/>
                <w:sz w:val="22"/>
                <w:szCs w:val="22"/>
              </w:rPr>
            </w:pPr>
            <w:r w:rsidRPr="009672FC">
              <w:rPr>
                <w:rFonts w:ascii="Garamond" w:hAnsi="Garamond"/>
                <w:b/>
                <w:bCs/>
                <w:sz w:val="22"/>
                <w:szCs w:val="22"/>
              </w:rPr>
              <w:t>Collected data</w:t>
            </w:r>
          </w:p>
        </w:tc>
        <w:tc>
          <w:tcPr>
            <w:tcW w:w="1101" w:type="dxa"/>
            <w:tcBorders>
              <w:top w:val="single" w:sz="4" w:space="0" w:color="000000"/>
              <w:bottom w:val="single" w:sz="4" w:space="0" w:color="000000"/>
            </w:tcBorders>
          </w:tcPr>
          <w:p w14:paraId="3B5B8677" w14:textId="77777777" w:rsidR="003D5DE8" w:rsidRPr="009672FC" w:rsidRDefault="007549AA" w:rsidP="002E3C69">
            <w:pPr>
              <w:widowControl w:val="0"/>
              <w:spacing w:line="360" w:lineRule="auto"/>
              <w:rPr>
                <w:rFonts w:ascii="Garamond" w:hAnsi="Garamond"/>
                <w:b/>
                <w:bCs/>
                <w:sz w:val="22"/>
                <w:szCs w:val="22"/>
              </w:rPr>
            </w:pPr>
            <w:r w:rsidRPr="009672FC">
              <w:rPr>
                <w:rFonts w:ascii="Garamond" w:hAnsi="Garamond"/>
                <w:b/>
                <w:bCs/>
                <w:sz w:val="22"/>
                <w:szCs w:val="22"/>
              </w:rPr>
              <w:t>Number</w:t>
            </w:r>
          </w:p>
        </w:tc>
        <w:tc>
          <w:tcPr>
            <w:tcW w:w="5919" w:type="dxa"/>
            <w:tcBorders>
              <w:top w:val="single" w:sz="4" w:space="0" w:color="000000"/>
              <w:bottom w:val="single" w:sz="4" w:space="0" w:color="000000"/>
            </w:tcBorders>
          </w:tcPr>
          <w:p w14:paraId="414246F7" w14:textId="77777777" w:rsidR="003D5DE8" w:rsidRPr="009672FC" w:rsidRDefault="007549AA" w:rsidP="002E3C69">
            <w:pPr>
              <w:widowControl w:val="0"/>
              <w:spacing w:line="360" w:lineRule="auto"/>
              <w:rPr>
                <w:rFonts w:ascii="Garamond" w:hAnsi="Garamond"/>
                <w:b/>
                <w:bCs/>
                <w:sz w:val="22"/>
                <w:szCs w:val="22"/>
              </w:rPr>
            </w:pPr>
            <w:r w:rsidRPr="009672FC">
              <w:rPr>
                <w:rFonts w:ascii="Garamond" w:hAnsi="Garamond"/>
                <w:b/>
                <w:bCs/>
                <w:sz w:val="22"/>
                <w:szCs w:val="22"/>
              </w:rPr>
              <w:t>Notes</w:t>
            </w:r>
          </w:p>
        </w:tc>
      </w:tr>
      <w:tr w:rsidR="003D5DE8" w:rsidRPr="009672FC" w14:paraId="6A8A3D44" w14:textId="77777777" w:rsidTr="002663FA">
        <w:tc>
          <w:tcPr>
            <w:tcW w:w="2340" w:type="dxa"/>
            <w:tcBorders>
              <w:top w:val="single" w:sz="4" w:space="0" w:color="000000"/>
            </w:tcBorders>
          </w:tcPr>
          <w:p w14:paraId="48EFE443"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Interviews</w:t>
            </w:r>
          </w:p>
        </w:tc>
        <w:tc>
          <w:tcPr>
            <w:tcW w:w="1101" w:type="dxa"/>
            <w:tcBorders>
              <w:top w:val="single" w:sz="4" w:space="0" w:color="000000"/>
            </w:tcBorders>
          </w:tcPr>
          <w:p w14:paraId="3614B123"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9</w:t>
            </w:r>
          </w:p>
        </w:tc>
        <w:tc>
          <w:tcPr>
            <w:tcW w:w="5919" w:type="dxa"/>
            <w:tcBorders>
              <w:top w:val="single" w:sz="4" w:space="0" w:color="000000"/>
            </w:tcBorders>
          </w:tcPr>
          <w:p w14:paraId="52DC5A8A" w14:textId="1FDAE009" w:rsidR="003D5DE8" w:rsidRPr="009672FC" w:rsidRDefault="002E3C69" w:rsidP="002E3C69">
            <w:pPr>
              <w:widowControl w:val="0"/>
              <w:spacing w:line="360" w:lineRule="auto"/>
              <w:jc w:val="both"/>
              <w:rPr>
                <w:rFonts w:ascii="Garamond" w:hAnsi="Garamond"/>
                <w:sz w:val="22"/>
                <w:szCs w:val="22"/>
              </w:rPr>
            </w:pPr>
            <w:r w:rsidRPr="009672FC">
              <w:rPr>
                <w:rFonts w:ascii="Garamond" w:hAnsi="Garamond"/>
                <w:sz w:val="22"/>
                <w:szCs w:val="22"/>
              </w:rPr>
              <w:t>From</w:t>
            </w:r>
            <w:r w:rsidR="007549AA" w:rsidRPr="009672FC">
              <w:rPr>
                <w:rFonts w:ascii="Garamond" w:hAnsi="Garamond"/>
                <w:sz w:val="22"/>
                <w:szCs w:val="22"/>
              </w:rPr>
              <w:t xml:space="preserve"> the beginning of the data collection stage (October 2014 to September 2020), 9 personal interviews were conducted. The interviews comprised 6 informal interviews, and 2 in-depth, structured interviews regarding the strategic configuration of </w:t>
            </w:r>
            <w:r w:rsidRPr="009672FC">
              <w:rPr>
                <w:rFonts w:ascii="Garamond" w:hAnsi="Garamond"/>
                <w:sz w:val="22"/>
                <w:szCs w:val="22"/>
              </w:rPr>
              <w:t xml:space="preserve">the </w:t>
            </w:r>
            <w:r w:rsidR="007549AA" w:rsidRPr="009672FC">
              <w:rPr>
                <w:rFonts w:ascii="Garamond" w:hAnsi="Garamond"/>
                <w:sz w:val="22"/>
                <w:szCs w:val="22"/>
              </w:rPr>
              <w:t>network, inter-firm engagement, and a network relational capability assessment. All the interviews were digitally recorded and then transcribed.</w:t>
            </w:r>
          </w:p>
        </w:tc>
      </w:tr>
      <w:tr w:rsidR="003D5DE8" w:rsidRPr="009672FC" w14:paraId="6FC5D637" w14:textId="77777777" w:rsidTr="002663FA">
        <w:tc>
          <w:tcPr>
            <w:tcW w:w="2340" w:type="dxa"/>
          </w:tcPr>
          <w:p w14:paraId="545D5170"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Notes from interviews</w:t>
            </w:r>
          </w:p>
        </w:tc>
        <w:tc>
          <w:tcPr>
            <w:tcW w:w="1101" w:type="dxa"/>
          </w:tcPr>
          <w:p w14:paraId="1B0A1992"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58 pages</w:t>
            </w:r>
          </w:p>
        </w:tc>
        <w:tc>
          <w:tcPr>
            <w:tcW w:w="5919" w:type="dxa"/>
          </w:tcPr>
          <w:p w14:paraId="6D83AE62" w14:textId="77777777"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A total of 58 pages of notes from the interviews were recorded and used in this research.</w:t>
            </w:r>
          </w:p>
        </w:tc>
      </w:tr>
      <w:tr w:rsidR="003D5DE8" w:rsidRPr="009672FC" w14:paraId="7FFE8B37" w14:textId="77777777" w:rsidTr="002663FA">
        <w:trPr>
          <w:trHeight w:val="449"/>
        </w:trPr>
        <w:tc>
          <w:tcPr>
            <w:tcW w:w="2340" w:type="dxa"/>
          </w:tcPr>
          <w:p w14:paraId="13B7FC7C"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Internal document</w:t>
            </w:r>
          </w:p>
        </w:tc>
        <w:tc>
          <w:tcPr>
            <w:tcW w:w="1101" w:type="dxa"/>
          </w:tcPr>
          <w:p w14:paraId="145DE84F"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2</w:t>
            </w:r>
          </w:p>
        </w:tc>
        <w:tc>
          <w:tcPr>
            <w:tcW w:w="5919" w:type="dxa"/>
          </w:tcPr>
          <w:p w14:paraId="71A5C835" w14:textId="3792E4A7"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An internal constitution and balance sheet of the Sparrow w</w:t>
            </w:r>
            <w:r w:rsidR="002E3C69" w:rsidRPr="009672FC">
              <w:rPr>
                <w:rFonts w:ascii="Garamond" w:hAnsi="Garamond"/>
                <w:sz w:val="22"/>
                <w:szCs w:val="22"/>
              </w:rPr>
              <w:t>as</w:t>
            </w:r>
            <w:r w:rsidRPr="009672FC">
              <w:rPr>
                <w:rFonts w:ascii="Garamond" w:hAnsi="Garamond"/>
                <w:sz w:val="22"/>
                <w:szCs w:val="22"/>
              </w:rPr>
              <w:t xml:space="preserve"> used in this research.</w:t>
            </w:r>
          </w:p>
        </w:tc>
      </w:tr>
      <w:tr w:rsidR="003D5DE8" w:rsidRPr="009672FC" w14:paraId="76408C33" w14:textId="77777777" w:rsidTr="002663FA">
        <w:tc>
          <w:tcPr>
            <w:tcW w:w="2340" w:type="dxa"/>
          </w:tcPr>
          <w:p w14:paraId="632FC7D2"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Presentation slide (by network manager)</w:t>
            </w:r>
          </w:p>
        </w:tc>
        <w:tc>
          <w:tcPr>
            <w:tcW w:w="1101" w:type="dxa"/>
          </w:tcPr>
          <w:p w14:paraId="3B11B375"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1</w:t>
            </w:r>
          </w:p>
        </w:tc>
        <w:tc>
          <w:tcPr>
            <w:tcW w:w="5919" w:type="dxa"/>
          </w:tcPr>
          <w:p w14:paraId="311E661F" w14:textId="77777777"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A presentation slide on the Sparrow business network was used in this research.</w:t>
            </w:r>
          </w:p>
        </w:tc>
      </w:tr>
      <w:tr w:rsidR="003D5DE8" w:rsidRPr="009672FC" w14:paraId="510FB26D" w14:textId="77777777" w:rsidTr="002663FA">
        <w:tc>
          <w:tcPr>
            <w:tcW w:w="2340" w:type="dxa"/>
          </w:tcPr>
          <w:p w14:paraId="254F71AC"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Data collected online</w:t>
            </w:r>
          </w:p>
        </w:tc>
        <w:tc>
          <w:tcPr>
            <w:tcW w:w="1101" w:type="dxa"/>
          </w:tcPr>
          <w:p w14:paraId="73C891BF"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8</w:t>
            </w:r>
          </w:p>
        </w:tc>
        <w:tc>
          <w:tcPr>
            <w:tcW w:w="5919" w:type="dxa"/>
          </w:tcPr>
          <w:p w14:paraId="708C4A6A" w14:textId="0A0AC20F"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 xml:space="preserve">This research collected data from the corporate website and social media. Other data about the Sparrow business network were collected from the website of </w:t>
            </w:r>
            <w:r w:rsidR="002E3C69" w:rsidRPr="009672FC">
              <w:rPr>
                <w:rFonts w:ascii="Garamond" w:hAnsi="Garamond"/>
                <w:sz w:val="22"/>
                <w:szCs w:val="22"/>
              </w:rPr>
              <w:t xml:space="preserve">the </w:t>
            </w:r>
            <w:r w:rsidRPr="009672FC">
              <w:rPr>
                <w:rFonts w:ascii="Garamond" w:hAnsi="Garamond"/>
                <w:sz w:val="22"/>
                <w:szCs w:val="22"/>
              </w:rPr>
              <w:t xml:space="preserve">main network partner- </w:t>
            </w:r>
            <w:r w:rsidR="002E3C69" w:rsidRPr="009672FC">
              <w:rPr>
                <w:rFonts w:ascii="Garamond" w:hAnsi="Garamond"/>
                <w:sz w:val="22"/>
                <w:szCs w:val="22"/>
              </w:rPr>
              <w:t xml:space="preserve">the </w:t>
            </w:r>
            <w:r w:rsidRPr="009672FC">
              <w:rPr>
                <w:rFonts w:ascii="Garamond" w:hAnsi="Garamond"/>
                <w:sz w:val="22"/>
                <w:szCs w:val="22"/>
              </w:rPr>
              <w:t>Italian business network.</w:t>
            </w:r>
          </w:p>
        </w:tc>
      </w:tr>
      <w:tr w:rsidR="003D5DE8" w:rsidRPr="009672FC" w14:paraId="5A182B73" w14:textId="77777777" w:rsidTr="002663FA">
        <w:tc>
          <w:tcPr>
            <w:tcW w:w="2340" w:type="dxa"/>
          </w:tcPr>
          <w:p w14:paraId="623CEB6B"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Data from the press</w:t>
            </w:r>
          </w:p>
        </w:tc>
        <w:tc>
          <w:tcPr>
            <w:tcW w:w="1101" w:type="dxa"/>
          </w:tcPr>
          <w:p w14:paraId="56205052"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34</w:t>
            </w:r>
          </w:p>
        </w:tc>
        <w:tc>
          <w:tcPr>
            <w:tcW w:w="5919" w:type="dxa"/>
          </w:tcPr>
          <w:p w14:paraId="30B63B92" w14:textId="77777777"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Data from relevant monthly newsletters, and news publications on the network, were used</w:t>
            </w:r>
          </w:p>
        </w:tc>
      </w:tr>
      <w:tr w:rsidR="003D5DE8" w:rsidRPr="009672FC" w14:paraId="36BF70E1" w14:textId="77777777" w:rsidTr="002663FA">
        <w:trPr>
          <w:trHeight w:val="340"/>
        </w:trPr>
        <w:tc>
          <w:tcPr>
            <w:tcW w:w="2340" w:type="dxa"/>
            <w:tcBorders>
              <w:bottom w:val="single" w:sz="4" w:space="0" w:color="000000"/>
            </w:tcBorders>
          </w:tcPr>
          <w:p w14:paraId="6C47CBB1"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lastRenderedPageBreak/>
              <w:t xml:space="preserve">Notes from direct observations </w:t>
            </w:r>
          </w:p>
        </w:tc>
        <w:tc>
          <w:tcPr>
            <w:tcW w:w="1101" w:type="dxa"/>
            <w:tcBorders>
              <w:bottom w:val="single" w:sz="4" w:space="0" w:color="000000"/>
            </w:tcBorders>
          </w:tcPr>
          <w:p w14:paraId="195E3B3E" w14:textId="77777777" w:rsidR="003D5DE8" w:rsidRPr="009672FC" w:rsidRDefault="007549AA" w:rsidP="002E3C69">
            <w:pPr>
              <w:widowControl w:val="0"/>
              <w:spacing w:line="360" w:lineRule="auto"/>
              <w:rPr>
                <w:rFonts w:ascii="Garamond" w:hAnsi="Garamond"/>
                <w:sz w:val="22"/>
                <w:szCs w:val="22"/>
              </w:rPr>
            </w:pPr>
            <w:r w:rsidRPr="009672FC">
              <w:rPr>
                <w:rFonts w:ascii="Garamond" w:hAnsi="Garamond"/>
                <w:sz w:val="22"/>
                <w:szCs w:val="22"/>
              </w:rPr>
              <w:t>43 pages</w:t>
            </w:r>
          </w:p>
        </w:tc>
        <w:tc>
          <w:tcPr>
            <w:tcW w:w="5919" w:type="dxa"/>
            <w:tcBorders>
              <w:bottom w:val="single" w:sz="4" w:space="0" w:color="000000"/>
            </w:tcBorders>
          </w:tcPr>
          <w:p w14:paraId="4F136967" w14:textId="77777777" w:rsidR="003D5DE8" w:rsidRPr="009672FC" w:rsidRDefault="007549AA" w:rsidP="002E3C69">
            <w:pPr>
              <w:widowControl w:val="0"/>
              <w:spacing w:line="360" w:lineRule="auto"/>
              <w:jc w:val="both"/>
              <w:rPr>
                <w:rFonts w:ascii="Garamond" w:hAnsi="Garamond"/>
                <w:sz w:val="22"/>
                <w:szCs w:val="22"/>
              </w:rPr>
            </w:pPr>
            <w:r w:rsidRPr="009672FC">
              <w:rPr>
                <w:rFonts w:ascii="Garamond" w:hAnsi="Garamond"/>
                <w:sz w:val="22"/>
                <w:szCs w:val="22"/>
              </w:rPr>
              <w:t>Notes from various official documents, articles, company brochures were consulted.</w:t>
            </w:r>
          </w:p>
        </w:tc>
      </w:tr>
    </w:tbl>
    <w:p w14:paraId="695A471F" w14:textId="77777777" w:rsidR="003D5DE8" w:rsidRPr="009672FC" w:rsidRDefault="007549AA">
      <w:pPr>
        <w:jc w:val="center"/>
        <w:rPr>
          <w:rFonts w:ascii="Garamond" w:hAnsi="Garamond"/>
          <w:sz w:val="20"/>
          <w:szCs w:val="20"/>
        </w:rPr>
      </w:pPr>
      <w:r w:rsidRPr="009672FC">
        <w:rPr>
          <w:rFonts w:ascii="Garamond" w:hAnsi="Garamond"/>
          <w:sz w:val="20"/>
          <w:szCs w:val="20"/>
        </w:rPr>
        <w:t>Source: Authors’ elaboration</w:t>
      </w:r>
    </w:p>
    <w:p w14:paraId="1234490E" w14:textId="765B5261" w:rsidR="002E3C69" w:rsidRPr="009672FC" w:rsidRDefault="002E3C69" w:rsidP="002E3C69">
      <w:pPr>
        <w:spacing w:before="240" w:line="360" w:lineRule="auto"/>
        <w:jc w:val="both"/>
        <w:rPr>
          <w:rFonts w:ascii="Garamond" w:hAnsi="Garamond"/>
        </w:rPr>
      </w:pPr>
      <w:r w:rsidRPr="009672FC">
        <w:rPr>
          <w:rFonts w:ascii="Garamond" w:hAnsi="Garamond"/>
        </w:rPr>
        <w:t>Before</w:t>
      </w:r>
      <w:r w:rsidR="007549AA" w:rsidRPr="009672FC">
        <w:rPr>
          <w:rFonts w:ascii="Garamond" w:hAnsi="Garamond"/>
        </w:rPr>
        <w:t xml:space="preserve"> coding, literature was thoroughly read, and codes were carefully deduced while recognizing the RQs in mind, thus providing specific contexts, details and responses to questions that arose during </w:t>
      </w:r>
      <w:r w:rsidRPr="009672FC">
        <w:rPr>
          <w:rFonts w:ascii="Garamond" w:hAnsi="Garamond"/>
        </w:rPr>
        <w:t xml:space="preserve">the </w:t>
      </w:r>
      <w:r w:rsidR="007549AA" w:rsidRPr="009672FC">
        <w:rPr>
          <w:rFonts w:ascii="Garamond" w:hAnsi="Garamond"/>
        </w:rPr>
        <w:t>data collection phase. The first selective codes address the RQ1 (organizing solutions), as</w:t>
      </w:r>
      <w:r w:rsidR="007549AA" w:rsidRPr="009672FC">
        <w:rPr>
          <w:rFonts w:ascii="Garamond" w:hAnsi="Garamond"/>
          <w:i/>
          <w:iCs/>
        </w:rPr>
        <w:t xml:space="preserve"> </w:t>
      </w:r>
      <w:r w:rsidR="007549AA" w:rsidRPr="009672FC">
        <w:rPr>
          <w:rFonts w:ascii="Garamond" w:hAnsi="Garamond"/>
        </w:rPr>
        <w:t xml:space="preserve">proposed by Lehtinen and </w:t>
      </w:r>
      <w:proofErr w:type="spellStart"/>
      <w:r w:rsidR="007549AA" w:rsidRPr="009672FC">
        <w:rPr>
          <w:rFonts w:ascii="Garamond" w:hAnsi="Garamond"/>
        </w:rPr>
        <w:t>Aaltonen</w:t>
      </w:r>
      <w:proofErr w:type="spellEnd"/>
      <w:r w:rsidR="007549AA" w:rsidRPr="009672FC">
        <w:rPr>
          <w:rFonts w:ascii="Garamond" w:hAnsi="Garamond"/>
        </w:rPr>
        <w:t xml:space="preserve">, (2020). </w:t>
      </w:r>
      <w:r w:rsidRPr="009672FC">
        <w:rPr>
          <w:rFonts w:ascii="Garamond" w:hAnsi="Garamond"/>
        </w:rPr>
        <w:t>The s</w:t>
      </w:r>
      <w:r w:rsidR="007549AA" w:rsidRPr="009672FC">
        <w:rPr>
          <w:rFonts w:ascii="Garamond" w:hAnsi="Garamond"/>
        </w:rPr>
        <w:t xml:space="preserve">econd coding is the RQ2 (antecedents) was based on nine </w:t>
      </w:r>
      <w:r w:rsidR="007549AA" w:rsidRPr="009672FC">
        <w:rPr>
          <w:rFonts w:ascii="Garamond" w:hAnsi="Garamond"/>
          <w:i/>
          <w:iCs/>
        </w:rPr>
        <w:t xml:space="preserve">axial codes </w:t>
      </w:r>
      <w:r w:rsidR="007549AA" w:rsidRPr="009672FC">
        <w:rPr>
          <w:rFonts w:ascii="Garamond" w:hAnsi="Garamond"/>
        </w:rPr>
        <w:t xml:space="preserve">that emerged from data and related to the first code. Third coding is based on the open codes related to each axial code explained by the data. Furthermore, identifying the last open code was, however, based on an inductive, data-driven approach </w:t>
      </w:r>
      <w:r w:rsidR="007549AA" w:rsidRPr="009672FC">
        <w:rPr>
          <w:rFonts w:ascii="Garamond" w:hAnsi="Garamond"/>
        </w:rPr>
        <w:fldChar w:fldCharType="begin" w:fldLock="1"/>
      </w:r>
      <w:r w:rsidR="007549AA" w:rsidRPr="009672FC">
        <w:rPr>
          <w:rFonts w:ascii="Garamond" w:hAnsi="Garamond"/>
        </w:rPr>
        <w:instrText>ADDIN CSL_CITATION {"citationItems":[{"id":"ITEM-1","itemData":{"ISBN":"9788578110796","ISSN":"1098-6596","PMID":"25246403","author":[{"dropping-particle":"","family":"Yin","given":"Robert K.","non-dropping-particle":"","parse-names":false,"suffix":""}],"container-title":"New York: GuilPress.","id":"ITEM-1","issued":{"date-parts":[["2015"]]},"title":"Qualitative Research from Start to Finish","type":"book","volume":"(2nd Eds.)"},"uris":["http://www.mendeley.com/documents/?uuid=c9e090e1-2994-43c6-aacf-a71afd52f381"]}],"mendeley":{"formattedCitation":"(Yin, 2015)","plainTextFormattedCitation":"(Yin, 2015)","previouslyFormattedCitation":"(Yin, 2015)"},"properties":{"noteIndex":0},"schema":"https://github.com/citation-style-language/schema/raw/master/csl-citation.json"}</w:instrText>
      </w:r>
      <w:r w:rsidR="007549AA" w:rsidRPr="009672FC">
        <w:rPr>
          <w:rFonts w:ascii="Garamond" w:hAnsi="Garamond"/>
        </w:rPr>
        <w:fldChar w:fldCharType="separate"/>
      </w:r>
      <w:r w:rsidR="007549AA" w:rsidRPr="009672FC">
        <w:rPr>
          <w:rFonts w:ascii="Garamond" w:hAnsi="Garamond"/>
          <w:noProof/>
        </w:rPr>
        <w:t>(Yin, 2015)</w:t>
      </w:r>
      <w:r w:rsidR="007549AA" w:rsidRPr="009672FC">
        <w:rPr>
          <w:rFonts w:ascii="Garamond" w:hAnsi="Garamond"/>
        </w:rPr>
        <w:fldChar w:fldCharType="end"/>
      </w:r>
      <w:r w:rsidR="007549AA" w:rsidRPr="009672FC">
        <w:rPr>
          <w:rFonts w:ascii="Garamond" w:hAnsi="Garamond"/>
        </w:rPr>
        <w:t xml:space="preserve"> explaining the context of network performance effect as it relates to RQ1 and RQ2. </w:t>
      </w:r>
    </w:p>
    <w:p w14:paraId="12C08EA5" w14:textId="5A9289E9" w:rsidR="002E3C69" w:rsidRPr="009672FC" w:rsidRDefault="007549AA" w:rsidP="002E3C69">
      <w:pPr>
        <w:spacing w:before="240" w:line="360" w:lineRule="auto"/>
        <w:jc w:val="both"/>
        <w:rPr>
          <w:rFonts w:ascii="Garamond" w:hAnsi="Garamond"/>
        </w:rPr>
      </w:pPr>
      <w:r w:rsidRPr="009672FC">
        <w:rPr>
          <w:rFonts w:ascii="Garamond" w:hAnsi="Garamond"/>
        </w:rPr>
        <w:t xml:space="preserve">The analysis proceeded with exploring the relationship between codes and across codes, and how the codes apply to the data and theory. The methodological approach adopted in this study integrates theory-driven code with data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Development","type":"article-journal","volume":"5"},"uris":["http://www.mendeley.com/documents/?uuid=17a6ae57-e1f1-41f8-97e0-cdfa7d8fc85f","http://www.mendeley.com/documents/?uuid=d8d2f9a9-d3c9-419b-95a1-405f8142863c"]}],"mendeley":{"formattedCitation":"(Fereday &amp;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&amp; Muir-Cochrane, 2006)</w:t>
      </w:r>
      <w:r w:rsidRPr="009672FC">
        <w:rPr>
          <w:rFonts w:ascii="Garamond" w:hAnsi="Garamond"/>
        </w:rPr>
        <w:fldChar w:fldCharType="end"/>
      </w:r>
      <w:r w:rsidRPr="009672FC">
        <w:rPr>
          <w:rFonts w:ascii="Garamond" w:hAnsi="Garamond"/>
        </w:rPr>
        <w:t xml:space="preserve"> based on </w:t>
      </w:r>
      <w:r w:rsidR="002E3C69" w:rsidRPr="009672FC">
        <w:rPr>
          <w:rFonts w:ascii="Garamond" w:hAnsi="Garamond"/>
        </w:rPr>
        <w:t xml:space="preserve">a </w:t>
      </w:r>
      <w:r w:rsidRPr="009672FC">
        <w:rPr>
          <w:rFonts w:ascii="Garamond" w:hAnsi="Garamond"/>
        </w:rPr>
        <w:t>social phenomenon involving the organizing for inter-firm engagement. Finally, data w</w:t>
      </w:r>
      <w:r w:rsidR="002E3C69" w:rsidRPr="009672FC">
        <w:rPr>
          <w:rFonts w:ascii="Garamond" w:hAnsi="Garamond"/>
        </w:rPr>
        <w:t>ere</w:t>
      </w:r>
      <w:r w:rsidRPr="009672FC">
        <w:rPr>
          <w:rFonts w:ascii="Garamond" w:hAnsi="Garamond"/>
        </w:rPr>
        <w:t xml:space="preserve"> systematically </w:t>
      </w:r>
      <w:proofErr w:type="spellStart"/>
      <w:r w:rsidRPr="009672FC">
        <w:rPr>
          <w:rFonts w:ascii="Garamond" w:hAnsi="Garamond"/>
        </w:rPr>
        <w:t>analysed</w:t>
      </w:r>
      <w:proofErr w:type="spellEnd"/>
      <w:r w:rsidRPr="009672FC">
        <w:rPr>
          <w:rFonts w:ascii="Garamond" w:hAnsi="Garamond"/>
        </w:rPr>
        <w:t xml:space="preserve">, aligned the data interpretation according to the RQs presented above. Furthermore, stimulating insights and relevant examples, interview quotations, are provided in the analysis and reporting of the findings, providing context into the network case study. Appendix </w:t>
      </w:r>
      <w:r w:rsidR="002E3C69" w:rsidRPr="009672FC">
        <w:rPr>
          <w:rFonts w:ascii="Garamond" w:hAnsi="Garamond"/>
        </w:rPr>
        <w:t>2</w:t>
      </w:r>
      <w:r w:rsidRPr="009672FC">
        <w:rPr>
          <w:rFonts w:ascii="Garamond" w:hAnsi="Garamond"/>
        </w:rPr>
        <w:t xml:space="preserve"> is a summary of theory-driven codes, definitions, and excerpts used in the analytical process of this research. </w:t>
      </w:r>
    </w:p>
    <w:p w14:paraId="3A64A5D5" w14:textId="50501569" w:rsidR="003D5DE8" w:rsidRDefault="007549AA" w:rsidP="002E3C69">
      <w:pPr>
        <w:spacing w:before="240" w:line="360" w:lineRule="auto"/>
        <w:jc w:val="both"/>
        <w:rPr>
          <w:rFonts w:ascii="Garamond" w:hAnsi="Garamond"/>
        </w:rPr>
      </w:pPr>
      <w:r w:rsidRPr="009672FC">
        <w:rPr>
          <w:rFonts w:ascii="Garamond" w:hAnsi="Garamond"/>
        </w:rPr>
        <w:t>Reliability of code and coding protocol w</w:t>
      </w:r>
      <w:r w:rsidR="002E3C69" w:rsidRPr="009672FC">
        <w:rPr>
          <w:rFonts w:ascii="Garamond" w:hAnsi="Garamond"/>
        </w:rPr>
        <w:t>as</w:t>
      </w:r>
      <w:r w:rsidRPr="009672FC">
        <w:rPr>
          <w:rFonts w:ascii="Garamond" w:hAnsi="Garamond"/>
        </w:rPr>
        <w:t xml:space="preserve"> observed, and thus reflect the applicability and the consistency of the code and how these codes address specific research questions </w:t>
      </w:r>
      <w:r w:rsidRPr="009672FC">
        <w:rPr>
          <w:rFonts w:ascii="Garamond" w:hAnsi="Garamond"/>
        </w:rPr>
        <w:fldChar w:fldCharType="begin" w:fldLock="1"/>
      </w:r>
      <w:r w:rsidR="00813D37" w:rsidRPr="009672FC">
        <w:rPr>
          <w:rFonts w:ascii="Garamond" w:hAnsi="Garamond"/>
        </w:rPr>
        <w:instrText>ADDIN CSL_CITATION {"citationItems":[{"id":"ITEM-1","itemData":{"DOI":"10.1177/1525822X10388468","ISSN":"1525822X","abstract":"This article gives specific steps on how to create a codebook for coding interview data. The authors examine the development of theory- and data-driven codes through the discussion of a professional development (PD) research project. They also discuss how to train others to code using the codebook, including how to establish reliability. The authors end with practical suggestions from their experiences in creating a codebook. © The Author(s) 2011.","author":[{"dropping-particle":"","family":"DeCuir-Gunby","given":"Jessica T.","non-dropping-particle":"","parse-names":false,"suffix":""},{"dropping-particle":"","family":"Marshall","given":"Patricia L.","non-dropping-particle":"","parse-names":false,"suffix":""},{"dropping-particle":"","family":"McCulloch","given":"Allison W.","non-dropping-particle":"","parse-names":false,"suffix":""}],"container-title":"Field Methods","id":"ITEM-1","issue":"2","issued":{"date-parts":[["2011"]]},"page":"136-155","title":"Developing and using a codebook for the analysis of interview data: An example from a professional development research project","type":"article-journal","volume":"23"},"uris":["http://www.mendeley.com/documents/?uuid=f714b40e-9972-40c1-acd5-599aee3d7b8d","http://www.mendeley.com/documents/?uuid=71d2bdb6-d82c-4bb9-90c9-798ae2cc48af"]}],"mendeley":{"formattedCitation":"(DeCuir-Gunby, Marshall, &amp; McCulloch, 2011)","plainTextFormattedCitation":"(DeCuir-Gunby, Marshall, &amp; McCulloch, 2011)","previouslyFormattedCitation":"(DeCuir-Gunby et al., 2011)"},"properties":{"noteIndex":0},"schema":"https://github.com/citation-style-language/schema/raw/master/csl-citation.json"}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(DeCuir-Gunby, Marshall, &amp; McCulloch, 2011)</w:t>
      </w:r>
      <w:r w:rsidRPr="009672FC">
        <w:rPr>
          <w:rFonts w:ascii="Garamond" w:hAnsi="Garamond"/>
        </w:rPr>
        <w:fldChar w:fldCharType="end"/>
      </w:r>
      <w:r w:rsidRPr="009672FC">
        <w:rPr>
          <w:rFonts w:ascii="Garamond" w:hAnsi="Garamond"/>
        </w:rPr>
        <w:t xml:space="preserve">. After the first initial coding, two supervisors, who developed profound research experience in business networks, were engaged to validate the selected code. These codes were confirmed with minor modifications. Following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Development","type":"article-journal","volume":"5"},"uris":["http://www.mendeley.com/documents/?uuid=d8d2f9a9-d3c9-419b-95a1-405f8142863c","http://www.mendeley.com/documents/?uuid=17a6ae57-e1f1-41f8-97e0-cdfa7d8fc85f"]}],"mendeley":{"formattedCitation":"(Fereday &amp; Muir-Cochrane, 2006)","manualFormatting":"Fereday and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and Muir-Cochrane (2006</w:t>
      </w:r>
      <w:r w:rsidRPr="009672FC">
        <w:rPr>
          <w:rFonts w:ascii="Garamond" w:hAnsi="Garamond"/>
        </w:rPr>
        <w:fldChar w:fldCharType="end"/>
      </w:r>
      <w:r w:rsidRPr="009672FC">
        <w:rPr>
          <w:rFonts w:ascii="Garamond" w:hAnsi="Garamond"/>
        </w:rPr>
        <w:t>), this process ensures the selection of “good code” for capturing the richness of the research phenomenon.</w:t>
      </w:r>
    </w:p>
    <w:p w14:paraId="2B5235B6" w14:textId="0BE3556C" w:rsidR="00D55828" w:rsidRDefault="00D55828" w:rsidP="002E3C69">
      <w:pPr>
        <w:spacing w:before="240" w:line="360" w:lineRule="auto"/>
        <w:jc w:val="both"/>
        <w:rPr>
          <w:rFonts w:ascii="Garamond" w:hAnsi="Garamond"/>
        </w:rPr>
      </w:pPr>
    </w:p>
    <w:p w14:paraId="1F644929" w14:textId="77777777" w:rsidR="00D55828" w:rsidRPr="009672FC" w:rsidRDefault="00D55828" w:rsidP="002E3C69">
      <w:pPr>
        <w:spacing w:before="240" w:line="360" w:lineRule="auto"/>
        <w:jc w:val="both"/>
        <w:rPr>
          <w:rFonts w:ascii="Garamond" w:hAnsi="Garamond"/>
        </w:rPr>
      </w:pPr>
    </w:p>
    <w:p w14:paraId="423AB219" w14:textId="6AE07BC8" w:rsidR="003D5DE8" w:rsidRPr="009672FC" w:rsidRDefault="007549AA">
      <w:pPr>
        <w:pStyle w:val="MDPI51figurecaption"/>
        <w:numPr>
          <w:ilvl w:val="1"/>
          <w:numId w:val="9"/>
        </w:numPr>
        <w:spacing w:line="360" w:lineRule="auto"/>
        <w:jc w:val="both"/>
        <w:outlineLvl w:val="1"/>
        <w:rPr>
          <w:rFonts w:ascii="Garamond" w:hAnsi="Garamond"/>
          <w:b/>
          <w:i/>
          <w:iCs/>
          <w:sz w:val="24"/>
          <w:szCs w:val="24"/>
        </w:rPr>
      </w:pPr>
      <w:r w:rsidRPr="009672FC">
        <w:rPr>
          <w:rFonts w:ascii="Garamond" w:hAnsi="Garamond"/>
          <w:bCs/>
          <w:sz w:val="24"/>
          <w:szCs w:val="24"/>
        </w:rPr>
        <w:lastRenderedPageBreak/>
        <w:t xml:space="preserve"> </w:t>
      </w:r>
      <w:bookmarkStart w:id="106" w:name="_Toc85617736"/>
      <w:bookmarkStart w:id="107" w:name="_Toc85708730"/>
      <w:bookmarkStart w:id="108" w:name="_Toc85709744"/>
      <w:r w:rsidRPr="009672FC">
        <w:rPr>
          <w:rFonts w:ascii="Garamond" w:hAnsi="Garamond"/>
          <w:b/>
          <w:sz w:val="24"/>
          <w:szCs w:val="24"/>
        </w:rPr>
        <w:t>Data Analysis and Results</w:t>
      </w:r>
      <w:bookmarkEnd w:id="106"/>
      <w:bookmarkEnd w:id="107"/>
      <w:bookmarkEnd w:id="108"/>
    </w:p>
    <w:p w14:paraId="60CF3B20" w14:textId="4F7F5036" w:rsidR="003D5DE8" w:rsidRPr="009672FC" w:rsidRDefault="007549AA">
      <w:pPr>
        <w:pStyle w:val="Title"/>
        <w:numPr>
          <w:ilvl w:val="2"/>
          <w:numId w:val="9"/>
        </w:numPr>
        <w:spacing w:line="360" w:lineRule="auto"/>
        <w:jc w:val="both"/>
        <w:outlineLvl w:val="2"/>
        <w:rPr>
          <w:rFonts w:ascii="Garamond" w:hAnsi="Garamond" w:cs="Times New Roman"/>
          <w:sz w:val="24"/>
          <w:szCs w:val="24"/>
        </w:rPr>
      </w:pPr>
      <w:bookmarkStart w:id="109" w:name="_Toc85708731"/>
      <w:bookmarkStart w:id="110" w:name="_Toc85709745"/>
      <w:r w:rsidRPr="009672FC">
        <w:rPr>
          <w:rFonts w:ascii="Garamond" w:hAnsi="Garamond" w:cs="Times New Roman"/>
          <w:b/>
          <w:bCs/>
          <w:i/>
          <w:iCs/>
          <w:sz w:val="24"/>
          <w:szCs w:val="24"/>
        </w:rPr>
        <w:t>Value-Based Solutions in Organizing Inter-Firm Engagement</w:t>
      </w:r>
      <w:r w:rsidRPr="009672FC">
        <w:rPr>
          <w:rFonts w:ascii="Garamond" w:hAnsi="Garamond" w:cs="Times New Roman"/>
          <w:sz w:val="24"/>
          <w:szCs w:val="24"/>
        </w:rPr>
        <w:t>.</w:t>
      </w:r>
      <w:bookmarkEnd w:id="109"/>
      <w:bookmarkEnd w:id="110"/>
    </w:p>
    <w:p w14:paraId="4E9BF399" w14:textId="77777777" w:rsidR="00677E2C" w:rsidRPr="009672FC" w:rsidRDefault="007549AA" w:rsidP="002E3C69">
      <w:pPr>
        <w:spacing w:line="360" w:lineRule="auto"/>
        <w:jc w:val="both"/>
        <w:rPr>
          <w:rFonts w:ascii="Garamond" w:hAnsi="Garamond"/>
        </w:rPr>
      </w:pPr>
      <w:r w:rsidRPr="009672FC">
        <w:rPr>
          <w:rFonts w:ascii="Garamond" w:hAnsi="Garamond"/>
          <w:i/>
          <w:iCs/>
        </w:rPr>
        <w:t>Participatory culture</w:t>
      </w:r>
      <w:r w:rsidRPr="009672FC">
        <w:rPr>
          <w:rFonts w:ascii="Garamond" w:hAnsi="Garamond"/>
        </w:rPr>
        <w:t xml:space="preserve">. The participation of entrepreneurs in a collaborative project is crucial to network performance. Stronger engagement of firms involves creating the right atmosphere of balanced relationship </w:t>
      </w:r>
      <w:r w:rsidRPr="009672FC">
        <w:rPr>
          <w:rFonts w:ascii="Garamond" w:hAnsi="Garamond"/>
        </w:rPr>
        <w:fldChar w:fldCharType="begin" w:fldLock="1"/>
      </w:r>
      <w:r w:rsidRPr="009672FC">
        <w:rPr>
          <w:rFonts w:ascii="Garamond" w:hAnsi="Garamond"/>
        </w:rPr>
        <w:instrText>ADDIN CSL_CITATION {"citationItems":[{"id":"ITEM-1","itemData":{"DOI":"10.1016/j.indmarman.2014.10.008","ISSN":"0019-8501","author":[{"dropping-particle":"","family":"Vargo","given":"Stephen L","non-dropping-particle":"","parse-names":false,"suffix":""},{"dropping-particle":"","family":"Wieland","given":"Heiko","non-dropping-particle":"","parse-names":false,"suffix":""},{"dropping-particle":"","family":"Archpru","given":"Melissa","non-dropping-particle":"","parse-names":false,"suffix":""}],"container-title":"Industrial Marketing Management","id":"ITEM-1","issued":{"date-parts":[["2015"]]},"page":"63-72","publisher":"Elsevier Inc.","title":"Industrial Marketing Management Innovation through institutionalization : A service ecosystems perspective","type":"article-journal","volume":"44"},"uris":["http://www.mendeley.com/documents/?uuid=902c908b-79b1-430f-bca0-fd7e1a6a348a"]}],"mendeley":{"formattedCitation":"(Vargo et al., 2015)","plainTextFormattedCitation":"(Vargo et al., 2015)","previouslyFormattedCitation":"(Vargo et al.,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(Vargo et al., 2015)</w:t>
      </w:r>
      <w:r w:rsidRPr="009672FC">
        <w:rPr>
          <w:rFonts w:ascii="Garamond" w:hAnsi="Garamond"/>
        </w:rPr>
        <w:fldChar w:fldCharType="end"/>
      </w:r>
      <w:r w:rsidRPr="009672FC">
        <w:rPr>
          <w:rFonts w:ascii="Garamond" w:hAnsi="Garamond"/>
        </w:rPr>
        <w:t xml:space="preserve"> thus enabling the firms </w:t>
      </w:r>
      <w:r w:rsidR="002E3C69" w:rsidRPr="009672FC">
        <w:rPr>
          <w:rFonts w:ascii="Garamond" w:hAnsi="Garamond"/>
        </w:rPr>
        <w:t xml:space="preserve">to </w:t>
      </w:r>
      <w:r w:rsidRPr="009672FC">
        <w:rPr>
          <w:rFonts w:ascii="Garamond" w:hAnsi="Garamond"/>
        </w:rPr>
        <w:t xml:space="preserve">contribute to innovation-supporting activities. This is manifested in </w:t>
      </w:r>
      <w:r w:rsidR="002E3C69" w:rsidRPr="009672FC">
        <w:rPr>
          <w:rFonts w:ascii="Garamond" w:hAnsi="Garamond"/>
        </w:rPr>
        <w:t xml:space="preserve">the </w:t>
      </w:r>
      <w:r w:rsidRPr="009672FC">
        <w:rPr>
          <w:rFonts w:ascii="Garamond" w:hAnsi="Garamond"/>
        </w:rPr>
        <w:t xml:space="preserve">Sparrow network case where the network ensures strong actor participation in various activities of the business network, as mentioned by the network manager: The participatory architecture is the hallmark of </w:t>
      </w:r>
      <w:r w:rsidR="002E3C69" w:rsidRPr="009672FC">
        <w:rPr>
          <w:rFonts w:ascii="Garamond" w:hAnsi="Garamond"/>
        </w:rPr>
        <w:t xml:space="preserve">the </w:t>
      </w:r>
      <w:r w:rsidRPr="009672FC">
        <w:rPr>
          <w:rFonts w:ascii="Garamond" w:hAnsi="Garamond"/>
        </w:rPr>
        <w:t xml:space="preserve">business network model. </w:t>
      </w:r>
      <w:r w:rsidR="002E3C69" w:rsidRPr="009672FC">
        <w:rPr>
          <w:rFonts w:ascii="Garamond" w:hAnsi="Garamond"/>
        </w:rPr>
        <w:t xml:space="preserve">The president of the network stressed that </w:t>
      </w:r>
    </w:p>
    <w:p w14:paraId="6FBE288C" w14:textId="77777777" w:rsidR="00677E2C" w:rsidRPr="009672FC" w:rsidRDefault="002E3C69" w:rsidP="00677E2C">
      <w:pPr>
        <w:spacing w:line="360" w:lineRule="auto"/>
        <w:ind w:left="720" w:right="360"/>
        <w:jc w:val="both"/>
        <w:rPr>
          <w:rFonts w:ascii="Garamond" w:hAnsi="Garamond"/>
        </w:rPr>
      </w:pPr>
      <w:r w:rsidRPr="009672FC">
        <w:rPr>
          <w:rFonts w:ascii="Garamond" w:hAnsi="Garamond"/>
        </w:rPr>
        <w:t>“</w:t>
      </w:r>
      <w:r w:rsidR="007549AA" w:rsidRPr="009672FC">
        <w:rPr>
          <w:rFonts w:ascii="Garamond" w:hAnsi="Garamond"/>
          <w:i/>
          <w:iCs/>
        </w:rPr>
        <w:t xml:space="preserve">I encourage the active participation of all entrepreneurs as a fundamental to </w:t>
      </w:r>
      <w:r w:rsidRPr="009672FC">
        <w:rPr>
          <w:rFonts w:ascii="Garamond" w:hAnsi="Garamond"/>
          <w:i/>
          <w:iCs/>
        </w:rPr>
        <w:t xml:space="preserve">the </w:t>
      </w:r>
      <w:r w:rsidR="007549AA" w:rsidRPr="009672FC">
        <w:rPr>
          <w:rFonts w:ascii="Garamond" w:hAnsi="Garamond"/>
          <w:i/>
          <w:iCs/>
        </w:rPr>
        <w:t>network development model. So far, when projects are already put in place, at least 90%, if not 100% of companies, participate. In this case, actor participation must not be limited to meetings, but crucially in various collaborative activities</w:t>
      </w:r>
      <w:r w:rsidRPr="009672FC">
        <w:rPr>
          <w:rFonts w:ascii="Garamond" w:hAnsi="Garamond"/>
        </w:rPr>
        <w:t>”</w:t>
      </w:r>
      <w:r w:rsidR="007549AA" w:rsidRPr="009672FC">
        <w:rPr>
          <w:rFonts w:ascii="Garamond" w:hAnsi="Garamond"/>
        </w:rPr>
        <w:t xml:space="preserve">. </w:t>
      </w:r>
    </w:p>
    <w:p w14:paraId="630D779A" w14:textId="4FDD16BD" w:rsidR="002E3C69" w:rsidRPr="009672FC" w:rsidRDefault="007549AA" w:rsidP="002E3C69">
      <w:pPr>
        <w:spacing w:line="360" w:lineRule="auto"/>
        <w:jc w:val="both"/>
        <w:rPr>
          <w:rFonts w:ascii="Garamond" w:hAnsi="Garamond"/>
        </w:rPr>
      </w:pPr>
      <w:r w:rsidRPr="009672FC">
        <w:rPr>
          <w:rFonts w:ascii="Garamond" w:hAnsi="Garamond"/>
        </w:rPr>
        <w:t>In the current case, there is evidence of participation in various innovation-supporting activities</w:t>
      </w:r>
      <w:r w:rsidR="002E3C69" w:rsidRPr="009672FC">
        <w:rPr>
          <w:rFonts w:ascii="Garamond" w:hAnsi="Garamond"/>
        </w:rPr>
        <w:t xml:space="preserve">. Such engagement culture </w:t>
      </w:r>
      <w:r w:rsidRPr="009672FC">
        <w:rPr>
          <w:rFonts w:ascii="Garamond" w:hAnsi="Garamond"/>
        </w:rPr>
        <w:t>promot</w:t>
      </w:r>
      <w:r w:rsidR="002E3C69" w:rsidRPr="009672FC">
        <w:rPr>
          <w:rFonts w:ascii="Garamond" w:hAnsi="Garamond"/>
        </w:rPr>
        <w:t>es</w:t>
      </w:r>
      <w:r w:rsidRPr="009672FC">
        <w:rPr>
          <w:rFonts w:ascii="Garamond" w:hAnsi="Garamond"/>
        </w:rPr>
        <w:t xml:space="preserve"> network performance through knowledge sharing, client sharing, proposing project ideas, and </w:t>
      </w:r>
      <w:r w:rsidR="002E3C69" w:rsidRPr="009672FC">
        <w:rPr>
          <w:rFonts w:ascii="Garamond" w:hAnsi="Garamond"/>
        </w:rPr>
        <w:t xml:space="preserve">other </w:t>
      </w:r>
      <w:r w:rsidRPr="009672FC">
        <w:rPr>
          <w:rFonts w:ascii="Garamond" w:hAnsi="Garamond"/>
        </w:rPr>
        <w:t xml:space="preserve">activities concerning the network </w:t>
      </w:r>
      <w:r w:rsidR="002E3C69" w:rsidRPr="009672FC">
        <w:rPr>
          <w:rFonts w:ascii="Garamond" w:hAnsi="Garamond"/>
        </w:rPr>
        <w:fldChar w:fldCharType="begin" w:fldLock="1"/>
      </w:r>
      <w:r w:rsidR="002E3C69" w:rsidRPr="009672FC">
        <w:rPr>
          <w:rFonts w:ascii="Garamond" w:hAnsi="Garamond"/>
        </w:rPr>
        <w:instrText>ADDIN CSL_CITATION {"citationItems":[{"id":"ITEM-1","itemData":{"DOI":"10.1007/s11747-008-0131-z","ISSN":"00920703","abstract":"Both supply chain management (SCM) and marketing in general have been moving from models and purposes narrowly focused on goods to more general models and purposes associated with partnerships, value networks, service provision, and value creation. Some of this movement has been captured in what has become known as service-dominant (S-D) logic. This article applies S-D logic to thinking about SCM in terms of service provision, in which goods are seen as service distribution or provisioning mechanisms, explores and elaborates on the concept of a value network, and develops a model of the firm as an essential service provisioning agent in a complex and adaptive value network. Research and managerial opportunities are also explored. © Academy of Marketing Science 2009.","author":[{"dropping-particle":"","family":"Lusch","given":"Robert F.","non-dropping-particle":"","parse-names":false,"suffix":""},{"dropping-particle":"","family":"Vargo","given":"Stephen L.","non-dropping-particle":"","parse-names":false,"suffix":""},{"dropping-particle":"","family":"Tanniru","given":"Mohan","non-dropping-particle":"","parse-names":false,"suffix":""}],"container-title":"Journal of the Academy of Marketing Science","id":"ITEM-1","issue":"1","issued":{"date-parts":[["2010"]]},"page":"19-31","title":"Service, value networks and learning","type":"article-journal","volume":"38"},"uris":["http://www.mendeley.com/documents/?uuid=75ea0cec-9242-48fc-b523-e96326ae3019"]}],"mendeley":{"formattedCitation":"(Lusch et al., 2010)","plainTextFormattedCitation":"(Lusch et al., 2010)","previouslyFormattedCitation":"(Lusch et al., 2010)"},"properties":{"noteIndex":0},"schema":"https://github.com/citation-style-language/schema/raw/master/csl-citation.json"}</w:instrText>
      </w:r>
      <w:r w:rsidR="002E3C69" w:rsidRPr="009672FC">
        <w:rPr>
          <w:rFonts w:ascii="Garamond" w:hAnsi="Garamond"/>
        </w:rPr>
        <w:fldChar w:fldCharType="separate"/>
      </w:r>
      <w:r w:rsidR="002E3C69" w:rsidRPr="009672FC">
        <w:rPr>
          <w:rFonts w:ascii="Garamond" w:hAnsi="Garamond"/>
          <w:noProof/>
        </w:rPr>
        <w:t>(Lusch et al., 2010)</w:t>
      </w:r>
      <w:r w:rsidR="002E3C69" w:rsidRPr="009672FC">
        <w:rPr>
          <w:rFonts w:ascii="Garamond" w:hAnsi="Garamond"/>
        </w:rPr>
        <w:fldChar w:fldCharType="end"/>
      </w:r>
      <w:r w:rsidRPr="009672FC">
        <w:rPr>
          <w:rFonts w:ascii="Garamond" w:hAnsi="Garamond"/>
        </w:rPr>
        <w:t>.</w:t>
      </w:r>
    </w:p>
    <w:p w14:paraId="1A407569" w14:textId="77777777" w:rsidR="002E3C69" w:rsidRPr="009672FC" w:rsidRDefault="007549AA" w:rsidP="002E3C69">
      <w:pPr>
        <w:spacing w:before="240" w:line="360" w:lineRule="auto"/>
        <w:jc w:val="both"/>
        <w:rPr>
          <w:rFonts w:ascii="Garamond" w:hAnsi="Garamond"/>
          <w:i/>
          <w:iCs/>
        </w:rPr>
      </w:pPr>
      <w:r w:rsidRPr="009672FC">
        <w:rPr>
          <w:rFonts w:ascii="Garamond" w:hAnsi="Garamond"/>
          <w:i/>
          <w:iCs/>
        </w:rPr>
        <w:t>Homophily/integration.</w:t>
      </w:r>
      <w:r w:rsidRPr="009672FC">
        <w:rPr>
          <w:rFonts w:ascii="Garamond" w:hAnsi="Garamond"/>
        </w:rPr>
        <w:t xml:space="preserve"> Although there may be some competitive intents among firms in</w:t>
      </w:r>
      <w:r w:rsidR="002E3C69" w:rsidRPr="009672FC">
        <w:rPr>
          <w:rFonts w:ascii="Garamond" w:hAnsi="Garamond"/>
        </w:rPr>
        <w:t>-</w:t>
      </w:r>
      <w:r w:rsidRPr="009672FC">
        <w:rPr>
          <w:rFonts w:ascii="Garamond" w:hAnsi="Garamond"/>
        </w:rPr>
        <w:t>network, common goal</w:t>
      </w:r>
      <w:r w:rsidR="002E3C69" w:rsidRPr="009672FC">
        <w:rPr>
          <w:rFonts w:ascii="Garamond" w:hAnsi="Garamond"/>
        </w:rPr>
        <w:t>s</w:t>
      </w:r>
      <w:r w:rsidRPr="009672FC">
        <w:rPr>
          <w:rFonts w:ascii="Garamond" w:hAnsi="Garamond"/>
        </w:rPr>
        <w:t xml:space="preserve"> and shared practices are encouraged and supported by the network contract, which consequently positively influence </w:t>
      </w:r>
      <w:r w:rsidR="002E3C69" w:rsidRPr="009672FC">
        <w:rPr>
          <w:rFonts w:ascii="Garamond" w:hAnsi="Garamond"/>
        </w:rPr>
        <w:t xml:space="preserve">an </w:t>
      </w:r>
      <w:r w:rsidRPr="009672FC">
        <w:rPr>
          <w:rFonts w:ascii="Garamond" w:hAnsi="Garamond"/>
        </w:rPr>
        <w:t>inter-firm relationship and network performance</w:t>
      </w:r>
      <w:r w:rsidR="002E3C69" w:rsidRPr="009672FC">
        <w:rPr>
          <w:rFonts w:ascii="Garamond" w:hAnsi="Garamond"/>
        </w:rPr>
        <w:t xml:space="preserve"> </w:t>
      </w:r>
      <w:r w:rsidR="002E3C69" w:rsidRPr="009672FC">
        <w:rPr>
          <w:rFonts w:ascii="Garamond" w:hAnsi="Garamond"/>
        </w:rPr>
        <w:fldChar w:fldCharType="begin" w:fldLock="1"/>
      </w:r>
      <w:r w:rsidR="002E3C69" w:rsidRPr="009672FC">
        <w:rPr>
          <w:rFonts w:ascii="Garamond" w:hAnsi="Garamond"/>
        </w:rPr>
        <w:instrText>ADDIN CSL_CITATION {"citationItems":[{"id":"ITEM-1","itemData":{"DOI":"10.1007/s11747-008-0131-z","ISSN":"00920703","abstract":"Both supply chain management (SCM) and marketing in general have been moving from models and purposes narrowly focused on goods to more general models and purposes associated with partnerships, value networks, service provision, and value creation. Some of this movement has been captured in what has become known as service-dominant (S-D) logic. This article applies S-D logic to thinking about SCM in terms of service provision, in which goods are seen as service distribution or provisioning mechanisms, explores and elaborates on the concept of a value network, and develops a model of the firm as an essential service provisioning agent in a complex and adaptive value network. Research and managerial opportunities are also explored. © Academy of Marketing Science 2009.","author":[{"dropping-particle":"","family":"Lusch","given":"Robert F.","non-dropping-particle":"","parse-names":false,"suffix":""},{"dropping-particle":"","family":"Vargo","given":"Stephen L.","non-dropping-particle":"","parse-names":false,"suffix":""},{"dropping-particle":"","family":"Tanniru","given":"Mohan","non-dropping-particle":"","parse-names":false,"suffix":""}],"container-title":"Journal of the Academy of Marketing Science","id":"ITEM-1","issue":"1","issued":{"date-parts":[["2010"]]},"page":"19-31","title":"Service, value networks and learning","type":"article-journal","volume":"38"},"uris":["http://www.mendeley.com/documents/?uuid=75ea0cec-9242-48fc-b523-e96326ae3019"]}],"mendeley":{"formattedCitation":"(Lusch et al., 2010)","plainTextFormattedCitation":"(Lusch et al., 2010)","previouslyFormattedCitation":"(Lusch et al., 2010)"},"properties":{"noteIndex":0},"schema":"https://github.com/citation-style-language/schema/raw/master/csl-citation.json"}</w:instrText>
      </w:r>
      <w:r w:rsidR="002E3C69" w:rsidRPr="009672FC">
        <w:rPr>
          <w:rFonts w:ascii="Garamond" w:hAnsi="Garamond"/>
        </w:rPr>
        <w:fldChar w:fldCharType="separate"/>
      </w:r>
      <w:r w:rsidR="002E3C69" w:rsidRPr="009672FC">
        <w:rPr>
          <w:rFonts w:ascii="Garamond" w:hAnsi="Garamond"/>
          <w:noProof/>
        </w:rPr>
        <w:t>(Lusch et al., 2010)</w:t>
      </w:r>
      <w:r w:rsidR="002E3C69"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{"citationItems":[{"id":"ITEM-1","itemData":{"author":[{"dropping-particle":"","family":"Cantele","given":"S .","non-dropping-particle":"","parse-names":false,"suffix":""},{"dropping-particle":"","family":"Vernizzi","given":"S .","non-dropping-particle":"","parse-names":false,"suffix":""},{"dropping-particle":"","family":"Ricciardi","given":"F .","non-dropping-particle":"","parse-names":false,"suffix":""}],"container-title":"World review of Entrepreneurship","id":"ITEM-1","issued":{"date-parts":[["2016"]]},"page":"1-14","title":"The emerging wave of agility-oriented business networks in Italy: a new strategy for facing global competition The emerging wave of agility-oriented business networks in Italy : a new strategy for facing global competition.","type":"article-journal"},"uris":["http://www.mendeley.com/documents/?uuid=c436eb1c-81cb-4adc-8c04-115f8492725e"]}],"mendeley":{"formattedCitation":"(Cantele et al., 2016)","manualFormatting":"Cantele, et al., (2016, p. 3)","plainTextFormattedCitation":"(Cantele et al., 2016)","previouslyFormattedCitation":"(Cantele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Cantele, et al., (2016, p. 3)</w:t>
      </w:r>
      <w:r w:rsidRPr="009672FC">
        <w:rPr>
          <w:rFonts w:ascii="Garamond" w:hAnsi="Garamond"/>
        </w:rPr>
        <w:fldChar w:fldCharType="end"/>
      </w:r>
      <w:r w:rsidRPr="009672FC">
        <w:rPr>
          <w:rFonts w:ascii="Garamond" w:hAnsi="Garamond"/>
        </w:rPr>
        <w:t xml:space="preserve"> suggest that such network practice, “commit firms to share resources and competenc</w:t>
      </w:r>
      <w:r w:rsidR="002E3C69" w:rsidRPr="009672FC">
        <w:rPr>
          <w:rFonts w:ascii="Garamond" w:hAnsi="Garamond"/>
        </w:rPr>
        <w:t>i</w:t>
      </w:r>
      <w:r w:rsidRPr="009672FC">
        <w:rPr>
          <w:rFonts w:ascii="Garamond" w:hAnsi="Garamond"/>
        </w:rPr>
        <w:t>es to achieve common goals” defined by the network contract, is important in collaborative value creation. Thus, the current case commits entrepreneurs to adopt integrated culture and identity, shared by all firms that subscribed to the network contract, as stated by the network manager</w:t>
      </w:r>
      <w:r w:rsidR="002E3C69" w:rsidRPr="009672FC">
        <w:rPr>
          <w:rFonts w:ascii="Garamond" w:hAnsi="Garamond"/>
        </w:rPr>
        <w:t>,</w:t>
      </w:r>
      <w:r w:rsidR="002E3C69" w:rsidRPr="009672FC">
        <w:rPr>
          <w:rFonts w:ascii="Garamond" w:hAnsi="Garamond"/>
          <w:i/>
          <w:iCs/>
        </w:rPr>
        <w:t xml:space="preserve"> </w:t>
      </w:r>
    </w:p>
    <w:p w14:paraId="2572A017" w14:textId="1D556F4D" w:rsidR="002E3C69" w:rsidRPr="009672FC" w:rsidRDefault="002E3C69" w:rsidP="002E3C69">
      <w:pPr>
        <w:spacing w:before="240" w:line="360" w:lineRule="auto"/>
        <w:ind w:left="630" w:right="360"/>
        <w:jc w:val="both"/>
        <w:rPr>
          <w:rFonts w:ascii="Garamond" w:hAnsi="Garamond"/>
        </w:rPr>
      </w:pPr>
      <w:r w:rsidRPr="009672FC">
        <w:rPr>
          <w:rFonts w:ascii="Garamond" w:hAnsi="Garamond"/>
          <w:i/>
          <w:iCs/>
        </w:rPr>
        <w:t>“T</w:t>
      </w:r>
      <w:r w:rsidR="007549AA" w:rsidRPr="009672FC">
        <w:rPr>
          <w:rFonts w:ascii="Garamond" w:hAnsi="Garamond"/>
          <w:i/>
          <w:iCs/>
        </w:rPr>
        <w:t xml:space="preserve">here is </w:t>
      </w:r>
      <w:r w:rsidRPr="009672FC">
        <w:rPr>
          <w:rFonts w:ascii="Garamond" w:hAnsi="Garamond"/>
          <w:i/>
          <w:iCs/>
        </w:rPr>
        <w:t xml:space="preserve">a </w:t>
      </w:r>
      <w:r w:rsidR="007549AA" w:rsidRPr="009672FC">
        <w:rPr>
          <w:rFonts w:ascii="Garamond" w:hAnsi="Garamond"/>
          <w:i/>
          <w:iCs/>
        </w:rPr>
        <w:t xml:space="preserve">total integration of activities among companies in terms of knowledge, skills, costs, and their optimization at the company level, from logistics, to packaging, to product production, across the companies. For example, the integration of activities involved the adoption of brochures and price lists, etc., that match the template issued by the network. This practice enhances the homogeneity of practice among companies in the network. In that regard, the role of the network, thus, involves not only in </w:t>
      </w:r>
      <w:r w:rsidR="007549AA" w:rsidRPr="009672FC">
        <w:rPr>
          <w:rFonts w:ascii="Garamond" w:hAnsi="Garamond"/>
          <w:i/>
          <w:iCs/>
        </w:rPr>
        <w:lastRenderedPageBreak/>
        <w:t>coordinating the integrated activities, but also the adoption of integrated practices and shared vision across firms</w:t>
      </w:r>
      <w:r w:rsidRPr="009672FC">
        <w:rPr>
          <w:rFonts w:ascii="Garamond" w:hAnsi="Garamond"/>
          <w:i/>
          <w:iCs/>
        </w:rPr>
        <w:t>” (</w:t>
      </w:r>
      <w:r w:rsidRPr="009672FC">
        <w:rPr>
          <w:rFonts w:ascii="Garamond" w:hAnsi="Garamond"/>
        </w:rPr>
        <w:t>the network manager)</w:t>
      </w:r>
      <w:r w:rsidR="007549AA" w:rsidRPr="009672FC">
        <w:rPr>
          <w:rFonts w:ascii="Garamond" w:hAnsi="Garamond"/>
          <w:i/>
          <w:iCs/>
        </w:rPr>
        <w:t>.</w:t>
      </w:r>
      <w:r w:rsidR="007549AA" w:rsidRPr="009672FC">
        <w:rPr>
          <w:rFonts w:ascii="Garamond" w:hAnsi="Garamond"/>
        </w:rPr>
        <w:t xml:space="preserve"> </w:t>
      </w:r>
    </w:p>
    <w:p w14:paraId="5997CA57" w14:textId="77777777" w:rsidR="002E3C69" w:rsidRPr="009672FC" w:rsidRDefault="007549AA" w:rsidP="002E3C69">
      <w:pPr>
        <w:spacing w:before="240" w:line="360" w:lineRule="auto"/>
        <w:jc w:val="both"/>
        <w:rPr>
          <w:rFonts w:ascii="Garamond" w:hAnsi="Garamond"/>
        </w:rPr>
      </w:pPr>
      <w:r w:rsidRPr="009672FC">
        <w:rPr>
          <w:rFonts w:ascii="Garamond" w:hAnsi="Garamond"/>
        </w:rPr>
        <w:t>Furthermore, there is evidence of integrated programs in the network, such as the “certification’’ of companies, promotion of management best practices, entrepreneurial ethics, and the shared histories and image of the region.</w:t>
      </w:r>
      <w:r w:rsidRPr="009672FC">
        <w:rPr>
          <w:rFonts w:ascii="Garamond" w:hAnsi="Garamond"/>
          <w:i/>
          <w:iCs/>
        </w:rPr>
        <w:t xml:space="preserve"> </w:t>
      </w:r>
      <w:r w:rsidRPr="009672FC">
        <w:rPr>
          <w:rFonts w:ascii="Garamond" w:hAnsi="Garamond"/>
        </w:rPr>
        <w:t>These shared practices and identit</w:t>
      </w:r>
      <w:r w:rsidR="002E3C69" w:rsidRPr="009672FC">
        <w:rPr>
          <w:rFonts w:ascii="Garamond" w:hAnsi="Garamond"/>
        </w:rPr>
        <w:t>ies,</w:t>
      </w:r>
      <w:r w:rsidRPr="009672FC">
        <w:rPr>
          <w:rFonts w:ascii="Garamond" w:hAnsi="Garamond"/>
        </w:rPr>
        <w:t xml:space="preserve"> bind the firms stronger together and improve </w:t>
      </w:r>
      <w:r w:rsidR="002E3C69" w:rsidRPr="009672FC">
        <w:rPr>
          <w:rFonts w:ascii="Garamond" w:hAnsi="Garamond"/>
        </w:rPr>
        <w:t xml:space="preserve">the </w:t>
      </w:r>
      <w:r w:rsidRPr="009672FC">
        <w:rPr>
          <w:rFonts w:ascii="Garamond" w:hAnsi="Garamond"/>
        </w:rPr>
        <w:t xml:space="preserve">collaborative performance of the network. </w:t>
      </w:r>
      <w:r w:rsidR="002E3C69" w:rsidRPr="009672FC">
        <w:rPr>
          <w:rFonts w:ascii="Garamond" w:hAnsi="Garamond"/>
        </w:rPr>
        <w:t>Thus, such internal</w:t>
      </w:r>
      <w:r w:rsidRPr="009672FC">
        <w:rPr>
          <w:rFonts w:ascii="Garamond" w:hAnsi="Garamond"/>
        </w:rPr>
        <w:t xml:space="preserve"> resource interdependence between firms is inextricably link</w:t>
      </w:r>
      <w:r w:rsidR="002E3C69" w:rsidRPr="009672FC">
        <w:rPr>
          <w:rFonts w:ascii="Garamond" w:hAnsi="Garamond"/>
        </w:rPr>
        <w:t>ed</w:t>
      </w:r>
      <w:r w:rsidRPr="009672FC">
        <w:rPr>
          <w:rFonts w:ascii="Garamond" w:hAnsi="Garamond"/>
        </w:rPr>
        <w:t xml:space="preserve"> to the performance of </w:t>
      </w:r>
      <w:r w:rsidR="002E3C69" w:rsidRPr="009672FC">
        <w:rPr>
          <w:rFonts w:ascii="Garamond" w:hAnsi="Garamond"/>
        </w:rPr>
        <w:t xml:space="preserve">the </w:t>
      </w:r>
      <w:r w:rsidRPr="009672FC">
        <w:rPr>
          <w:rFonts w:ascii="Garamond" w:hAnsi="Garamond"/>
        </w:rPr>
        <w:t xml:space="preserve">inter-firm business network </w:t>
      </w:r>
      <w:r w:rsidRPr="009672FC">
        <w:rPr>
          <w:rFonts w:ascii="Garamond" w:hAnsi="Garamond"/>
        </w:rPr>
        <w:fldChar w:fldCharType="begin" w:fldLock="1"/>
      </w:r>
      <w:r w:rsidRPr="009672FC">
        <w:rPr>
          <w:rFonts w:ascii="Garamond" w:hAnsi="Garamond"/>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et al., 2018)","manualFormatting":"(e.g., Jonas, Boha, Sörhammar, &amp; Moeslein, 2018","plainTextFormattedCitation":"(Jonas et al., 2018)","previouslyFormattedCitation":"(Jonas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(e.g., Jonas, Boha, Sörhammar, &amp; Moeslein, 2018</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rPr>
        <w:fldChar w:fldCharType="end"/>
      </w:r>
      <w:r w:rsidRPr="009672FC">
        <w:rPr>
          <w:rFonts w:ascii="Garamond" w:hAnsi="Garamond"/>
        </w:rPr>
        <w:t xml:space="preserve"> and thus the current network has a strong influence in organizing the degree of inter-firm resource dependency, enabling the network to leverage resources and capabilities from network partners. Since the network is a collection of firms with diverse resources and competencies, the synergy created through the network aggregation, promotes the network’s competitive performance, as described by </w:t>
      </w:r>
      <w:bookmarkStart w:id="111" w:name="_Hlk85677021"/>
      <w:r w:rsidRPr="009672FC">
        <w:rPr>
          <w:rFonts w:ascii="Garamond" w:hAnsi="Garamond"/>
        </w:rPr>
        <w:t xml:space="preserve">the network manager: </w:t>
      </w:r>
    </w:p>
    <w:bookmarkEnd w:id="111"/>
    <w:p w14:paraId="1A714F8B" w14:textId="31DA0B12" w:rsidR="003D5DE8" w:rsidRPr="009672FC" w:rsidRDefault="002E3C69" w:rsidP="002663FA">
      <w:pPr>
        <w:spacing w:before="240" w:line="360" w:lineRule="auto"/>
        <w:ind w:left="720" w:right="360"/>
        <w:jc w:val="both"/>
        <w:rPr>
          <w:rFonts w:ascii="Garamond" w:hAnsi="Garamond"/>
        </w:rPr>
      </w:pPr>
      <w:r w:rsidRPr="009672FC">
        <w:rPr>
          <w:rFonts w:ascii="Garamond" w:hAnsi="Garamond"/>
        </w:rPr>
        <w:t>“</w:t>
      </w:r>
      <w:r w:rsidR="007549AA" w:rsidRPr="009672FC">
        <w:rPr>
          <w:rFonts w:ascii="Garamond" w:hAnsi="Garamond"/>
          <w:i/>
          <w:iCs/>
        </w:rPr>
        <w:t>There is often a rich conversation of senior executives drawn from various fields (e.g., sales and marketing, export managers, purchasing and logistics) to brainstorm and share experiences to advance our collective business interest, bringing the network goodwill, and opportunities</w:t>
      </w:r>
      <w:r w:rsidRPr="009672FC">
        <w:rPr>
          <w:rFonts w:ascii="Garamond" w:hAnsi="Garamond"/>
          <w:i/>
          <w:iCs/>
        </w:rPr>
        <w:t>.”</w:t>
      </w:r>
      <w:r w:rsidRPr="009672FC">
        <w:rPr>
          <w:rFonts w:ascii="Garamond" w:hAnsi="Garamond"/>
        </w:rPr>
        <w:t xml:space="preserve"> (the network manager)</w:t>
      </w:r>
      <w:r w:rsidR="002663FA" w:rsidRPr="009672FC">
        <w:rPr>
          <w:rFonts w:ascii="Garamond" w:hAnsi="Garamond"/>
        </w:rPr>
        <w:t>.</w:t>
      </w:r>
    </w:p>
    <w:p w14:paraId="45A5588B" w14:textId="4097389A" w:rsidR="002E3C69" w:rsidRPr="009672FC" w:rsidRDefault="007549AA" w:rsidP="002E3C69">
      <w:pPr>
        <w:spacing w:before="240" w:line="360" w:lineRule="auto"/>
        <w:jc w:val="both"/>
        <w:rPr>
          <w:rFonts w:ascii="Garamond" w:hAnsi="Garamond"/>
        </w:rPr>
      </w:pPr>
      <w:r w:rsidRPr="009672FC">
        <w:rPr>
          <w:rFonts w:ascii="Garamond" w:hAnsi="Garamond"/>
          <w:i/>
          <w:iCs/>
        </w:rPr>
        <w:t>Communication/Information flows</w:t>
      </w:r>
      <w:r w:rsidRPr="009672FC">
        <w:rPr>
          <w:rFonts w:ascii="Garamond" w:hAnsi="Garamond"/>
        </w:rPr>
        <w:t xml:space="preserve">. Access to information about the network and its activities is fundamental to an open-innovation system </w:t>
      </w:r>
      <w:r w:rsidRPr="009672FC">
        <w:rPr>
          <w:rFonts w:ascii="Garamond" w:hAnsi="Garamond"/>
        </w:rPr>
        <w:fldChar w:fldCharType="begin" w:fldLock="1"/>
      </w:r>
      <w:r w:rsidR="00813D37" w:rsidRPr="009672FC">
        <w:rPr>
          <w:rFonts w:ascii="Garamond" w:hAnsi="Garamond"/>
        </w:rPr>
        <w:instrText>ADDIN CSL_CITATION {"citationItems":[{"id":"ITEM-1","itemData":{"DOI":"10.3390/su11215986","author":[{"dropping-particle":"","family":"Orlandi","given":"Ludovico Bullini","non-dropping-particle":"","parse-names":false,"suffix":""},{"dropping-particle":"De","family":"Martino","given":"Elena","non-dropping-particle":"","parse-names":false,"suffix":""},{"dropping-particle":"","family":"Rossignoli","given":"Cecilia","non-dropping-particle":"","parse-names":false,"suffix":""}],"container-title":"Sustainability","id":"ITEM-1","issue":"11","issued":{"date-parts":[["2019"]]},"page":"1-19","title":"Strategic Value of Agricultural Business Networks in Sustaining Common Goods","type":"article-journal"},"uris":["http://www.mendeley.com/documents/?uuid=ecf4a8f6-3bfe-4f92-b964-e7af7d37504e"]}],"mendeley":{"formattedCitation":"(Orlandi, Martino, &amp; Rossignoli, 2019)","plainTextFormattedCitation":"(Orlandi, Martino, &amp; Rossignoli, 2019)","previouslyFormattedCitation":"(Orlandi et al., 2019)"},"properties":{"noteIndex":0},"schema":"https://github.com/citation-style-language/schema/raw/master/csl-citation.json"}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(Orlandi, Martino, &amp; Rossignoli, 2019)</w:t>
      </w:r>
      <w:r w:rsidRPr="009672FC">
        <w:rPr>
          <w:rFonts w:ascii="Garamond" w:hAnsi="Garamond"/>
        </w:rPr>
        <w:fldChar w:fldCharType="end"/>
      </w:r>
      <w:r w:rsidRPr="009672FC">
        <w:rPr>
          <w:rFonts w:ascii="Garamond" w:hAnsi="Garamond"/>
        </w:rPr>
        <w:t xml:space="preserve">. The network has a role in ensuring timely and relevant flows of information, as well as the inclusion of all actors in the process. Such </w:t>
      </w:r>
      <w:r w:rsidR="002E3C69" w:rsidRPr="009672FC">
        <w:rPr>
          <w:rFonts w:ascii="Garamond" w:hAnsi="Garamond"/>
        </w:rPr>
        <w:t xml:space="preserve">a </w:t>
      </w:r>
      <w:r w:rsidRPr="009672FC">
        <w:rPr>
          <w:rFonts w:ascii="Garamond" w:hAnsi="Garamond"/>
        </w:rPr>
        <w:t>process keeps network actors engaged th</w:t>
      </w:r>
      <w:r w:rsidR="002E3C69" w:rsidRPr="009672FC">
        <w:rPr>
          <w:rFonts w:ascii="Garamond" w:hAnsi="Garamond"/>
        </w:rPr>
        <w:t>rough</w:t>
      </w:r>
      <w:r w:rsidRPr="009672FC">
        <w:rPr>
          <w:rFonts w:ascii="Garamond" w:hAnsi="Garamond"/>
        </w:rPr>
        <w:t xml:space="preserve"> “the creating strong communication culture in the network”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et al., 2015, p. 42)","plainTextFormattedCitation":"(Rossignoli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et al., 2015, p. 42)</w:t>
      </w:r>
      <w:r w:rsidRPr="009672FC">
        <w:rPr>
          <w:rFonts w:ascii="Garamond" w:hAnsi="Garamond"/>
        </w:rPr>
        <w:fldChar w:fldCharType="end"/>
      </w:r>
      <w:r w:rsidRPr="009672FC">
        <w:rPr>
          <w:rFonts w:ascii="Garamond" w:hAnsi="Garamond"/>
        </w:rPr>
        <w:t>. To this end, the network is found to have a very strong interactive, communication mechanism, allowing a constant exchange of information through various means, such as the conduct of regular meetings, issue of monthly newsletters, regular emails, and the periodic release of network programs and projects on social media and other mass media outlets. The goal of this robust engagement is to fully implement “a 360 degree of transparency” in terms of the network projects and activities (</w:t>
      </w:r>
      <w:r w:rsidR="002E3C69" w:rsidRPr="009672FC">
        <w:rPr>
          <w:rFonts w:ascii="Garamond" w:hAnsi="Garamond"/>
        </w:rPr>
        <w:t xml:space="preserve">the </w:t>
      </w:r>
      <w:r w:rsidRPr="009672FC">
        <w:rPr>
          <w:rFonts w:ascii="Garamond" w:hAnsi="Garamond"/>
        </w:rPr>
        <w:t xml:space="preserve">network manager). The manager further highlights </w:t>
      </w:r>
      <w:proofErr w:type="gramStart"/>
      <w:r w:rsidRPr="009672FC">
        <w:rPr>
          <w:rFonts w:ascii="Garamond" w:hAnsi="Garamond"/>
        </w:rPr>
        <w:t>that frequent communications</w:t>
      </w:r>
      <w:proofErr w:type="gramEnd"/>
      <w:r w:rsidRPr="009672FC">
        <w:rPr>
          <w:rFonts w:ascii="Garamond" w:hAnsi="Garamond"/>
        </w:rPr>
        <w:t xml:space="preserve"> with entrepreneurs </w:t>
      </w:r>
      <w:r w:rsidR="002E3C69" w:rsidRPr="009672FC">
        <w:rPr>
          <w:rFonts w:ascii="Garamond" w:hAnsi="Garamond"/>
        </w:rPr>
        <w:t>are</w:t>
      </w:r>
      <w:r w:rsidRPr="009672FC">
        <w:rPr>
          <w:rFonts w:ascii="Garamond" w:hAnsi="Garamond"/>
        </w:rPr>
        <w:t xml:space="preserve"> a way of providing timely information, as well as s</w:t>
      </w:r>
      <w:r w:rsidR="002E3C69" w:rsidRPr="009672FC">
        <w:rPr>
          <w:rFonts w:ascii="Garamond" w:hAnsi="Garamond"/>
        </w:rPr>
        <w:t>eeking</w:t>
      </w:r>
      <w:r w:rsidRPr="009672FC">
        <w:rPr>
          <w:rFonts w:ascii="Garamond" w:hAnsi="Garamond"/>
        </w:rPr>
        <w:t xml:space="preserve"> feedback on network </w:t>
      </w:r>
      <w:r w:rsidRPr="009672FC">
        <w:rPr>
          <w:rFonts w:ascii="Garamond" w:hAnsi="Garamond"/>
        </w:rPr>
        <w:lastRenderedPageBreak/>
        <w:t>activities related to price list</w:t>
      </w:r>
      <w:r w:rsidR="002E3C69" w:rsidRPr="009672FC">
        <w:rPr>
          <w:rFonts w:ascii="Garamond" w:hAnsi="Garamond"/>
        </w:rPr>
        <w:t>s</w:t>
      </w:r>
      <w:r w:rsidRPr="009672FC">
        <w:rPr>
          <w:rFonts w:ascii="Garamond" w:hAnsi="Garamond"/>
        </w:rPr>
        <w:t xml:space="preserve"> and catalog</w:t>
      </w:r>
      <w:r w:rsidR="002E3C69" w:rsidRPr="009672FC">
        <w:rPr>
          <w:rFonts w:ascii="Garamond" w:hAnsi="Garamond"/>
        </w:rPr>
        <w:t>ue</w:t>
      </w:r>
      <w:r w:rsidRPr="009672FC">
        <w:rPr>
          <w:rFonts w:ascii="Garamond" w:hAnsi="Garamond"/>
        </w:rPr>
        <w:t xml:space="preserve">s, and </w:t>
      </w:r>
      <w:r w:rsidR="002E3C69" w:rsidRPr="009672FC">
        <w:rPr>
          <w:rFonts w:ascii="Garamond" w:hAnsi="Garamond"/>
        </w:rPr>
        <w:t xml:space="preserve">the </w:t>
      </w:r>
      <w:r w:rsidRPr="009672FC">
        <w:rPr>
          <w:rFonts w:ascii="Garamond" w:hAnsi="Garamond"/>
        </w:rPr>
        <w:t xml:space="preserve">market </w:t>
      </w:r>
      <w:r w:rsidR="002E3C69" w:rsidRPr="009672FC">
        <w:rPr>
          <w:rFonts w:ascii="Garamond" w:hAnsi="Garamond"/>
        </w:rPr>
        <w:t>behaviour</w:t>
      </w:r>
      <w:r w:rsidRPr="009672FC">
        <w:rPr>
          <w:rFonts w:ascii="Garamond" w:hAnsi="Garamond"/>
        </w:rPr>
        <w:t>. Actors rely on these data to promote network activities and advanc</w:t>
      </w:r>
      <w:r w:rsidR="002E3C69" w:rsidRPr="009672FC">
        <w:rPr>
          <w:rFonts w:ascii="Garamond" w:hAnsi="Garamond"/>
        </w:rPr>
        <w:t>e</w:t>
      </w:r>
      <w:r w:rsidRPr="009672FC">
        <w:rPr>
          <w:rFonts w:ascii="Garamond" w:hAnsi="Garamond"/>
        </w:rPr>
        <w:t xml:space="preserve"> entrepreneurs’ business interests.  </w:t>
      </w:r>
    </w:p>
    <w:p w14:paraId="388393CA" w14:textId="3349CA00" w:rsidR="002E3C69" w:rsidRPr="009672FC" w:rsidRDefault="007549AA" w:rsidP="002E3C69">
      <w:pPr>
        <w:spacing w:before="240" w:line="360" w:lineRule="auto"/>
        <w:jc w:val="both"/>
        <w:rPr>
          <w:rFonts w:ascii="Garamond" w:hAnsi="Garamond"/>
        </w:rPr>
      </w:pPr>
      <w:r w:rsidRPr="009672FC">
        <w:rPr>
          <w:rFonts w:ascii="Garamond" w:hAnsi="Garamond"/>
          <w:i/>
          <w:iCs/>
        </w:rPr>
        <w:t xml:space="preserve">Trust-building and Friendship. </w:t>
      </w:r>
      <w:r w:rsidRPr="009672FC">
        <w:rPr>
          <w:rFonts w:ascii="Garamond" w:hAnsi="Garamond"/>
        </w:rPr>
        <w:t xml:space="preserve">Collaborative practices between firms in a business network context require close working relations “under norms of cooperation and friendship” </w:t>
      </w:r>
      <w:r w:rsidRPr="009672FC">
        <w:rPr>
          <w:rFonts w:ascii="Garamond" w:hAnsi="Garamond"/>
        </w:rPr>
        <w:fldChar w:fldCharType="begin" w:fldLock="1"/>
      </w:r>
      <w:r w:rsidRPr="009672FC">
        <w:rPr>
          <w:rFonts w:ascii="Garamond" w:hAnsi="Garamond"/>
        </w:rPr>
        <w:instrText>ADDIN CSL_CITATION {"citationItems":[{"id":"ITEM-1","itemData":{"DOI":"10.1108/08858620210431688","author":[{"dropping-particle":"","family":"Mohr","given":"Jakki J","non-dropping-particle":"","parse-names":false,"suffix":""},{"dropping-particle":"","family":"Sengupta","given":"Sanjit","non-dropping-particle":"","parse-names":false,"suffix":""}],"container-title":"Journal of Business &amp; Industrial Marketing","id":"ITEM-1","issue":"4","issued":{"date-parts":[["2002"]]},"page":"282-301","title":"Managing the paradox of inter-firm learning : the role of governance mechanisms","type":"article-journal","volume":"17"},"uris":["http://www.mendeley.com/documents/?uuid=693727e7-82c8-4580-b018-7541c8ca8718"]}],"mendeley":{"formattedCitation":"(Mohr &amp; Sengupta, 2002)","manualFormatting":"(Mohr &amp; Sengupta, 2002, pp. 289)","plainTextFormattedCitation":"(Mohr &amp; Sengupta, 2002)","previouslyFormattedCitation":"(Mohr &amp; Sengupta,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(Mohr &amp; Sengupta, 2002, pp. 289)</w:t>
      </w:r>
      <w:r w:rsidRPr="009672FC">
        <w:rPr>
          <w:rFonts w:ascii="Garamond" w:hAnsi="Garamond"/>
        </w:rPr>
        <w:fldChar w:fldCharType="end"/>
      </w:r>
      <w:r w:rsidRPr="009672FC">
        <w:rPr>
          <w:rFonts w:ascii="Garamond" w:hAnsi="Garamond"/>
        </w:rPr>
        <w:t xml:space="preserve">. In the case of the </w:t>
      </w:r>
      <w:r w:rsidRPr="009672FC">
        <w:rPr>
          <w:rFonts w:ascii="Garamond" w:hAnsi="Garamond"/>
          <w:i/>
          <w:iCs/>
        </w:rPr>
        <w:t xml:space="preserve">Sparrow </w:t>
      </w:r>
      <w:r w:rsidRPr="009672FC">
        <w:rPr>
          <w:rFonts w:ascii="Garamond" w:hAnsi="Garamond"/>
        </w:rPr>
        <w:t xml:space="preserve">network, there is evidence of </w:t>
      </w:r>
      <w:r w:rsidR="002E3C69" w:rsidRPr="009672FC">
        <w:rPr>
          <w:rFonts w:ascii="Garamond" w:hAnsi="Garamond"/>
        </w:rPr>
        <w:t xml:space="preserve">the </w:t>
      </w:r>
      <w:r w:rsidRPr="009672FC">
        <w:rPr>
          <w:rFonts w:ascii="Garamond" w:hAnsi="Garamond"/>
        </w:rPr>
        <w:t xml:space="preserve">friendship between entrepreneurs with the expectation </w:t>
      </w:r>
      <w:r w:rsidR="002E3C69" w:rsidRPr="009672FC">
        <w:rPr>
          <w:rFonts w:ascii="Garamond" w:hAnsi="Garamond"/>
        </w:rPr>
        <w:t>of</w:t>
      </w:r>
      <w:r w:rsidRPr="009672FC">
        <w:rPr>
          <w:rFonts w:ascii="Garamond" w:hAnsi="Garamond"/>
        </w:rPr>
        <w:t xml:space="preserve"> working together, jointly, to achieve collective network interests and individual goals of entrepreneurs. In fact, through this, the network has a role in instituting shared norms of cooperation, leveraging firms’ bargaining positions for joint problem-solving, and resource mobilization. </w:t>
      </w:r>
      <w:r w:rsidR="002E3C69" w:rsidRPr="009672FC">
        <w:rPr>
          <w:rFonts w:ascii="Garamond" w:hAnsi="Garamond"/>
        </w:rPr>
        <w:t xml:space="preserve">Specifically, </w:t>
      </w:r>
      <w:r w:rsidRPr="009672FC">
        <w:rPr>
          <w:rFonts w:ascii="Garamond" w:hAnsi="Garamond"/>
        </w:rPr>
        <w:t>the export manager</w:t>
      </w:r>
      <w:r w:rsidR="002E3C69" w:rsidRPr="009672FC">
        <w:rPr>
          <w:rFonts w:ascii="Garamond" w:hAnsi="Garamond"/>
        </w:rPr>
        <w:t xml:space="preserve"> laments tha</w:t>
      </w:r>
      <w:r w:rsidR="00677E2C" w:rsidRPr="009672FC">
        <w:rPr>
          <w:rFonts w:ascii="Garamond" w:hAnsi="Garamond"/>
        </w:rPr>
        <w:t>t</w:t>
      </w:r>
      <w:r w:rsidRPr="009672FC">
        <w:rPr>
          <w:rFonts w:ascii="Garamond" w:hAnsi="Garamond"/>
        </w:rPr>
        <w:t>, this is necessary because:</w:t>
      </w:r>
    </w:p>
    <w:p w14:paraId="045A9966" w14:textId="77777777" w:rsidR="002E3C69" w:rsidRPr="009672FC" w:rsidRDefault="002E3C69" w:rsidP="002E3C69">
      <w:pPr>
        <w:spacing w:before="240" w:line="360" w:lineRule="auto"/>
        <w:ind w:left="720" w:right="360"/>
        <w:jc w:val="both"/>
        <w:rPr>
          <w:rFonts w:ascii="Garamond" w:hAnsi="Garamond"/>
        </w:rPr>
      </w:pPr>
      <w:r w:rsidRPr="009672FC">
        <w:rPr>
          <w:rFonts w:ascii="Garamond" w:hAnsi="Garamond"/>
        </w:rPr>
        <w:t>“</w:t>
      </w:r>
      <w:r w:rsidR="007549AA" w:rsidRPr="009672FC">
        <w:rPr>
          <w:rFonts w:ascii="Garamond" w:hAnsi="Garamond"/>
          <w:i/>
          <w:iCs/>
        </w:rPr>
        <w:t>All companies are having the same buyer reference, the same product category, the same problems, […] and our network approach starts with trust and friendship within the network, then comes what is best for entrepreneurs, and then the network company</w:t>
      </w:r>
      <w:r w:rsidRPr="009672FC">
        <w:rPr>
          <w:rFonts w:ascii="Garamond" w:hAnsi="Garamond"/>
          <w:i/>
          <w:iCs/>
        </w:rPr>
        <w:t xml:space="preserve">.” </w:t>
      </w:r>
      <w:r w:rsidRPr="009672FC">
        <w:rPr>
          <w:rFonts w:ascii="Garamond" w:hAnsi="Garamond"/>
        </w:rPr>
        <w:t>(the export manager)</w:t>
      </w:r>
    </w:p>
    <w:p w14:paraId="7AE6FEB3" w14:textId="1281926A" w:rsidR="002E3C69" w:rsidRPr="009672FC" w:rsidRDefault="007549AA" w:rsidP="002E3C69">
      <w:pPr>
        <w:spacing w:before="240" w:line="360" w:lineRule="auto"/>
        <w:jc w:val="both"/>
        <w:rPr>
          <w:rFonts w:ascii="Garamond" w:hAnsi="Garamond"/>
        </w:rPr>
      </w:pPr>
      <w:r w:rsidRPr="009672FC">
        <w:rPr>
          <w:rFonts w:ascii="Garamond" w:hAnsi="Garamond"/>
          <w:i/>
          <w:iCs/>
        </w:rPr>
        <w:t xml:space="preserve"> </w:t>
      </w:r>
      <w:r w:rsidRPr="009672FC">
        <w:rPr>
          <w:rFonts w:ascii="Garamond" w:hAnsi="Garamond"/>
        </w:rPr>
        <w:t xml:space="preserve">Under this situation, there is a spirit of more openness, and willingness of entrepreneurs to share and learn about the customers, market trends, and thus the exchange of relevant knowledge. Thus, the network has a role in creating open and honest communication between firms and the network. </w:t>
      </w:r>
      <w:r w:rsidR="002663FA" w:rsidRPr="009672FC">
        <w:rPr>
          <w:rFonts w:ascii="Garamond" w:hAnsi="Garamond"/>
        </w:rPr>
        <w:t>T</w:t>
      </w:r>
      <w:r w:rsidRPr="009672FC">
        <w:rPr>
          <w:rFonts w:ascii="Garamond" w:hAnsi="Garamond"/>
        </w:rPr>
        <w:t xml:space="preserve">he network encourages dialogue between entrepreneurs, to inspire trust, and </w:t>
      </w:r>
      <w:r w:rsidR="002E3C69" w:rsidRPr="009672FC">
        <w:rPr>
          <w:rFonts w:ascii="Garamond" w:hAnsi="Garamond"/>
        </w:rPr>
        <w:t xml:space="preserve">the </w:t>
      </w:r>
      <w:r w:rsidRPr="009672FC">
        <w:rPr>
          <w:rFonts w:ascii="Garamond" w:hAnsi="Garamond"/>
        </w:rPr>
        <w:t xml:space="preserve">exchange of knowledge (especially tacit one), as mentioned by the leader: </w:t>
      </w:r>
    </w:p>
    <w:p w14:paraId="62208A68" w14:textId="6CA8A2B9" w:rsidR="002E3C69" w:rsidRPr="009672FC" w:rsidRDefault="007549AA" w:rsidP="002E3C69">
      <w:pPr>
        <w:spacing w:before="240" w:line="360" w:lineRule="auto"/>
        <w:ind w:left="720" w:right="360"/>
        <w:jc w:val="both"/>
        <w:rPr>
          <w:rFonts w:ascii="Garamond" w:hAnsi="Garamond"/>
        </w:rPr>
      </w:pPr>
      <w:r w:rsidRPr="009672FC">
        <w:rPr>
          <w:rFonts w:ascii="Garamond" w:hAnsi="Garamond"/>
          <w:i/>
          <w:iCs/>
        </w:rPr>
        <w:t xml:space="preserve">Entrepreneurs are encouraged by the network to engage in dialogue, relevant knowledge exchanges, enabling all actors to make informed decisions particularly changes in market conditions, consumer demand, and internationalization experiences. It does not matter whether small or large firms, we create </w:t>
      </w:r>
      <w:r w:rsidR="002E3C69" w:rsidRPr="009672FC">
        <w:rPr>
          <w:rFonts w:ascii="Garamond" w:hAnsi="Garamond"/>
          <w:i/>
          <w:iCs/>
        </w:rPr>
        <w:t xml:space="preserve">an </w:t>
      </w:r>
      <w:r w:rsidRPr="009672FC">
        <w:rPr>
          <w:rFonts w:ascii="Garamond" w:hAnsi="Garamond"/>
          <w:i/>
          <w:iCs/>
        </w:rPr>
        <w:t>atmosphere for actors to engage in constructive discussions</w:t>
      </w:r>
      <w:proofErr w:type="gramStart"/>
      <w:r w:rsidR="002E3C69" w:rsidRPr="009672FC">
        <w:rPr>
          <w:rFonts w:ascii="Garamond" w:hAnsi="Garamond"/>
          <w:i/>
          <w:iCs/>
        </w:rPr>
        <w:t>.”(</w:t>
      </w:r>
      <w:proofErr w:type="gramEnd"/>
      <w:r w:rsidR="002E3C69" w:rsidRPr="009672FC">
        <w:rPr>
          <w:rFonts w:ascii="Garamond" w:hAnsi="Garamond"/>
        </w:rPr>
        <w:t xml:space="preserve">the network president). </w:t>
      </w:r>
    </w:p>
    <w:p w14:paraId="4F9F66FE" w14:textId="2814DD15" w:rsidR="003D5DE8" w:rsidRPr="009672FC" w:rsidRDefault="007549AA" w:rsidP="002E3C69">
      <w:pPr>
        <w:spacing w:before="240" w:line="360" w:lineRule="auto"/>
        <w:jc w:val="both"/>
        <w:rPr>
          <w:rFonts w:ascii="Garamond" w:hAnsi="Garamond"/>
        </w:rPr>
      </w:pPr>
      <w:r w:rsidRPr="009672FC">
        <w:rPr>
          <w:rFonts w:ascii="Garamond" w:hAnsi="Garamond"/>
        </w:rPr>
        <w:t>Given this instance, the network could develop confidence and trust among firms, resulting from the continuous interaction, dialogue, and open knowledge exchange.</w:t>
      </w:r>
      <w:r w:rsidR="002E3C69" w:rsidRPr="009672FC">
        <w:rPr>
          <w:rFonts w:ascii="Garamond" w:hAnsi="Garamond"/>
        </w:rPr>
        <w:t xml:space="preserve"> These practices are inextricably linked to inter-firm trust and innovation </w:t>
      </w:r>
      <w:r w:rsidR="002E3C69" w:rsidRPr="009672FC">
        <w:rPr>
          <w:rFonts w:ascii="Garamond" w:hAnsi="Garamond"/>
        </w:rPr>
        <w:fldChar w:fldCharType="begin" w:fldLock="1"/>
      </w:r>
      <w:r w:rsidR="002E3C69" w:rsidRPr="009672FC">
        <w:rPr>
          <w:rFonts w:ascii="Garamond" w:hAnsi="Garamond"/>
        </w:rPr>
        <w:instrText>ADDIN CSL_CITATION {"citationItems":[{"id":"ITEM-1","itemData":{"DOI":"10.3390/su11215986","author":[{"dropping-particle":"","family":"Orlandi","given":"Ludovico Bullini","non-dropping-particle":"","parse-names":false,"suffix":""},{"dropping-particle":"De","family":"Martino","given":"Elena","non-dropping-particle":"","parse-names":false,"suffix":""},{"dropping-particle":"","family":"Rossignoli","given":"Cecilia","non-dropping-particle":"","parse-names":false,"suffix":""}],"container-title":"Sustainability","id":"ITEM-1","issue":"11","issued":{"date-parts":[["2019"]]},"page":"1-19","title":"Strategic Value of Agricultural Business Networks in Sustaining Common Goods","type":"article-journal"},"uris":["http://www.mendeley.com/documents/?uuid=ecf4a8f6-3bfe-4f92-b964-e7af7d37504e"]}],"mendeley":{"formattedCitation":"(Orlandi et al., 2019)","plainTextFormattedCitation":"(Orlandi et al., 2019)","previouslyFormattedCitation":"(Orlandi et al., 2019)"},"properties":{"noteIndex":0},"schema":"https://github.com/citation-style-language/schema/raw/master/csl-citation.json"}</w:instrText>
      </w:r>
      <w:r w:rsidR="002E3C69" w:rsidRPr="009672FC">
        <w:rPr>
          <w:rFonts w:ascii="Garamond" w:hAnsi="Garamond"/>
        </w:rPr>
        <w:fldChar w:fldCharType="separate"/>
      </w:r>
      <w:r w:rsidR="002E3C69" w:rsidRPr="009672FC">
        <w:rPr>
          <w:rFonts w:ascii="Garamond" w:hAnsi="Garamond"/>
          <w:noProof/>
        </w:rPr>
        <w:t>(Orlandi et al., 2019)</w:t>
      </w:r>
      <w:r w:rsidR="002E3C69" w:rsidRPr="009672FC">
        <w:rPr>
          <w:rFonts w:ascii="Garamond" w:hAnsi="Garamond"/>
        </w:rPr>
        <w:fldChar w:fldCharType="end"/>
      </w:r>
      <w:r w:rsidR="002E3C69" w:rsidRPr="009672FC">
        <w:rPr>
          <w:rFonts w:ascii="Garamond" w:hAnsi="Garamond"/>
        </w:rPr>
        <w:t>.</w:t>
      </w:r>
    </w:p>
    <w:p w14:paraId="313F0B38" w14:textId="65577AE4" w:rsidR="003D5DE8" w:rsidRDefault="003D5DE8">
      <w:pPr>
        <w:spacing w:line="360" w:lineRule="auto"/>
        <w:ind w:firstLine="720"/>
        <w:jc w:val="both"/>
        <w:rPr>
          <w:rFonts w:ascii="Garamond" w:hAnsi="Garamond"/>
          <w:b/>
          <w:bCs/>
          <w:i/>
          <w:iCs/>
        </w:rPr>
      </w:pPr>
    </w:p>
    <w:p w14:paraId="6812643A" w14:textId="249BF863" w:rsidR="00D55828" w:rsidRDefault="00D55828">
      <w:pPr>
        <w:spacing w:line="360" w:lineRule="auto"/>
        <w:ind w:firstLine="720"/>
        <w:jc w:val="both"/>
        <w:rPr>
          <w:rFonts w:ascii="Garamond" w:hAnsi="Garamond"/>
          <w:b/>
          <w:bCs/>
          <w:i/>
          <w:iCs/>
        </w:rPr>
      </w:pPr>
    </w:p>
    <w:p w14:paraId="0E94B659" w14:textId="77777777" w:rsidR="00D55828" w:rsidRPr="009672FC" w:rsidRDefault="00D55828">
      <w:pPr>
        <w:spacing w:line="360" w:lineRule="auto"/>
        <w:ind w:firstLine="720"/>
        <w:jc w:val="both"/>
        <w:rPr>
          <w:rFonts w:ascii="Garamond" w:hAnsi="Garamond"/>
          <w:b/>
          <w:bCs/>
          <w:i/>
          <w:iCs/>
        </w:rPr>
      </w:pPr>
    </w:p>
    <w:p w14:paraId="5A9E413A" w14:textId="3CD52710" w:rsidR="003D5DE8" w:rsidRPr="009672FC" w:rsidRDefault="007549AA">
      <w:pPr>
        <w:pStyle w:val="Title"/>
        <w:numPr>
          <w:ilvl w:val="2"/>
          <w:numId w:val="9"/>
        </w:numPr>
        <w:spacing w:line="360" w:lineRule="auto"/>
        <w:jc w:val="both"/>
        <w:outlineLvl w:val="2"/>
        <w:rPr>
          <w:rFonts w:ascii="Garamond" w:hAnsi="Garamond" w:cs="Times New Roman"/>
          <w:b/>
          <w:bCs/>
          <w:i/>
          <w:iCs/>
          <w:sz w:val="24"/>
          <w:szCs w:val="24"/>
        </w:rPr>
      </w:pPr>
      <w:bookmarkStart w:id="112" w:name="_Toc85708732"/>
      <w:bookmarkStart w:id="113" w:name="_Toc85709746"/>
      <w:r w:rsidRPr="009672FC">
        <w:rPr>
          <w:rFonts w:ascii="Garamond" w:hAnsi="Garamond" w:cs="Times New Roman"/>
          <w:b/>
          <w:bCs/>
          <w:i/>
          <w:iCs/>
          <w:sz w:val="24"/>
          <w:szCs w:val="24"/>
        </w:rPr>
        <w:lastRenderedPageBreak/>
        <w:t>Governance-based Solutions in Organizing Inter-firm Engagement.</w:t>
      </w:r>
      <w:bookmarkEnd w:id="112"/>
      <w:bookmarkEnd w:id="113"/>
    </w:p>
    <w:p w14:paraId="7AA24563" w14:textId="77777777" w:rsidR="002E3C69" w:rsidRPr="009672FC" w:rsidRDefault="007549AA" w:rsidP="002E3C69">
      <w:pPr>
        <w:spacing w:line="360" w:lineRule="auto"/>
        <w:jc w:val="both"/>
        <w:rPr>
          <w:rFonts w:ascii="Garamond" w:hAnsi="Garamond"/>
        </w:rPr>
      </w:pPr>
      <w:r w:rsidRPr="009672FC">
        <w:rPr>
          <w:rFonts w:ascii="Garamond" w:hAnsi="Garamond"/>
          <w:i/>
          <w:iCs/>
        </w:rPr>
        <w:t>Coordination and control</w:t>
      </w:r>
      <w:r w:rsidRPr="009672FC">
        <w:rPr>
          <w:rFonts w:ascii="Garamond" w:hAnsi="Garamond"/>
        </w:rPr>
        <w:t>. Managing collaborative projects are challenging, du</w:t>
      </w:r>
      <w:r w:rsidR="002E3C69" w:rsidRPr="009672FC">
        <w:rPr>
          <w:rFonts w:ascii="Garamond" w:hAnsi="Garamond"/>
        </w:rPr>
        <w:t>e</w:t>
      </w:r>
      <w:r w:rsidRPr="009672FC">
        <w:rPr>
          <w:rFonts w:ascii="Garamond" w:hAnsi="Garamond"/>
        </w:rPr>
        <w:t xml:space="preserve"> to various idiosyncrasies associated with different partners. In the case of </w:t>
      </w:r>
      <w:r w:rsidR="002E3C69" w:rsidRPr="009672FC">
        <w:rPr>
          <w:rFonts w:ascii="Garamond" w:hAnsi="Garamond"/>
        </w:rPr>
        <w:t xml:space="preserve">the </w:t>
      </w:r>
      <w:r w:rsidRPr="009672FC">
        <w:rPr>
          <w:rFonts w:ascii="Garamond" w:hAnsi="Garamond"/>
        </w:rPr>
        <w:t xml:space="preserve">Sparrow network, there is evidence of close coordination of inter-firm projects, promoting relationship quality, and network performance. </w:t>
      </w:r>
      <w:r w:rsidRPr="009672FC">
        <w:rPr>
          <w:rFonts w:ascii="Garamond" w:hAnsi="Garamond"/>
        </w:rPr>
        <w:fldChar w:fldCharType="begin" w:fldLock="1"/>
      </w:r>
      <w:r w:rsidRPr="009672FC">
        <w:rPr>
          <w:rFonts w:ascii="Garamond" w:hAnsi="Garamond"/>
        </w:rPr>
        <w:instrText>ADDIN CSL_CITATION {"citationItems":[{"id":"ITEM-1","itemData":{"DOI":"10.1108/08858620210431688","author":[{"dropping-particle":"","family":"Mohr","given":"Jakki J","non-dropping-particle":"","parse-names":false,"suffix":""},{"dropping-particle":"","family":"Sengupta","given":"Sanjit","non-dropping-particle":"","parse-names":false,"suffix":""}],"container-title":"Journal of Business &amp; Industrial Marketing","id":"ITEM-1","issue":"4","issued":{"date-parts":[["2002"]]},"page":"282-301","title":"Managing the paradox of inter-firm learning : the role of governance mechanisms","type":"article-journal","volume":"17"},"uris":["http://www.mendeley.com/documents/?uuid=693727e7-82c8-4580-b018-7541c8ca8718"]}],"mendeley":{"formattedCitation":"(Mohr &amp; Sengupta, 2002)","manualFormatting":"Mohr and Sengupta (2002)","plainTextFormattedCitation":"(Mohr &amp; Sengupta, 2002)","previouslyFormattedCitation":"(Mohr &amp; Sengupta,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Mohr and Sengupta (2002)</w:t>
      </w:r>
      <w:r w:rsidRPr="009672FC">
        <w:rPr>
          <w:rFonts w:ascii="Garamond" w:hAnsi="Garamond"/>
        </w:rPr>
        <w:fldChar w:fldCharType="end"/>
      </w:r>
      <w:r w:rsidRPr="009672FC">
        <w:rPr>
          <w:rFonts w:ascii="Garamond" w:hAnsi="Garamond"/>
        </w:rPr>
        <w:t xml:space="preserve"> mentioned that coordination of network firms ensures </w:t>
      </w:r>
      <w:r w:rsidR="002E3C69" w:rsidRPr="009672FC">
        <w:rPr>
          <w:rFonts w:ascii="Garamond" w:hAnsi="Garamond"/>
        </w:rPr>
        <w:t xml:space="preserve">a </w:t>
      </w:r>
      <w:r w:rsidRPr="009672FC">
        <w:rPr>
          <w:rFonts w:ascii="Garamond" w:hAnsi="Garamond"/>
        </w:rPr>
        <w:t xml:space="preserve">high degree of compliance, minimizing conflicting goals and objectives, and protecting one party from the opportunistic tendencies of others. This goal is seen in the Sparrow network case, and the network manager noted that </w:t>
      </w:r>
      <w:r w:rsidR="002E3C69" w:rsidRPr="009672FC">
        <w:rPr>
          <w:rFonts w:ascii="Garamond" w:hAnsi="Garamond"/>
        </w:rPr>
        <w:t>t</w:t>
      </w:r>
      <w:r w:rsidRPr="009672FC">
        <w:rPr>
          <w:rFonts w:ascii="Garamond" w:hAnsi="Garamond"/>
        </w:rPr>
        <w:t xml:space="preserve">he network contract has specific strict rules on how the network operates, various disciplinary regulations, </w:t>
      </w:r>
      <w:r w:rsidR="002E3C69" w:rsidRPr="009672FC">
        <w:rPr>
          <w:rFonts w:ascii="Garamond" w:hAnsi="Garamond"/>
        </w:rPr>
        <w:t xml:space="preserve">while also </w:t>
      </w:r>
      <w:r w:rsidRPr="009672FC">
        <w:rPr>
          <w:rFonts w:ascii="Garamond" w:hAnsi="Garamond"/>
        </w:rPr>
        <w:t>assist</w:t>
      </w:r>
      <w:r w:rsidR="002E3C69" w:rsidRPr="009672FC">
        <w:rPr>
          <w:rFonts w:ascii="Garamond" w:hAnsi="Garamond"/>
        </w:rPr>
        <w:t>ing</w:t>
      </w:r>
      <w:r w:rsidRPr="009672FC">
        <w:rPr>
          <w:rFonts w:ascii="Garamond" w:hAnsi="Garamond"/>
        </w:rPr>
        <w:t xml:space="preserve"> companies that enter the network to have certifications (that are necessary for working in internationalization projects), such as the best management practices, </w:t>
      </w:r>
      <w:r w:rsidR="002E3C69" w:rsidRPr="009672FC">
        <w:rPr>
          <w:rFonts w:ascii="Garamond" w:hAnsi="Garamond"/>
        </w:rPr>
        <w:t xml:space="preserve">and </w:t>
      </w:r>
      <w:r w:rsidRPr="009672FC">
        <w:rPr>
          <w:rFonts w:ascii="Garamond" w:hAnsi="Garamond"/>
        </w:rPr>
        <w:t>entrepreneurial ethics of a certain type. Given that the network contract provides standard operating practice for all firms to follow, this practice ensures that all firms are considered relevant partners in the collaborative project, irrespective of their size, market position, or experience. In fact, by the horizontal coordination of firms, the network was able to mitigate the dominance of bigger firms and promote equality where all firms abide by the network contract and enable the participation of all, especially the smaller firms, as described by the network leader.</w:t>
      </w:r>
    </w:p>
    <w:p w14:paraId="66F0C49F" w14:textId="77777777" w:rsidR="002E3C69" w:rsidRPr="009672FC" w:rsidRDefault="007549AA" w:rsidP="002E3C69">
      <w:pPr>
        <w:spacing w:before="240" w:line="360" w:lineRule="auto"/>
        <w:jc w:val="both"/>
        <w:rPr>
          <w:rFonts w:ascii="Garamond" w:hAnsi="Garamond"/>
        </w:rPr>
      </w:pPr>
      <w:r w:rsidRPr="009672FC">
        <w:rPr>
          <w:rFonts w:ascii="Garamond" w:hAnsi="Garamond"/>
        </w:rPr>
        <w:t xml:space="preserve">Moreover, governance practice involves conflict resolution and avoidance situations. Participation in network activities is not free of disagreements and conflict, and the network leadership must ensure common ground as the basis for collaboration, rather than competition. Since </w:t>
      </w:r>
      <w:r w:rsidR="002E3C69" w:rsidRPr="009672FC">
        <w:rPr>
          <w:rFonts w:ascii="Garamond" w:hAnsi="Garamond"/>
        </w:rPr>
        <w:t xml:space="preserve">an </w:t>
      </w:r>
      <w:r w:rsidRPr="009672FC">
        <w:rPr>
          <w:rFonts w:ascii="Garamond" w:hAnsi="Garamond"/>
        </w:rPr>
        <w:t xml:space="preserve">inter-organizational relationship is not without conflicts, strategies to mitigate the incidence of conflict must be controlled, as noted by the network leader states: </w:t>
      </w:r>
    </w:p>
    <w:p w14:paraId="23299FE0" w14:textId="0FFE7995" w:rsidR="003D5DE8" w:rsidRPr="009672FC" w:rsidRDefault="002E3C69" w:rsidP="002E3C69">
      <w:pPr>
        <w:spacing w:before="240" w:line="360" w:lineRule="auto"/>
        <w:ind w:left="720" w:right="360"/>
        <w:jc w:val="both"/>
        <w:rPr>
          <w:rFonts w:ascii="Garamond" w:hAnsi="Garamond"/>
        </w:rPr>
      </w:pPr>
      <w:r w:rsidRPr="009672FC">
        <w:rPr>
          <w:rFonts w:ascii="Garamond" w:hAnsi="Garamond"/>
          <w:i/>
          <w:iCs/>
        </w:rPr>
        <w:t>“</w:t>
      </w:r>
      <w:r w:rsidR="007549AA" w:rsidRPr="009672FC">
        <w:rPr>
          <w:rFonts w:ascii="Garamond" w:hAnsi="Garamond"/>
          <w:i/>
          <w:iCs/>
        </w:rPr>
        <w:t>As for the conflicts that arise within the network, all entrepreneurs are committed to ensuring that such disputes are handled in the best possible way, consistently with the perspective of collaboration inherent in the network. Here the network manager has the role of 'referee' and balancer of these situations.</w:t>
      </w:r>
      <w:bookmarkStart w:id="114" w:name="_Hlk68309691"/>
      <w:r w:rsidRPr="009672FC">
        <w:rPr>
          <w:rFonts w:ascii="Garamond" w:hAnsi="Garamond"/>
          <w:i/>
          <w:iCs/>
        </w:rPr>
        <w:t xml:space="preserve">” </w:t>
      </w:r>
      <w:bookmarkStart w:id="115" w:name="_Hlk85678515"/>
      <w:r w:rsidRPr="009672FC">
        <w:rPr>
          <w:rFonts w:ascii="Garamond" w:hAnsi="Garamond"/>
          <w:i/>
          <w:iCs/>
        </w:rPr>
        <w:t>(the network manager).</w:t>
      </w:r>
    </w:p>
    <w:bookmarkEnd w:id="115"/>
    <w:p w14:paraId="4146FCB4" w14:textId="77777777" w:rsidR="002E3C69" w:rsidRPr="009672FC" w:rsidRDefault="007549AA" w:rsidP="002E3C69">
      <w:pPr>
        <w:spacing w:before="240" w:line="360" w:lineRule="auto"/>
        <w:jc w:val="both"/>
        <w:rPr>
          <w:rFonts w:ascii="Garamond" w:hAnsi="Garamond"/>
        </w:rPr>
      </w:pPr>
      <w:r w:rsidRPr="009672FC">
        <w:rPr>
          <w:rFonts w:ascii="Garamond" w:hAnsi="Garamond"/>
          <w:i/>
          <w:iCs/>
        </w:rPr>
        <w:t>Engagement events</w:t>
      </w:r>
      <w:bookmarkEnd w:id="114"/>
      <w:r w:rsidRPr="009672FC">
        <w:rPr>
          <w:rFonts w:ascii="Garamond" w:hAnsi="Garamond"/>
          <w:i/>
          <w:iCs/>
        </w:rPr>
        <w:t>/ socialization.</w:t>
      </w:r>
      <w:r w:rsidRPr="009672FC">
        <w:rPr>
          <w:rFonts w:ascii="Garamond" w:hAnsi="Garamond"/>
        </w:rPr>
        <w:t xml:space="preserve"> </w:t>
      </w:r>
      <w:r w:rsidR="002E3C69" w:rsidRPr="009672FC">
        <w:rPr>
          <w:rFonts w:ascii="Garamond" w:hAnsi="Garamond"/>
        </w:rPr>
        <w:t>The data suggests that t</w:t>
      </w:r>
      <w:r w:rsidRPr="009672FC">
        <w:rPr>
          <w:rFonts w:ascii="Garamond" w:hAnsi="Garamond"/>
        </w:rPr>
        <w:t xml:space="preserve">he communication and interaction between the network and firms are made through various means. For example, “Emails, reminders, magazines, bulletins, reports, newsletter, and video calls conducted via zoom” increase inter-firm </w:t>
      </w:r>
      <w:r w:rsidRPr="009672FC">
        <w:rPr>
          <w:rFonts w:ascii="Garamond" w:hAnsi="Garamond"/>
        </w:rPr>
        <w:lastRenderedPageBreak/>
        <w:t>familiarity and the role of the network in coordinating inter-firm projects, observed in the Sparrow</w:t>
      </w:r>
      <w:r w:rsidRPr="009672FC">
        <w:rPr>
          <w:rFonts w:ascii="Garamond" w:hAnsi="Garamond"/>
          <w:i/>
          <w:iCs/>
        </w:rPr>
        <w:t xml:space="preserve"> </w:t>
      </w:r>
      <w:r w:rsidRPr="009672FC">
        <w:rPr>
          <w:rFonts w:ascii="Garamond" w:hAnsi="Garamond"/>
        </w:rPr>
        <w:t xml:space="preserve">business network. </w:t>
      </w:r>
      <w:r w:rsidR="002E3C69" w:rsidRPr="009672FC">
        <w:rPr>
          <w:rFonts w:ascii="Garamond" w:hAnsi="Garamond"/>
        </w:rPr>
        <w:t xml:space="preserve">Moreover, the network </w:t>
      </w:r>
      <w:r w:rsidRPr="009672FC">
        <w:rPr>
          <w:rFonts w:ascii="Garamond" w:hAnsi="Garamond"/>
        </w:rPr>
        <w:t xml:space="preserve">leader mentioned that: </w:t>
      </w:r>
    </w:p>
    <w:p w14:paraId="0C94D402" w14:textId="27A41B67" w:rsidR="002E3C69" w:rsidRPr="009672FC" w:rsidRDefault="002E3C69" w:rsidP="002E3C69">
      <w:pPr>
        <w:spacing w:before="240" w:line="360" w:lineRule="auto"/>
        <w:ind w:left="720" w:right="360"/>
        <w:jc w:val="both"/>
        <w:rPr>
          <w:rFonts w:ascii="Garamond" w:hAnsi="Garamond"/>
        </w:rPr>
      </w:pPr>
      <w:r w:rsidRPr="009672FC">
        <w:rPr>
          <w:rFonts w:ascii="Garamond" w:hAnsi="Garamond"/>
        </w:rPr>
        <w:t>“</w:t>
      </w:r>
      <w:r w:rsidR="007549AA" w:rsidRPr="009672FC">
        <w:rPr>
          <w:rFonts w:ascii="Garamond" w:hAnsi="Garamond"/>
          <w:i/>
          <w:iCs/>
        </w:rPr>
        <w:t>We ensure participation [of firms] in various engagement events to fulfil the goals of inter-firm projects, including information distribution, information events; dialogue-based events to interact with both local and external stakeholders of the network [e.g., in fares, expos] and invited visits to various sites in the region.</w:t>
      </w:r>
      <w:r w:rsidRPr="009672FC">
        <w:rPr>
          <w:rFonts w:ascii="Garamond" w:hAnsi="Garamond"/>
          <w:i/>
          <w:iCs/>
        </w:rPr>
        <w:t>” (the network manager).</w:t>
      </w:r>
      <w:r w:rsidR="007549AA" w:rsidRPr="009672FC">
        <w:rPr>
          <w:rFonts w:ascii="Garamond" w:hAnsi="Garamond"/>
          <w:i/>
          <w:iCs/>
        </w:rPr>
        <w:t xml:space="preserve"> </w:t>
      </w:r>
    </w:p>
    <w:p w14:paraId="0EE71079" w14:textId="4FD3E841" w:rsidR="003D5DE8" w:rsidRPr="009672FC" w:rsidRDefault="002663FA" w:rsidP="002E3C69">
      <w:pPr>
        <w:spacing w:before="240" w:line="360" w:lineRule="auto"/>
        <w:jc w:val="both"/>
        <w:rPr>
          <w:rFonts w:ascii="Garamond" w:hAnsi="Garamond"/>
        </w:rPr>
      </w:pPr>
      <w:r w:rsidRPr="009672FC">
        <w:rPr>
          <w:rFonts w:ascii="Garamond" w:hAnsi="Garamond"/>
        </w:rPr>
        <w:t>The i</w:t>
      </w:r>
      <w:r w:rsidR="007549AA" w:rsidRPr="009672FC">
        <w:rPr>
          <w:rFonts w:ascii="Garamond" w:hAnsi="Garamond"/>
        </w:rPr>
        <w:t xml:space="preserve">nteractive atmosphere stimulates dialogue, openness, and willingness to engage in </w:t>
      </w:r>
      <w:r w:rsidR="002E3C69" w:rsidRPr="009672FC">
        <w:rPr>
          <w:rFonts w:ascii="Garamond" w:hAnsi="Garamond"/>
        </w:rPr>
        <w:t xml:space="preserve">a </w:t>
      </w:r>
      <w:r w:rsidR="007549AA" w:rsidRPr="009672FC">
        <w:rPr>
          <w:rFonts w:ascii="Garamond" w:hAnsi="Garamond"/>
        </w:rPr>
        <w:t xml:space="preserve">collaborative discourse of the network. Therefore, the role of the network is </w:t>
      </w:r>
      <w:r w:rsidR="002E3C69" w:rsidRPr="009672FC">
        <w:rPr>
          <w:rFonts w:ascii="Garamond" w:hAnsi="Garamond"/>
        </w:rPr>
        <w:t>to ensure</w:t>
      </w:r>
      <w:r w:rsidR="007549AA" w:rsidRPr="009672FC">
        <w:rPr>
          <w:rFonts w:ascii="Garamond" w:hAnsi="Garamond"/>
        </w:rPr>
        <w:t xml:space="preserve"> such enabling environment for socialization and interaction.</w:t>
      </w:r>
      <w:bookmarkStart w:id="116" w:name="_Hlk68309720"/>
    </w:p>
    <w:p w14:paraId="3FFEB8E7" w14:textId="78A8FB50" w:rsidR="002663FA" w:rsidRPr="009672FC" w:rsidRDefault="007549AA" w:rsidP="002E3C69">
      <w:pPr>
        <w:spacing w:before="240" w:line="360" w:lineRule="auto"/>
        <w:jc w:val="both"/>
        <w:rPr>
          <w:rFonts w:ascii="Garamond" w:hAnsi="Garamond"/>
        </w:rPr>
      </w:pPr>
      <w:r w:rsidRPr="009672FC">
        <w:rPr>
          <w:rFonts w:ascii="Garamond" w:hAnsi="Garamond"/>
          <w:i/>
          <w:iCs/>
        </w:rPr>
        <w:t>Network-based structure</w:t>
      </w:r>
      <w:bookmarkEnd w:id="116"/>
      <w:r w:rsidRPr="009672FC">
        <w:rPr>
          <w:rFonts w:ascii="Garamond" w:hAnsi="Garamond"/>
          <w:i/>
          <w:iCs/>
        </w:rPr>
        <w:t xml:space="preserve">. </w:t>
      </w:r>
      <w:r w:rsidRPr="009672FC">
        <w:rPr>
          <w:rFonts w:ascii="Garamond" w:hAnsi="Garamond"/>
        </w:rPr>
        <w:t xml:space="preserve">The institutional positions in the </w:t>
      </w:r>
      <w:r w:rsidRPr="009672FC">
        <w:rPr>
          <w:rFonts w:ascii="Garamond" w:hAnsi="Garamond"/>
          <w:i/>
          <w:iCs/>
        </w:rPr>
        <w:t xml:space="preserve">Sparrow </w:t>
      </w:r>
      <w:r w:rsidRPr="009672FC">
        <w:rPr>
          <w:rFonts w:ascii="Garamond" w:hAnsi="Garamond"/>
        </w:rPr>
        <w:t xml:space="preserve">network comprise network manager, network president, vice president, and steering committee. The evidence suggests that </w:t>
      </w:r>
      <w:r w:rsidR="002E3C69" w:rsidRPr="009672FC">
        <w:rPr>
          <w:rFonts w:ascii="Garamond" w:hAnsi="Garamond"/>
        </w:rPr>
        <w:t xml:space="preserve">the </w:t>
      </w:r>
      <w:r w:rsidRPr="009672FC">
        <w:rPr>
          <w:rFonts w:ascii="Garamond" w:hAnsi="Garamond"/>
        </w:rPr>
        <w:t xml:space="preserve">steering committee oversees </w:t>
      </w:r>
      <w:r w:rsidR="002E3C69" w:rsidRPr="009672FC">
        <w:rPr>
          <w:rFonts w:ascii="Garamond" w:hAnsi="Garamond"/>
        </w:rPr>
        <w:t xml:space="preserve">the </w:t>
      </w:r>
      <w:r w:rsidRPr="009672FC">
        <w:rPr>
          <w:rFonts w:ascii="Garamond" w:hAnsi="Garamond"/>
        </w:rPr>
        <w:t xml:space="preserve">governance of projects, address inter-firm conflicts, and provides approval consideration on network activities. </w:t>
      </w:r>
      <w:r w:rsidR="002E3C69" w:rsidRPr="009672FC">
        <w:rPr>
          <w:rFonts w:ascii="Garamond" w:hAnsi="Garamond"/>
        </w:rPr>
        <w:t>In</w:t>
      </w:r>
      <w:r w:rsidRPr="009672FC">
        <w:rPr>
          <w:rFonts w:ascii="Garamond" w:hAnsi="Garamond"/>
        </w:rPr>
        <w:t xml:space="preserve"> this way, the steering committee organizes, controls</w:t>
      </w:r>
      <w:r w:rsidR="00677E2C" w:rsidRPr="009672FC">
        <w:rPr>
          <w:rFonts w:ascii="Garamond" w:hAnsi="Garamond"/>
        </w:rPr>
        <w:t>, and</w:t>
      </w:r>
      <w:r w:rsidRPr="009672FC">
        <w:rPr>
          <w:rFonts w:ascii="Garamond" w:hAnsi="Garamond"/>
        </w:rPr>
        <w:t xml:space="preserve"> designs project guidelines</w:t>
      </w:r>
      <w:r w:rsidR="002E3C69" w:rsidRPr="009672FC">
        <w:rPr>
          <w:rFonts w:ascii="Garamond" w:hAnsi="Garamond"/>
        </w:rPr>
        <w:t xml:space="preserve"> </w:t>
      </w:r>
      <w:r w:rsidRPr="009672FC">
        <w:rPr>
          <w:rFonts w:ascii="Garamond" w:hAnsi="Garamond"/>
        </w:rPr>
        <w:t xml:space="preserve">while streamlining the individual and collective goals of the companies. While the network leaders are central to the day-to-day routine of the network, they are the people in charge of providing directives to all network companies. </w:t>
      </w:r>
      <w:r w:rsidR="002663FA" w:rsidRPr="009672FC">
        <w:rPr>
          <w:rFonts w:ascii="Garamond" w:hAnsi="Garamond"/>
        </w:rPr>
        <w:t>T</w:t>
      </w:r>
      <w:r w:rsidRPr="009672FC">
        <w:rPr>
          <w:rFonts w:ascii="Garamond" w:hAnsi="Garamond"/>
        </w:rPr>
        <w:t>hese directives are meant to seek cooperation but not obligations, provid</w:t>
      </w:r>
      <w:r w:rsidR="002E3C69" w:rsidRPr="009672FC">
        <w:rPr>
          <w:rFonts w:ascii="Garamond" w:hAnsi="Garamond"/>
        </w:rPr>
        <w:t>e</w:t>
      </w:r>
      <w:r w:rsidRPr="009672FC">
        <w:rPr>
          <w:rFonts w:ascii="Garamond" w:hAnsi="Garamond"/>
        </w:rPr>
        <w:t xml:space="preserve"> advice, and lead project activities</w:t>
      </w:r>
      <w:r w:rsidR="002E3C69" w:rsidRPr="009672FC">
        <w:rPr>
          <w:rFonts w:ascii="Garamond" w:hAnsi="Garamond"/>
        </w:rPr>
        <w:t xml:space="preserve"> </w:t>
      </w:r>
      <w:r w:rsidRPr="009672FC">
        <w:rPr>
          <w:rFonts w:ascii="Garamond" w:hAnsi="Garamond"/>
        </w:rPr>
        <w:t xml:space="preserve">(network manager). The leaders rely on their skills, knowledge, and experiences of dealing with multiple stakeholders in inter-organizational collaborative projects, as described by </w:t>
      </w:r>
      <w:bookmarkStart w:id="117" w:name="_Hlk85678642"/>
      <w:r w:rsidRPr="009672FC">
        <w:rPr>
          <w:rFonts w:ascii="Garamond" w:hAnsi="Garamond"/>
        </w:rPr>
        <w:t>the network manager</w:t>
      </w:r>
      <w:bookmarkEnd w:id="117"/>
      <w:r w:rsidRPr="009672FC">
        <w:rPr>
          <w:rFonts w:ascii="Garamond" w:hAnsi="Garamond"/>
        </w:rPr>
        <w:t>:</w:t>
      </w:r>
    </w:p>
    <w:p w14:paraId="11AFA7B0" w14:textId="77777777" w:rsidR="002663FA" w:rsidRPr="009672FC" w:rsidRDefault="002663FA" w:rsidP="002663FA">
      <w:pPr>
        <w:spacing w:before="240" w:line="360" w:lineRule="auto"/>
        <w:ind w:left="720" w:right="360"/>
        <w:jc w:val="both"/>
        <w:rPr>
          <w:rFonts w:ascii="Garamond" w:hAnsi="Garamond"/>
          <w:i/>
          <w:iCs/>
        </w:rPr>
      </w:pPr>
      <w:r w:rsidRPr="009672FC">
        <w:rPr>
          <w:rFonts w:ascii="Garamond" w:hAnsi="Garamond"/>
        </w:rPr>
        <w:t>“</w:t>
      </w:r>
      <w:r w:rsidR="007549AA" w:rsidRPr="009672FC">
        <w:rPr>
          <w:rFonts w:ascii="Garamond" w:hAnsi="Garamond"/>
          <w:i/>
          <w:iCs/>
        </w:rPr>
        <w:t>The network organizational structure is responsible for maintaining the right balance of powers, participation, and harmony in actors’ involvement</w:t>
      </w:r>
      <w:r w:rsidRPr="009672FC">
        <w:rPr>
          <w:rFonts w:ascii="Garamond" w:hAnsi="Garamond"/>
          <w:i/>
          <w:iCs/>
        </w:rPr>
        <w:t>”</w:t>
      </w:r>
      <w:r w:rsidR="002E3C69" w:rsidRPr="009672FC">
        <w:rPr>
          <w:rFonts w:ascii="Garamond" w:hAnsi="Garamond"/>
        </w:rPr>
        <w:t xml:space="preserve"> (the network manager)</w:t>
      </w:r>
      <w:r w:rsidR="007549AA" w:rsidRPr="009672FC">
        <w:rPr>
          <w:rFonts w:ascii="Garamond" w:hAnsi="Garamond"/>
          <w:i/>
          <w:iCs/>
        </w:rPr>
        <w:t xml:space="preserve">. </w:t>
      </w:r>
    </w:p>
    <w:p w14:paraId="060FD3D5" w14:textId="40658517" w:rsidR="002E3C69" w:rsidRPr="009672FC" w:rsidRDefault="007549AA" w:rsidP="002E3C69">
      <w:pPr>
        <w:spacing w:before="240" w:line="360" w:lineRule="auto"/>
        <w:jc w:val="both"/>
        <w:rPr>
          <w:rFonts w:ascii="Garamond" w:hAnsi="Garamond"/>
          <w:i/>
          <w:iCs/>
        </w:rPr>
      </w:pPr>
      <w:r w:rsidRPr="009672FC">
        <w:rPr>
          <w:rFonts w:ascii="Garamond" w:hAnsi="Garamond"/>
        </w:rPr>
        <w:t xml:space="preserve">Therefore, the role of the network is to adopt a structure that supports the collaborative spirits and builds on the synergy of diverse resources. The network-based structure is such </w:t>
      </w:r>
      <w:r w:rsidR="002E3C69" w:rsidRPr="009672FC">
        <w:rPr>
          <w:rFonts w:ascii="Garamond" w:hAnsi="Garamond"/>
        </w:rPr>
        <w:t xml:space="preserve">a </w:t>
      </w:r>
      <w:r w:rsidRPr="009672FC">
        <w:rPr>
          <w:rFonts w:ascii="Garamond" w:hAnsi="Garamond"/>
        </w:rPr>
        <w:t>system, providing the basis for inter-firm coordination and reference.</w:t>
      </w:r>
      <w:bookmarkStart w:id="118" w:name="_Hlk68309737"/>
    </w:p>
    <w:p w14:paraId="4B073AB1" w14:textId="77777777" w:rsidR="002663FA" w:rsidRPr="009672FC" w:rsidRDefault="007549AA" w:rsidP="00890FB2">
      <w:pPr>
        <w:spacing w:before="240" w:line="360" w:lineRule="auto"/>
        <w:jc w:val="both"/>
        <w:rPr>
          <w:rFonts w:ascii="Garamond" w:hAnsi="Garamond"/>
        </w:rPr>
      </w:pPr>
      <w:r w:rsidRPr="009672FC">
        <w:rPr>
          <w:rFonts w:ascii="Garamond" w:hAnsi="Garamond"/>
          <w:i/>
          <w:iCs/>
        </w:rPr>
        <w:t>Institutional arrangements</w:t>
      </w:r>
      <w:bookmarkEnd w:id="118"/>
      <w:r w:rsidRPr="009672FC">
        <w:rPr>
          <w:rFonts w:ascii="Garamond" w:hAnsi="Garamond"/>
          <w:i/>
          <w:iCs/>
        </w:rPr>
        <w:t xml:space="preserve">.  </w:t>
      </w:r>
      <w:r w:rsidR="002E3C69" w:rsidRPr="009672FC">
        <w:rPr>
          <w:rFonts w:ascii="Garamond" w:hAnsi="Garamond"/>
        </w:rPr>
        <w:t>An i</w:t>
      </w:r>
      <w:r w:rsidRPr="009672FC">
        <w:rPr>
          <w:rFonts w:ascii="Garamond" w:hAnsi="Garamond"/>
        </w:rPr>
        <w:t>nter-organizational relationship is not free from the tendency of member</w:t>
      </w:r>
      <w:r w:rsidR="002E3C69" w:rsidRPr="009672FC">
        <w:rPr>
          <w:rFonts w:ascii="Garamond" w:hAnsi="Garamond"/>
        </w:rPr>
        <w:t>s’</w:t>
      </w:r>
      <w:r w:rsidRPr="009672FC">
        <w:rPr>
          <w:rFonts w:ascii="Garamond" w:hAnsi="Garamond"/>
        </w:rPr>
        <w:t xml:space="preserve"> opportunistic behavio</w:t>
      </w:r>
      <w:r w:rsidR="002E3C69" w:rsidRPr="009672FC">
        <w:rPr>
          <w:rFonts w:ascii="Garamond" w:hAnsi="Garamond"/>
        </w:rPr>
        <w:t>u</w:t>
      </w:r>
      <w:r w:rsidRPr="009672FC">
        <w:rPr>
          <w:rFonts w:ascii="Garamond" w:hAnsi="Garamond"/>
        </w:rPr>
        <w:t xml:space="preserve">r. While frequent interaction, trust, and strong governance </w:t>
      </w:r>
      <w:r w:rsidRPr="009672FC">
        <w:rPr>
          <w:rFonts w:ascii="Garamond" w:hAnsi="Garamond"/>
        </w:rPr>
        <w:lastRenderedPageBreak/>
        <w:t>mechanism</w:t>
      </w:r>
      <w:r w:rsidR="002E3C69" w:rsidRPr="009672FC">
        <w:rPr>
          <w:rFonts w:ascii="Garamond" w:hAnsi="Garamond"/>
        </w:rPr>
        <w:t>s</w:t>
      </w:r>
      <w:r w:rsidRPr="009672FC">
        <w:rPr>
          <w:rFonts w:ascii="Garamond" w:hAnsi="Garamond"/>
        </w:rPr>
        <w:t xml:space="preserve"> help to address this menace, the challenge, however, is the design of regulatory as well as the supervisory framework aimed to ensure conformism and pro-social </w:t>
      </w:r>
      <w:proofErr w:type="spellStart"/>
      <w:r w:rsidRPr="009672FC">
        <w:rPr>
          <w:rFonts w:ascii="Garamond" w:hAnsi="Garamond"/>
        </w:rPr>
        <w:t>behavio</w:t>
      </w:r>
      <w:r w:rsidR="002E3C69" w:rsidRPr="009672FC">
        <w:rPr>
          <w:rFonts w:ascii="Garamond" w:hAnsi="Garamond"/>
        </w:rPr>
        <w:t>u</w:t>
      </w:r>
      <w:r w:rsidRPr="009672FC">
        <w:rPr>
          <w:rFonts w:ascii="Garamond" w:hAnsi="Garamond"/>
        </w:rPr>
        <w:t>rs</w:t>
      </w:r>
      <w:proofErr w:type="spellEnd"/>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et al.,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et al., 2015)</w:t>
      </w:r>
      <w:r w:rsidRPr="009672FC">
        <w:rPr>
          <w:rFonts w:ascii="Garamond" w:hAnsi="Garamond"/>
        </w:rPr>
        <w:fldChar w:fldCharType="end"/>
      </w:r>
      <w:r w:rsidRPr="009672FC">
        <w:rPr>
          <w:rFonts w:ascii="Garamond" w:hAnsi="Garamond"/>
        </w:rPr>
        <w:t xml:space="preserve">. Although bigger firms tend to influence smaller companies, however, the role of the network leader in the clarification of the network contract ensures “regulatory discipline, application of strict rules of the network contract, and management entrepreneurial ethics”, as mentioned by the network manager. The governance and control mechanism shape the value creation process in </w:t>
      </w:r>
      <w:r w:rsidR="002E3C69" w:rsidRPr="009672FC">
        <w:rPr>
          <w:rFonts w:ascii="Garamond" w:hAnsi="Garamond"/>
        </w:rPr>
        <w:t xml:space="preserve">an </w:t>
      </w:r>
      <w:r w:rsidRPr="009672FC">
        <w:rPr>
          <w:rFonts w:ascii="Garamond" w:hAnsi="Garamond"/>
        </w:rPr>
        <w:t xml:space="preserve">inter-firm project, determine who does what, and how </w:t>
      </w:r>
      <w:r w:rsidRPr="009672FC">
        <w:rPr>
          <w:rFonts w:ascii="Garamond" w:hAnsi="Garamond"/>
        </w:rPr>
        <w:fldChar w:fldCharType="begin" w:fldLock="1"/>
      </w:r>
      <w:r w:rsidRPr="009672FC">
        <w:rPr>
          <w:rFonts w:ascii="Garamond" w:hAnsi="Garamond"/>
        </w:rPr>
        <w:instrText>ADDIN CSL_CITATION {"citationItems":[{"id":"ITEM-1","itemData":{"DOI":"10.1016/j.jbusres.2016.01.004","ISSN":"01482963","abstract":"Managers and researchers discuss the high potentials of business model innovation (BMI) that may bank upon alliances' value creation potentials. Yet, which circumstances allow best capture value from BMI? This paper's study investigates how firm size and age, the firm's alliance experience, and the alliance duration influence value capture from BMI. BMI has a positive effect on return on equity (ROE), even stronger for firms with greater alliance experience. Besides hypotheses testing, the study delivers insights about configurations of BMI, ROE, firm size and age as well as the firm's previous alliance experience and the alliance duration. FsQCA shows configurations to low, medium, and high ROE.","author":[{"dropping-particle":"","family":"Bouncken","given":"Ricarda B.","non-dropping-particle":"","parse-names":false,"suffix":""},{"dropping-particle":"","family":"Fredrich","given":"Viktor","non-dropping-particle":"","parse-names":false,"suffix":""}],"container-title":"Journal of Business Research","id":"ITEM-1","issue":"9","issued":{"date-parts":[["2016"]]},"page":"3584-3590","publisher":"Elsevier Inc.","title":"Business model innovation in alliances: Successful configurations","type":"article-journal","volume":"69"},"uris":["http://www.mendeley.com/documents/?uuid=ac20ffa8-4c12-4776-b307-39d94bfa2e49"]}],"mendeley":{"formattedCitation":"(Bouncken &amp; Fredrich, 2016)","plainTextFormattedCitation":"(Bouncken &amp; Fredrich, 2016)","previouslyFormattedCitation":"(Bouncken &amp; Fredrich,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(Bouncken &amp; Fredrich, 2016)</w:t>
      </w:r>
      <w:r w:rsidRPr="009672FC">
        <w:rPr>
          <w:rFonts w:ascii="Garamond" w:hAnsi="Garamond"/>
        </w:rPr>
        <w:fldChar w:fldCharType="end"/>
      </w:r>
      <w:r w:rsidRPr="009672FC">
        <w:rPr>
          <w:rFonts w:ascii="Garamond" w:hAnsi="Garamond"/>
        </w:rPr>
        <w:t xml:space="preserve">. </w:t>
      </w:r>
      <w:r w:rsidR="00D544D0" w:rsidRPr="009672FC">
        <w:rPr>
          <w:rFonts w:ascii="Garamond" w:hAnsi="Garamond"/>
        </w:rPr>
        <w:t>Other s</w:t>
      </w:r>
      <w:r w:rsidRPr="009672FC">
        <w:rPr>
          <w:rFonts w:ascii="Garamond" w:hAnsi="Garamond"/>
        </w:rPr>
        <w:t xml:space="preserve">tudies </w:t>
      </w:r>
      <w:r w:rsidR="00D544D0" w:rsidRPr="009672FC">
        <w:rPr>
          <w:rFonts w:ascii="Garamond" w:hAnsi="Garamond"/>
        </w:rPr>
        <w:t>argue that</w:t>
      </w:r>
      <w:r w:rsidRPr="009672FC">
        <w:rPr>
          <w:rFonts w:ascii="Garamond" w:hAnsi="Garamond"/>
        </w:rPr>
        <w:t xml:space="preserve"> such controls in inter-firm coopetition minimize partners’ opportunistic behavio</w:t>
      </w:r>
      <w:r w:rsidR="002E3C69" w:rsidRPr="009672FC">
        <w:rPr>
          <w:rFonts w:ascii="Garamond" w:hAnsi="Garamond"/>
        </w:rPr>
        <w:t>u</w:t>
      </w:r>
      <w:r w:rsidRPr="009672FC">
        <w:rPr>
          <w:rFonts w:ascii="Garamond" w:hAnsi="Garamond"/>
        </w:rPr>
        <w:t xml:space="preserve">r, and these were observed in the data. In fact, according to the network manager, the Sparrow network adopts a non-compromising rule: </w:t>
      </w:r>
    </w:p>
    <w:p w14:paraId="0DB46C27" w14:textId="77777777" w:rsidR="002663FA" w:rsidRPr="009672FC" w:rsidRDefault="00D544D0" w:rsidP="002663FA">
      <w:pPr>
        <w:tabs>
          <w:tab w:val="left" w:pos="8640"/>
        </w:tabs>
        <w:spacing w:before="240" w:line="360" w:lineRule="auto"/>
        <w:ind w:left="720" w:right="360"/>
        <w:jc w:val="both"/>
        <w:rPr>
          <w:rFonts w:ascii="Garamond" w:hAnsi="Garamond"/>
          <w:i/>
          <w:iCs/>
        </w:rPr>
      </w:pPr>
      <w:r w:rsidRPr="009672FC">
        <w:rPr>
          <w:rFonts w:ascii="Garamond" w:hAnsi="Garamond"/>
        </w:rPr>
        <w:t>“</w:t>
      </w:r>
      <w:r w:rsidR="007549AA" w:rsidRPr="009672FC">
        <w:rPr>
          <w:rFonts w:ascii="Garamond" w:hAnsi="Garamond"/>
          <w:i/>
          <w:iCs/>
        </w:rPr>
        <w:t xml:space="preserve">[…] when </w:t>
      </w:r>
      <w:r w:rsidRPr="009672FC">
        <w:rPr>
          <w:rFonts w:ascii="Garamond" w:hAnsi="Garamond"/>
          <w:i/>
          <w:iCs/>
        </w:rPr>
        <w:t xml:space="preserve">a </w:t>
      </w:r>
      <w:r w:rsidR="007549AA" w:rsidRPr="009672FC">
        <w:rPr>
          <w:rFonts w:ascii="Garamond" w:hAnsi="Garamond"/>
          <w:i/>
          <w:iCs/>
        </w:rPr>
        <w:t>company behaves incorrectly, they are eliminated directly from the board of directors or [they are] automatically expel them from the network itself</w:t>
      </w:r>
      <w:proofErr w:type="gramStart"/>
      <w:r w:rsidR="007549AA" w:rsidRPr="009672FC">
        <w:rPr>
          <w:rFonts w:ascii="Garamond" w:hAnsi="Garamond"/>
          <w:i/>
          <w:iCs/>
        </w:rPr>
        <w:t>.</w:t>
      </w:r>
      <w:r w:rsidRPr="009672FC">
        <w:rPr>
          <w:rFonts w:ascii="Garamond" w:hAnsi="Garamond"/>
          <w:i/>
          <w:iCs/>
        </w:rPr>
        <w:t>”</w:t>
      </w:r>
      <w:r w:rsidR="002663FA" w:rsidRPr="009672FC">
        <w:rPr>
          <w:rFonts w:ascii="Garamond" w:hAnsi="Garamond"/>
          <w:i/>
          <w:iCs/>
        </w:rPr>
        <w:t>(</w:t>
      </w:r>
      <w:proofErr w:type="gramEnd"/>
      <w:r w:rsidR="002663FA" w:rsidRPr="009672FC">
        <w:rPr>
          <w:rFonts w:ascii="Garamond" w:hAnsi="Garamond"/>
          <w:i/>
          <w:iCs/>
        </w:rPr>
        <w:t>network manager).</w:t>
      </w:r>
    </w:p>
    <w:p w14:paraId="2E4CC2FB" w14:textId="5CFAEE04" w:rsidR="00890FB2" w:rsidRPr="009672FC" w:rsidRDefault="007549AA" w:rsidP="00890FB2">
      <w:pPr>
        <w:spacing w:before="240" w:line="360" w:lineRule="auto"/>
        <w:jc w:val="both"/>
        <w:rPr>
          <w:rFonts w:ascii="Garamond" w:hAnsi="Garamond"/>
        </w:rPr>
      </w:pPr>
      <w:r w:rsidRPr="009672FC">
        <w:rPr>
          <w:rFonts w:ascii="Garamond" w:hAnsi="Garamond"/>
          <w:i/>
          <w:iCs/>
        </w:rPr>
        <w:t xml:space="preserve"> </w:t>
      </w:r>
      <w:r w:rsidRPr="009672FC">
        <w:rPr>
          <w:rFonts w:ascii="Garamond" w:hAnsi="Garamond"/>
        </w:rPr>
        <w:t xml:space="preserve">The expulsion of a company from the network is a control mechanism aimed to avoid </w:t>
      </w:r>
      <w:r w:rsidR="002663FA" w:rsidRPr="009672FC">
        <w:rPr>
          <w:rFonts w:ascii="Garamond" w:hAnsi="Garamond"/>
        </w:rPr>
        <w:t xml:space="preserve">a </w:t>
      </w:r>
      <w:r w:rsidRPr="009672FC">
        <w:rPr>
          <w:rFonts w:ascii="Garamond" w:hAnsi="Garamond"/>
        </w:rPr>
        <w:t xml:space="preserve">firm’s free-riding, and other opportunistic behaviors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&amp; Ricciardi, 2015)</w:t>
      </w:r>
      <w:r w:rsidRPr="009672FC">
        <w:rPr>
          <w:rFonts w:ascii="Garamond" w:hAnsi="Garamond"/>
        </w:rPr>
        <w:fldChar w:fldCharType="end"/>
      </w:r>
      <w:r w:rsidRPr="009672FC">
        <w:rPr>
          <w:rFonts w:ascii="Garamond" w:hAnsi="Garamond"/>
        </w:rPr>
        <w:t xml:space="preserve">, thus creating an atmosphere of collaborative practices </w:t>
      </w:r>
      <w:r w:rsidR="002E3C69" w:rsidRPr="009672FC">
        <w:rPr>
          <w:rFonts w:ascii="Garamond" w:hAnsi="Garamond"/>
        </w:rPr>
        <w:t>for</w:t>
      </w:r>
      <w:r w:rsidRPr="009672FC">
        <w:rPr>
          <w:rFonts w:ascii="Garamond" w:hAnsi="Garamond"/>
        </w:rPr>
        <w:t xml:space="preserve"> all firms. In such case</w:t>
      </w:r>
      <w:r w:rsidR="002E3C69" w:rsidRPr="009672FC">
        <w:rPr>
          <w:rFonts w:ascii="Garamond" w:hAnsi="Garamond"/>
        </w:rPr>
        <w:t>s</w:t>
      </w:r>
      <w:r w:rsidRPr="009672FC">
        <w:rPr>
          <w:rFonts w:ascii="Garamond" w:hAnsi="Garamond"/>
        </w:rPr>
        <w:t>, competition between firms is discouraged by the network contract, where violators, such as entrepreneurs who act opportunistically, are seriously reprimanded, and in a few cases, are expelled from the Sparrow business network according to the network manager.</w:t>
      </w:r>
    </w:p>
    <w:p w14:paraId="42EA325E" w14:textId="77777777" w:rsidR="002663FA" w:rsidRPr="009672FC" w:rsidRDefault="007549AA" w:rsidP="00890FB2">
      <w:pPr>
        <w:spacing w:before="240" w:line="360" w:lineRule="auto"/>
        <w:jc w:val="both"/>
        <w:rPr>
          <w:rFonts w:ascii="Garamond" w:hAnsi="Garamond"/>
        </w:rPr>
      </w:pPr>
      <w:r w:rsidRPr="009672FC">
        <w:rPr>
          <w:rFonts w:ascii="Garamond" w:hAnsi="Garamond"/>
        </w:rPr>
        <w:t>Furthermore, Sparrow network leaders often rely on the network contract, to regulate relationship</w:t>
      </w:r>
      <w:r w:rsidR="002E3C69" w:rsidRPr="009672FC">
        <w:rPr>
          <w:rFonts w:ascii="Garamond" w:hAnsi="Garamond"/>
        </w:rPr>
        <w:t>s</w:t>
      </w:r>
      <w:r w:rsidRPr="009672FC">
        <w:rPr>
          <w:rFonts w:ascii="Garamond" w:hAnsi="Garamond"/>
        </w:rPr>
        <w:t xml:space="preserve">, and ensure an internal structure that supports collaborative practices between firms. For that reason, the network leaders have the following supervisory roles: </w:t>
      </w:r>
    </w:p>
    <w:p w14:paraId="119B2D1D" w14:textId="25330A5C" w:rsidR="003D5DE8" w:rsidRPr="009672FC" w:rsidRDefault="002663FA" w:rsidP="002663FA">
      <w:pPr>
        <w:spacing w:before="240" w:line="360" w:lineRule="auto"/>
        <w:ind w:left="720" w:right="360"/>
        <w:jc w:val="both"/>
        <w:rPr>
          <w:rFonts w:ascii="Garamond" w:hAnsi="Garamond"/>
          <w:i/>
          <w:iCs/>
        </w:rPr>
      </w:pPr>
      <w:r w:rsidRPr="009672FC">
        <w:rPr>
          <w:rFonts w:ascii="Garamond" w:hAnsi="Garamond"/>
        </w:rPr>
        <w:t>“</w:t>
      </w:r>
      <w:r w:rsidR="007549AA" w:rsidRPr="009672FC">
        <w:rPr>
          <w:rFonts w:ascii="Garamond" w:hAnsi="Garamond"/>
          <w:i/>
          <w:iCs/>
        </w:rPr>
        <w:t>To ensure the rules are respected and agreements are supervised, precisely because the network manager, bears the leadership that triggers a mechanism whereby companies place their trust in this internal figure”</w:t>
      </w:r>
      <w:r w:rsidR="007549AA" w:rsidRPr="009672FC">
        <w:rPr>
          <w:rFonts w:ascii="Garamond" w:hAnsi="Garamond"/>
        </w:rPr>
        <w:t xml:space="preserve"> (network manager).</w:t>
      </w:r>
      <w:bookmarkStart w:id="119" w:name="_Hlk68309760"/>
    </w:p>
    <w:p w14:paraId="091E6012" w14:textId="77777777" w:rsidR="003D5DE8" w:rsidRPr="009672FC" w:rsidRDefault="007549AA" w:rsidP="00890FB2">
      <w:pPr>
        <w:pStyle w:val="Title"/>
        <w:numPr>
          <w:ilvl w:val="2"/>
          <w:numId w:val="9"/>
        </w:numPr>
        <w:spacing w:before="240" w:line="360" w:lineRule="auto"/>
        <w:jc w:val="both"/>
        <w:outlineLvl w:val="2"/>
        <w:rPr>
          <w:rFonts w:ascii="Garamond" w:hAnsi="Garamond" w:cs="Times New Roman"/>
          <w:b/>
          <w:bCs/>
          <w:i/>
          <w:iCs/>
          <w:sz w:val="24"/>
          <w:szCs w:val="24"/>
        </w:rPr>
      </w:pPr>
      <w:bookmarkStart w:id="120" w:name="_Toc85708733"/>
      <w:bookmarkStart w:id="121" w:name="_Toc85709747"/>
      <w:r w:rsidRPr="009672FC">
        <w:rPr>
          <w:rFonts w:ascii="Garamond" w:hAnsi="Garamond" w:cs="Times New Roman"/>
          <w:b/>
          <w:bCs/>
          <w:i/>
          <w:iCs/>
          <w:sz w:val="24"/>
          <w:szCs w:val="24"/>
        </w:rPr>
        <w:t xml:space="preserve">Dynamism-based </w:t>
      </w:r>
      <w:bookmarkEnd w:id="119"/>
      <w:r w:rsidRPr="009672FC">
        <w:rPr>
          <w:rFonts w:ascii="Garamond" w:hAnsi="Garamond" w:cs="Times New Roman"/>
          <w:b/>
          <w:bCs/>
          <w:i/>
          <w:iCs/>
          <w:sz w:val="24"/>
          <w:szCs w:val="24"/>
        </w:rPr>
        <w:t>solutions in Organizing Inter-firm Engagement.</w:t>
      </w:r>
      <w:bookmarkStart w:id="122" w:name="_Hlk68309789"/>
      <w:bookmarkEnd w:id="120"/>
      <w:bookmarkEnd w:id="121"/>
    </w:p>
    <w:p w14:paraId="52904A23" w14:textId="4B8AB3D7" w:rsidR="00890FB2" w:rsidRPr="009672FC" w:rsidRDefault="007549AA" w:rsidP="00890FB2">
      <w:pPr>
        <w:spacing w:line="360" w:lineRule="auto"/>
        <w:jc w:val="both"/>
        <w:rPr>
          <w:rFonts w:ascii="Garamond" w:hAnsi="Garamond"/>
        </w:rPr>
      </w:pPr>
      <w:r w:rsidRPr="009672FC">
        <w:rPr>
          <w:rFonts w:ascii="Garamond" w:hAnsi="Garamond"/>
          <w:i/>
          <w:iCs/>
        </w:rPr>
        <w:t>Monitoring and supervision</w:t>
      </w:r>
      <w:bookmarkEnd w:id="122"/>
      <w:r w:rsidRPr="009672FC">
        <w:rPr>
          <w:rFonts w:ascii="Garamond" w:hAnsi="Garamond"/>
        </w:rPr>
        <w:t xml:space="preserve">. The supervisory role of the network leader enhances the “full compliance of the approach and autonomy of the network companies, to materialize the values of the companies themselves” as mentioned by the network leader. </w:t>
      </w:r>
      <w:r w:rsidR="002663FA" w:rsidRPr="009672FC">
        <w:rPr>
          <w:rFonts w:ascii="Garamond" w:hAnsi="Garamond"/>
        </w:rPr>
        <w:t>S</w:t>
      </w:r>
      <w:r w:rsidRPr="009672FC">
        <w:rPr>
          <w:rFonts w:ascii="Garamond" w:hAnsi="Garamond"/>
        </w:rPr>
        <w:t xml:space="preserve">trong monitoring of the network </w:t>
      </w:r>
      <w:r w:rsidRPr="009672FC">
        <w:rPr>
          <w:rFonts w:ascii="Garamond" w:hAnsi="Garamond"/>
        </w:rPr>
        <w:lastRenderedPageBreak/>
        <w:t xml:space="preserve">progress signifies that the network contract is all integrated to enable actors to deliver standard quality, and in a form that represents common values and identity of the network among companies that subscribed to the network contract. For example, the certification of companies is a standard monitoring practice to ensure that firms meet local and international market requirements, thus ensuring that network companies meet the requirement of the market and clients they serve. Sparrow network practices horizontal coordination, enabling the network to monitor activities of firms, thereby promoting standard quality, used as the basis to attract new business, and swiftly design products/services to meet the demand of the market, collectively. </w:t>
      </w:r>
    </w:p>
    <w:p w14:paraId="1CF98AF1" w14:textId="77777777" w:rsidR="002663FA" w:rsidRPr="009672FC" w:rsidRDefault="007549AA" w:rsidP="00890FB2">
      <w:pPr>
        <w:spacing w:before="240" w:line="360" w:lineRule="auto"/>
        <w:jc w:val="both"/>
        <w:rPr>
          <w:rFonts w:ascii="Garamond" w:hAnsi="Garamond"/>
        </w:rPr>
      </w:pPr>
      <w:r w:rsidRPr="009672FC">
        <w:rPr>
          <w:rFonts w:ascii="Garamond" w:hAnsi="Garamond"/>
        </w:rPr>
        <w:t>The network manager’s role, is</w:t>
      </w:r>
      <w:r w:rsidR="002663FA" w:rsidRPr="009672FC">
        <w:rPr>
          <w:rFonts w:ascii="Garamond" w:hAnsi="Garamond"/>
        </w:rPr>
        <w:t>,</w:t>
      </w:r>
      <w:r w:rsidRPr="009672FC">
        <w:rPr>
          <w:rFonts w:ascii="Garamond" w:hAnsi="Garamond"/>
        </w:rPr>
        <w:t xml:space="preserve"> however, “the enforcement of the industry rules and management best practices”, said the network manager. He adds that such </w:t>
      </w:r>
      <w:r w:rsidR="002663FA" w:rsidRPr="009672FC">
        <w:rPr>
          <w:rFonts w:ascii="Garamond" w:hAnsi="Garamond"/>
        </w:rPr>
        <w:t xml:space="preserve">a </w:t>
      </w:r>
      <w:r w:rsidRPr="009672FC">
        <w:rPr>
          <w:rFonts w:ascii="Garamond" w:hAnsi="Garamond"/>
        </w:rPr>
        <w:t>supervisory role limits the delay in engagement with clients or meeting specific market requirement</w:t>
      </w:r>
      <w:r w:rsidR="002663FA" w:rsidRPr="009672FC">
        <w:rPr>
          <w:rFonts w:ascii="Garamond" w:hAnsi="Garamond"/>
        </w:rPr>
        <w:t>s</w:t>
      </w:r>
      <w:r w:rsidRPr="009672FC">
        <w:rPr>
          <w:rFonts w:ascii="Garamond" w:hAnsi="Garamond"/>
        </w:rPr>
        <w:t xml:space="preserve"> (especially the certification for </w:t>
      </w:r>
      <w:r w:rsidR="002663FA" w:rsidRPr="009672FC">
        <w:rPr>
          <w:rFonts w:ascii="Garamond" w:hAnsi="Garamond"/>
        </w:rPr>
        <w:t xml:space="preserve">the </w:t>
      </w:r>
      <w:r w:rsidRPr="009672FC">
        <w:rPr>
          <w:rFonts w:ascii="Garamond" w:hAnsi="Garamond"/>
        </w:rPr>
        <w:t xml:space="preserve">international market). </w:t>
      </w:r>
      <w:r w:rsidR="002663FA" w:rsidRPr="009672FC">
        <w:rPr>
          <w:rFonts w:ascii="Garamond" w:hAnsi="Garamond"/>
        </w:rPr>
        <w:t>T</w:t>
      </w:r>
      <w:r w:rsidRPr="009672FC">
        <w:rPr>
          <w:rFonts w:ascii="Garamond" w:hAnsi="Garamond"/>
        </w:rPr>
        <w:t xml:space="preserve">he network manager echoed the basic functions of the network strategic agility is to ensure high flexibility, systematic attitude, and effective (two-way) communication. By these efforts, </w:t>
      </w:r>
      <w:r w:rsidR="002663FA" w:rsidRPr="009672FC">
        <w:rPr>
          <w:rFonts w:ascii="Garamond" w:hAnsi="Garamond"/>
        </w:rPr>
        <w:t xml:space="preserve">the </w:t>
      </w:r>
      <w:r w:rsidRPr="009672FC">
        <w:rPr>
          <w:rFonts w:ascii="Garamond" w:hAnsi="Garamond"/>
        </w:rPr>
        <w:t xml:space="preserve">Sparrow network could help address “stakeholders’ concerns and resistance” and help to deploy, on a timely basis, engagement strategies in a seamless fashion. In that way, companies are being coached and motivated to adopt institutional requirements of the network, creating a unity of direction and action. For example, the network manager suggests that: </w:t>
      </w:r>
    </w:p>
    <w:p w14:paraId="37A433C6" w14:textId="4EB5F95C" w:rsidR="00890FB2" w:rsidRPr="009672FC" w:rsidRDefault="002663FA" w:rsidP="002663FA">
      <w:pPr>
        <w:spacing w:before="240" w:line="360" w:lineRule="auto"/>
        <w:ind w:left="720" w:right="360"/>
        <w:jc w:val="both"/>
        <w:rPr>
          <w:rFonts w:ascii="Garamond" w:hAnsi="Garamond"/>
        </w:rPr>
      </w:pPr>
      <w:r w:rsidRPr="009672FC">
        <w:rPr>
          <w:rFonts w:ascii="Garamond" w:hAnsi="Garamond"/>
        </w:rPr>
        <w:t>“</w:t>
      </w:r>
      <w:r w:rsidR="007549AA" w:rsidRPr="009672FC">
        <w:rPr>
          <w:rFonts w:ascii="Garamond" w:hAnsi="Garamond"/>
          <w:i/>
          <w:iCs/>
        </w:rPr>
        <w:t>When product samples or pricelists are requested, if a company does not have a photograph of its product yet, we coach them to produce it, to promote it in a co-marketing catalog</w:t>
      </w:r>
      <w:r w:rsidRPr="009672FC">
        <w:rPr>
          <w:rFonts w:ascii="Garamond" w:hAnsi="Garamond"/>
          <w:i/>
          <w:iCs/>
        </w:rPr>
        <w:t>ue</w:t>
      </w:r>
      <w:r w:rsidR="007549AA" w:rsidRPr="009672FC">
        <w:rPr>
          <w:rFonts w:ascii="Garamond" w:hAnsi="Garamond"/>
          <w:i/>
          <w:iCs/>
        </w:rPr>
        <w:t xml:space="preserve">. On a company that does not have a photo of its products, we assist that a photo taken in </w:t>
      </w:r>
      <w:r w:rsidRPr="009672FC">
        <w:rPr>
          <w:rFonts w:ascii="Garamond" w:hAnsi="Garamond"/>
          <w:i/>
          <w:iCs/>
        </w:rPr>
        <w:t xml:space="preserve">an </w:t>
      </w:r>
      <w:r w:rsidR="007549AA" w:rsidRPr="009672FC">
        <w:rPr>
          <w:rFonts w:ascii="Garamond" w:hAnsi="Garamond"/>
          <w:i/>
          <w:iCs/>
        </w:rPr>
        <w:t>artisanal way that is presentable in a catalog</w:t>
      </w:r>
      <w:r w:rsidRPr="009672FC">
        <w:rPr>
          <w:rFonts w:ascii="Garamond" w:hAnsi="Garamond"/>
          <w:i/>
          <w:iCs/>
        </w:rPr>
        <w:t>ue</w:t>
      </w:r>
      <w:r w:rsidR="007549AA" w:rsidRPr="009672FC">
        <w:rPr>
          <w:rFonts w:ascii="Garamond" w:hAnsi="Garamond"/>
          <w:i/>
          <w:iCs/>
        </w:rPr>
        <w:t xml:space="preserve"> or on a promotional flyer.</w:t>
      </w:r>
      <w:r w:rsidRPr="009672FC">
        <w:rPr>
          <w:rFonts w:ascii="Garamond" w:hAnsi="Garamond"/>
          <w:i/>
          <w:iCs/>
        </w:rPr>
        <w:t>” (</w:t>
      </w:r>
      <w:r w:rsidR="00D55828">
        <w:rPr>
          <w:rFonts w:ascii="Garamond" w:hAnsi="Garamond"/>
          <w:i/>
          <w:iCs/>
        </w:rPr>
        <w:t>Export</w:t>
      </w:r>
      <w:r w:rsidRPr="009672FC">
        <w:rPr>
          <w:rFonts w:ascii="Garamond" w:hAnsi="Garamond"/>
          <w:i/>
          <w:iCs/>
        </w:rPr>
        <w:t xml:space="preserve"> manager).</w:t>
      </w:r>
      <w:r w:rsidR="007549AA" w:rsidRPr="009672FC">
        <w:rPr>
          <w:rFonts w:ascii="Garamond" w:hAnsi="Garamond"/>
        </w:rPr>
        <w:t xml:space="preserve"> </w:t>
      </w:r>
      <w:bookmarkStart w:id="123" w:name="_Hlk68309839"/>
    </w:p>
    <w:p w14:paraId="6A2B3BA1" w14:textId="71EAF741" w:rsidR="00677E2C" w:rsidRPr="009672FC" w:rsidRDefault="007549AA" w:rsidP="00890FB2">
      <w:pPr>
        <w:spacing w:before="240" w:line="360" w:lineRule="auto"/>
        <w:jc w:val="both"/>
        <w:rPr>
          <w:rFonts w:ascii="Garamond" w:hAnsi="Garamond"/>
        </w:rPr>
      </w:pPr>
      <w:r w:rsidRPr="009672FC">
        <w:rPr>
          <w:rFonts w:ascii="Garamond" w:hAnsi="Garamond"/>
          <w:i/>
          <w:iCs/>
        </w:rPr>
        <w:t>Flexibility in day-to-day operations</w:t>
      </w:r>
      <w:bookmarkEnd w:id="123"/>
      <w:r w:rsidRPr="009672FC">
        <w:rPr>
          <w:rFonts w:ascii="Garamond" w:hAnsi="Garamond"/>
          <w:i/>
          <w:iCs/>
        </w:rPr>
        <w:t xml:space="preserve">. </w:t>
      </w:r>
      <w:r w:rsidRPr="009672FC">
        <w:rPr>
          <w:rFonts w:ascii="Garamond" w:hAnsi="Garamond"/>
        </w:rPr>
        <w:t>The network contract, characterizes high flexibility, enabling the adaptive capabilities to search and seize opportunities more effectively (network leader). Flexibility in operation means that network leaders ensure that companies have sufficiently flexible roles and responsibilities such that network resources are efficiently and effectively use</w:t>
      </w:r>
      <w:r w:rsidR="002663FA" w:rsidRPr="009672FC">
        <w:rPr>
          <w:rFonts w:ascii="Garamond" w:hAnsi="Garamond"/>
        </w:rPr>
        <w:t>d</w:t>
      </w:r>
      <w:r w:rsidRPr="009672FC">
        <w:rPr>
          <w:rFonts w:ascii="Garamond" w:hAnsi="Garamond"/>
        </w:rPr>
        <w:t xml:space="preserve">. Further, there is evidence of high flexibility of operations in </w:t>
      </w:r>
      <w:r w:rsidR="002663FA" w:rsidRPr="009672FC">
        <w:rPr>
          <w:rFonts w:ascii="Garamond" w:hAnsi="Garamond"/>
        </w:rPr>
        <w:t xml:space="preserve">the </w:t>
      </w:r>
      <w:r w:rsidRPr="009672FC">
        <w:rPr>
          <w:rFonts w:ascii="Garamond" w:hAnsi="Garamond"/>
          <w:i/>
          <w:iCs/>
        </w:rPr>
        <w:t xml:space="preserve">Sparrow </w:t>
      </w:r>
      <w:r w:rsidRPr="009672FC">
        <w:rPr>
          <w:rFonts w:ascii="Garamond" w:hAnsi="Garamond"/>
        </w:rPr>
        <w:t xml:space="preserve">network, enabling the firms to jointly address challenges all firms face, providing a rapid response of the network to any change in the external environment. For instance, the </w:t>
      </w:r>
      <w:r w:rsidR="00D55828">
        <w:rPr>
          <w:rFonts w:ascii="Garamond" w:hAnsi="Garamond"/>
        </w:rPr>
        <w:t xml:space="preserve">president of the </w:t>
      </w:r>
      <w:r w:rsidRPr="009672FC">
        <w:rPr>
          <w:rFonts w:ascii="Garamond" w:hAnsi="Garamond"/>
        </w:rPr>
        <w:t xml:space="preserve">network noted: </w:t>
      </w:r>
    </w:p>
    <w:p w14:paraId="440A0050" w14:textId="77777777" w:rsidR="00677E2C" w:rsidRPr="009672FC" w:rsidRDefault="002663FA" w:rsidP="00677E2C">
      <w:pPr>
        <w:spacing w:before="240" w:line="360" w:lineRule="auto"/>
        <w:ind w:left="720" w:right="360"/>
        <w:jc w:val="both"/>
        <w:rPr>
          <w:rFonts w:ascii="Garamond" w:hAnsi="Garamond"/>
        </w:rPr>
      </w:pPr>
      <w:r w:rsidRPr="009672FC">
        <w:rPr>
          <w:rFonts w:ascii="Garamond" w:hAnsi="Garamond"/>
        </w:rPr>
        <w:lastRenderedPageBreak/>
        <w:t>“</w:t>
      </w:r>
      <w:r w:rsidR="007549AA" w:rsidRPr="009672FC">
        <w:rPr>
          <w:rFonts w:ascii="Garamond" w:hAnsi="Garamond"/>
          <w:i/>
          <w:iCs/>
        </w:rPr>
        <w:t>Our vision is based on a mentality of open and flexible organization, so much so that the agreements are not stipulated as rigid but can be adjusted at any time, as the situation in the environment changes</w:t>
      </w:r>
      <w:r w:rsidRPr="009672FC">
        <w:rPr>
          <w:rFonts w:ascii="Garamond" w:hAnsi="Garamond"/>
          <w:i/>
          <w:iCs/>
        </w:rPr>
        <w:t>”</w:t>
      </w:r>
      <w:r w:rsidR="007549AA" w:rsidRPr="009672FC">
        <w:rPr>
          <w:rFonts w:ascii="Garamond" w:hAnsi="Garamond"/>
          <w:i/>
          <w:iCs/>
        </w:rPr>
        <w:t>.</w:t>
      </w:r>
      <w:r w:rsidR="007549AA" w:rsidRPr="009672FC">
        <w:rPr>
          <w:rFonts w:ascii="Garamond" w:hAnsi="Garamond"/>
        </w:rPr>
        <w:t xml:space="preserve"> </w:t>
      </w:r>
    </w:p>
    <w:p w14:paraId="19535988" w14:textId="179B8355" w:rsidR="00890FB2" w:rsidRPr="009672FC" w:rsidRDefault="007549AA" w:rsidP="00890FB2">
      <w:pPr>
        <w:spacing w:before="240" w:line="360" w:lineRule="auto"/>
        <w:jc w:val="both"/>
        <w:rPr>
          <w:rFonts w:ascii="Garamond" w:hAnsi="Garamond"/>
        </w:rPr>
      </w:pPr>
      <w:r w:rsidRPr="009672FC">
        <w:rPr>
          <w:rFonts w:ascii="Garamond" w:hAnsi="Garamond"/>
        </w:rPr>
        <w:t xml:space="preserve">To achieve this, there is evidence that </w:t>
      </w:r>
      <w:r w:rsidR="002663FA" w:rsidRPr="009672FC">
        <w:rPr>
          <w:rFonts w:ascii="Garamond" w:hAnsi="Garamond"/>
        </w:rPr>
        <w:t xml:space="preserve">the </w:t>
      </w:r>
      <w:r w:rsidRPr="009672FC">
        <w:rPr>
          <w:rFonts w:ascii="Garamond" w:hAnsi="Garamond"/>
        </w:rPr>
        <w:t xml:space="preserve">Sparrow network creates a concrete vision and direction that </w:t>
      </w:r>
      <w:proofErr w:type="spellStart"/>
      <w:r w:rsidRPr="009672FC">
        <w:rPr>
          <w:rFonts w:ascii="Garamond" w:hAnsi="Garamond"/>
        </w:rPr>
        <w:t>favo</w:t>
      </w:r>
      <w:r w:rsidR="002663FA" w:rsidRPr="009672FC">
        <w:rPr>
          <w:rFonts w:ascii="Garamond" w:hAnsi="Garamond"/>
        </w:rPr>
        <w:t>u</w:t>
      </w:r>
      <w:r w:rsidRPr="009672FC">
        <w:rPr>
          <w:rFonts w:ascii="Garamond" w:hAnsi="Garamond"/>
        </w:rPr>
        <w:t>r</w:t>
      </w:r>
      <w:proofErr w:type="spellEnd"/>
      <w:r w:rsidRPr="009672FC">
        <w:rPr>
          <w:rFonts w:ascii="Garamond" w:hAnsi="Garamond"/>
        </w:rPr>
        <w:t xml:space="preserve"> flexibility to reduce unnecessary bureaucracy just like in the case of standardized forms of price list, and co-marketing templates, etc.</w:t>
      </w:r>
    </w:p>
    <w:p w14:paraId="23C3B991" w14:textId="77777777" w:rsidR="00677E2C" w:rsidRPr="009672FC" w:rsidRDefault="007549AA" w:rsidP="00890FB2">
      <w:pPr>
        <w:spacing w:before="240" w:line="360" w:lineRule="auto"/>
        <w:jc w:val="both"/>
        <w:rPr>
          <w:rFonts w:ascii="Garamond" w:hAnsi="Garamond"/>
        </w:rPr>
      </w:pPr>
      <w:r w:rsidRPr="009672FC">
        <w:rPr>
          <w:rFonts w:ascii="Garamond" w:hAnsi="Garamond"/>
          <w:i/>
          <w:iCs/>
        </w:rPr>
        <w:t xml:space="preserve">Managing change/adaptive capability. </w:t>
      </w:r>
      <w:r w:rsidRPr="009672FC">
        <w:rPr>
          <w:rFonts w:ascii="Garamond" w:hAnsi="Garamond"/>
        </w:rPr>
        <w:t xml:space="preserve">The idiosyncratic differences among entrepreneurs may cause resistance to change. Despite this, there </w:t>
      </w:r>
      <w:r w:rsidR="002663FA" w:rsidRPr="009672FC">
        <w:rPr>
          <w:rFonts w:ascii="Garamond" w:hAnsi="Garamond"/>
        </w:rPr>
        <w:t>is</w:t>
      </w:r>
      <w:r w:rsidRPr="009672FC">
        <w:rPr>
          <w:rFonts w:ascii="Garamond" w:hAnsi="Garamond"/>
        </w:rPr>
        <w:t xml:space="preserve"> evidence of high willingness to change amongst entrepreneurs in Sparrow</w:t>
      </w:r>
      <w:r w:rsidRPr="009672FC">
        <w:rPr>
          <w:rFonts w:ascii="Garamond" w:hAnsi="Garamond"/>
          <w:i/>
          <w:iCs/>
        </w:rPr>
        <w:t xml:space="preserve"> </w:t>
      </w:r>
      <w:r w:rsidRPr="009672FC">
        <w:rPr>
          <w:rFonts w:ascii="Garamond" w:hAnsi="Garamond"/>
        </w:rPr>
        <w:t xml:space="preserve">business network, as noted by the network manager: </w:t>
      </w:r>
    </w:p>
    <w:p w14:paraId="08B81565" w14:textId="77777777" w:rsidR="00677E2C" w:rsidRPr="009672FC" w:rsidRDefault="00677E2C" w:rsidP="00677E2C">
      <w:pPr>
        <w:spacing w:before="240" w:line="360" w:lineRule="auto"/>
        <w:ind w:left="720" w:right="360"/>
        <w:jc w:val="both"/>
        <w:rPr>
          <w:rFonts w:ascii="Garamond" w:hAnsi="Garamond"/>
          <w:i/>
          <w:iCs/>
        </w:rPr>
      </w:pPr>
      <w:r w:rsidRPr="009672FC">
        <w:rPr>
          <w:rFonts w:ascii="Garamond" w:hAnsi="Garamond"/>
        </w:rPr>
        <w:t>“</w:t>
      </w:r>
      <w:r w:rsidR="007549AA" w:rsidRPr="009672FC">
        <w:rPr>
          <w:rFonts w:ascii="Garamond" w:hAnsi="Garamond"/>
          <w:i/>
          <w:iCs/>
        </w:rPr>
        <w:t>There is a strong desire for change, of course, a positive change, amongst all network firms. These changes are the points of strength for the network- creating an atmosphere for continuous improvement</w:t>
      </w:r>
      <w:r w:rsidRPr="009672FC">
        <w:rPr>
          <w:rFonts w:ascii="Garamond" w:hAnsi="Garamond"/>
          <w:i/>
          <w:iCs/>
        </w:rPr>
        <w:t>”</w:t>
      </w:r>
      <w:r w:rsidR="007549AA" w:rsidRPr="009672FC">
        <w:rPr>
          <w:rFonts w:ascii="Garamond" w:hAnsi="Garamond"/>
          <w:i/>
          <w:iCs/>
        </w:rPr>
        <w:t>.</w:t>
      </w:r>
    </w:p>
    <w:p w14:paraId="479BA533" w14:textId="7534E167" w:rsidR="00890FB2" w:rsidRPr="009672FC" w:rsidRDefault="007549AA" w:rsidP="00890FB2">
      <w:pPr>
        <w:spacing w:before="240" w:line="360" w:lineRule="auto"/>
        <w:jc w:val="both"/>
        <w:rPr>
          <w:rFonts w:ascii="Garamond" w:hAnsi="Garamond"/>
        </w:rPr>
      </w:pPr>
      <w:r w:rsidRPr="009672FC">
        <w:rPr>
          <w:rFonts w:ascii="Garamond" w:hAnsi="Garamond"/>
          <w:i/>
          <w:iCs/>
        </w:rPr>
        <w:t xml:space="preserve"> </w:t>
      </w:r>
      <w:r w:rsidRPr="009672FC">
        <w:rPr>
          <w:rFonts w:ascii="Garamond" w:hAnsi="Garamond"/>
        </w:rPr>
        <w:t xml:space="preserve">Furthermore, change is inevitable, and the ability to adapt to change is fundamental to the change itself, and the network leader stressed the “longstanding bureaucracy” associated with many Italian companies that form part of the network. Such resistance to change, or slower response to environmental changes, has several negative implications: to be a follower, rather than a market leader in terms of innovation, and </w:t>
      </w:r>
      <w:r w:rsidR="002663FA" w:rsidRPr="009672FC">
        <w:rPr>
          <w:rFonts w:ascii="Garamond" w:hAnsi="Garamond"/>
        </w:rPr>
        <w:t>a</w:t>
      </w:r>
      <w:r w:rsidRPr="009672FC">
        <w:rPr>
          <w:rFonts w:ascii="Garamond" w:hAnsi="Garamond"/>
        </w:rPr>
        <w:t xml:space="preserve"> poor attitude to customer requirements, particularly in the international market.</w:t>
      </w:r>
    </w:p>
    <w:p w14:paraId="2515D71D" w14:textId="233600C6" w:rsidR="002663FA" w:rsidRPr="009672FC" w:rsidRDefault="007549AA" w:rsidP="00890FB2">
      <w:pPr>
        <w:spacing w:before="240" w:line="360" w:lineRule="auto"/>
        <w:jc w:val="both"/>
        <w:rPr>
          <w:rFonts w:ascii="Garamond" w:hAnsi="Garamond"/>
        </w:rPr>
      </w:pPr>
      <w:r w:rsidRPr="009672FC">
        <w:rPr>
          <w:rFonts w:ascii="Garamond" w:hAnsi="Garamond"/>
          <w:i/>
          <w:iCs/>
        </w:rPr>
        <w:t>Transparency</w:t>
      </w:r>
      <w:r w:rsidRPr="009672FC">
        <w:rPr>
          <w:rFonts w:ascii="Garamond" w:hAnsi="Garamond"/>
        </w:rPr>
        <w:t xml:space="preserve">. Communication is an integral part of governance for inter-firm engagement, enabling interaction, and promoting openness, as were observed in </w:t>
      </w:r>
      <w:r w:rsidR="002663FA" w:rsidRPr="009672FC">
        <w:rPr>
          <w:rFonts w:ascii="Garamond" w:hAnsi="Garamond"/>
        </w:rPr>
        <w:t xml:space="preserve">the </w:t>
      </w:r>
      <w:r w:rsidRPr="009672FC">
        <w:rPr>
          <w:rFonts w:ascii="Garamond" w:hAnsi="Garamond"/>
        </w:rPr>
        <w:t>Sparrow</w:t>
      </w:r>
      <w:r w:rsidRPr="009672FC">
        <w:rPr>
          <w:rFonts w:ascii="Garamond" w:hAnsi="Garamond"/>
          <w:i/>
          <w:iCs/>
        </w:rPr>
        <w:t xml:space="preserve"> </w:t>
      </w:r>
      <w:r w:rsidRPr="009672FC">
        <w:rPr>
          <w:rFonts w:ascii="Garamond" w:hAnsi="Garamond"/>
        </w:rPr>
        <w:t xml:space="preserve">business network. </w:t>
      </w:r>
      <w:r w:rsidR="002663FA" w:rsidRPr="009672FC">
        <w:rPr>
          <w:rFonts w:ascii="Garamond" w:hAnsi="Garamond"/>
        </w:rPr>
        <w:t>Network-actor engagement is frequ</w:t>
      </w:r>
      <w:r w:rsidRPr="009672FC">
        <w:rPr>
          <w:rFonts w:ascii="Garamond" w:hAnsi="Garamond"/>
        </w:rPr>
        <w:t xml:space="preserve">ent through </w:t>
      </w:r>
      <w:r w:rsidR="002663FA" w:rsidRPr="009672FC">
        <w:rPr>
          <w:rFonts w:ascii="Garamond" w:hAnsi="Garamond"/>
        </w:rPr>
        <w:t xml:space="preserve">a </w:t>
      </w:r>
      <w:r w:rsidRPr="009672FC">
        <w:rPr>
          <w:rFonts w:ascii="Garamond" w:hAnsi="Garamond"/>
        </w:rPr>
        <w:t>frequent monthly newsletter and routine emails</w:t>
      </w:r>
      <w:r w:rsidR="002663FA" w:rsidRPr="009672FC">
        <w:rPr>
          <w:rFonts w:ascii="Garamond" w:hAnsi="Garamond"/>
        </w:rPr>
        <w:t xml:space="preserve"> </w:t>
      </w:r>
      <w:r w:rsidRPr="009672FC">
        <w:rPr>
          <w:rFonts w:ascii="Garamond" w:hAnsi="Garamond"/>
        </w:rPr>
        <w:t xml:space="preserve">concerning the network activities. By this regular communication, companies </w:t>
      </w:r>
      <w:proofErr w:type="gramStart"/>
      <w:r w:rsidRPr="009672FC">
        <w:rPr>
          <w:rFonts w:ascii="Garamond" w:hAnsi="Garamond"/>
        </w:rPr>
        <w:t xml:space="preserve">have </w:t>
      </w:r>
      <w:r w:rsidR="002663FA" w:rsidRPr="009672FC">
        <w:rPr>
          <w:rFonts w:ascii="Garamond" w:hAnsi="Garamond"/>
        </w:rPr>
        <w:t xml:space="preserve">the </w:t>
      </w:r>
      <w:r w:rsidRPr="009672FC">
        <w:rPr>
          <w:rFonts w:ascii="Garamond" w:hAnsi="Garamond"/>
        </w:rPr>
        <w:t>opportunity to</w:t>
      </w:r>
      <w:proofErr w:type="gramEnd"/>
      <w:r w:rsidRPr="009672FC">
        <w:rPr>
          <w:rFonts w:ascii="Garamond" w:hAnsi="Garamond"/>
        </w:rPr>
        <w:t xml:space="preserve"> issue “feedback concerning network activities (such as fares, bidding requests, etc.) promoting an open-access network architecture” as mentioned by the network leader. Th</w:t>
      </w:r>
      <w:r w:rsidR="002663FA" w:rsidRPr="009672FC">
        <w:rPr>
          <w:rFonts w:ascii="Garamond" w:hAnsi="Garamond"/>
        </w:rPr>
        <w:t>is</w:t>
      </w:r>
      <w:r w:rsidRPr="009672FC">
        <w:rPr>
          <w:rFonts w:ascii="Garamond" w:hAnsi="Garamond"/>
        </w:rPr>
        <w:t xml:space="preserve"> feedback loop between the network and firms is </w:t>
      </w:r>
      <w:r w:rsidR="002663FA" w:rsidRPr="009672FC">
        <w:rPr>
          <w:rFonts w:ascii="Garamond" w:hAnsi="Garamond"/>
        </w:rPr>
        <w:t>an</w:t>
      </w:r>
      <w:r w:rsidRPr="009672FC">
        <w:rPr>
          <w:rFonts w:ascii="Garamond" w:hAnsi="Garamond"/>
        </w:rPr>
        <w:t xml:space="preserve"> example of “open, participatory network architecture” utilized by all stakeholders as part of their everyday decision and activities (network manager). </w:t>
      </w:r>
      <w:r w:rsidR="002663FA" w:rsidRPr="009672FC">
        <w:rPr>
          <w:rFonts w:ascii="Garamond" w:hAnsi="Garamond"/>
        </w:rPr>
        <w:t>Furthermore, one of the network members disclosed that u</w:t>
      </w:r>
      <w:r w:rsidRPr="009672FC">
        <w:rPr>
          <w:rFonts w:ascii="Garamond" w:hAnsi="Garamond"/>
        </w:rPr>
        <w:t xml:space="preserve">nder this community spirit, all actors feel </w:t>
      </w:r>
      <w:r w:rsidR="002663FA" w:rsidRPr="009672FC">
        <w:rPr>
          <w:rFonts w:ascii="Garamond" w:hAnsi="Garamond"/>
        </w:rPr>
        <w:t xml:space="preserve">an </w:t>
      </w:r>
      <w:r w:rsidRPr="009672FC">
        <w:rPr>
          <w:rFonts w:ascii="Garamond" w:hAnsi="Garamond"/>
        </w:rPr>
        <w:t xml:space="preserve">as important part of the network collaborative content for engaging them, thus fostering inclusiveness, transparency in information exchange, as he noted: </w:t>
      </w:r>
    </w:p>
    <w:p w14:paraId="38AA1A9B" w14:textId="77777777" w:rsidR="002663FA" w:rsidRPr="009672FC" w:rsidRDefault="002663FA" w:rsidP="002663FA">
      <w:pPr>
        <w:spacing w:before="240" w:line="360" w:lineRule="auto"/>
        <w:ind w:left="720" w:right="360"/>
        <w:jc w:val="both"/>
        <w:rPr>
          <w:rFonts w:ascii="Garamond" w:hAnsi="Garamond"/>
        </w:rPr>
      </w:pPr>
      <w:r w:rsidRPr="009672FC">
        <w:rPr>
          <w:rFonts w:ascii="Garamond" w:hAnsi="Garamond"/>
        </w:rPr>
        <w:lastRenderedPageBreak/>
        <w:t>“</w:t>
      </w:r>
      <w:r w:rsidR="007549AA" w:rsidRPr="009672FC">
        <w:rPr>
          <w:rFonts w:ascii="Garamond" w:hAnsi="Garamond"/>
          <w:i/>
          <w:iCs/>
        </w:rPr>
        <w:t>The network operates based on an open system of communication, thus enabling high transparency. Each company brings its interpretation to the network with the vision to address the collective challenges all firms in the network face</w:t>
      </w:r>
      <w:r w:rsidRPr="009672FC">
        <w:rPr>
          <w:rFonts w:ascii="Garamond" w:hAnsi="Garamond"/>
        </w:rPr>
        <w:t>” (Network member)</w:t>
      </w:r>
      <w:r w:rsidR="007549AA" w:rsidRPr="009672FC">
        <w:rPr>
          <w:rFonts w:ascii="Garamond" w:hAnsi="Garamond"/>
          <w:i/>
          <w:iCs/>
        </w:rPr>
        <w:t>.</w:t>
      </w:r>
      <w:r w:rsidR="007549AA" w:rsidRPr="009672FC">
        <w:rPr>
          <w:rFonts w:ascii="Garamond" w:hAnsi="Garamond"/>
        </w:rPr>
        <w:t xml:space="preserve"> </w:t>
      </w:r>
    </w:p>
    <w:p w14:paraId="4FA3B6B8" w14:textId="5C76B6A4" w:rsidR="003D5DE8" w:rsidRPr="009672FC" w:rsidRDefault="007549AA" w:rsidP="00890FB2">
      <w:pPr>
        <w:spacing w:before="240" w:line="360" w:lineRule="auto"/>
        <w:jc w:val="both"/>
        <w:rPr>
          <w:rFonts w:ascii="Garamond" w:hAnsi="Garamond"/>
        </w:rPr>
      </w:pPr>
      <w:r w:rsidRPr="009672FC">
        <w:rPr>
          <w:rFonts w:ascii="Garamond" w:hAnsi="Garamond"/>
        </w:rPr>
        <w:t xml:space="preserve">Furthermore, the manager states that such frequency in communication “allows us to have 360 degrees of transparency.” (network leader). </w:t>
      </w:r>
      <w:r w:rsidR="002663FA" w:rsidRPr="009672FC">
        <w:rPr>
          <w:rFonts w:ascii="Garamond" w:hAnsi="Garamond"/>
        </w:rPr>
        <w:t>The f</w:t>
      </w:r>
      <w:r w:rsidRPr="009672FC">
        <w:rPr>
          <w:rFonts w:ascii="Garamond" w:hAnsi="Garamond"/>
        </w:rPr>
        <w:t xml:space="preserve">eedback system is an essential part of effective communication. The interactive face-to-face meeting of entrepreneurs allows each entrepreneur the obligation to contribute to the network project, making their opinions </w:t>
      </w:r>
      <w:r w:rsidR="002663FA" w:rsidRPr="009672FC">
        <w:rPr>
          <w:rFonts w:ascii="Garamond" w:hAnsi="Garamond"/>
        </w:rPr>
        <w:t xml:space="preserve">an </w:t>
      </w:r>
      <w:r w:rsidRPr="009672FC">
        <w:rPr>
          <w:rFonts w:ascii="Garamond" w:hAnsi="Garamond"/>
        </w:rPr>
        <w:t>essential part of the network decision making.</w:t>
      </w:r>
    </w:p>
    <w:p w14:paraId="56A58570" w14:textId="76D7B39E" w:rsidR="003D5DE8" w:rsidRPr="009672FC" w:rsidRDefault="007549AA">
      <w:pPr>
        <w:pStyle w:val="MDPI51figurecaption"/>
        <w:numPr>
          <w:ilvl w:val="1"/>
          <w:numId w:val="9"/>
        </w:numPr>
        <w:spacing w:line="360" w:lineRule="auto"/>
        <w:jc w:val="both"/>
        <w:outlineLvl w:val="1"/>
        <w:rPr>
          <w:rFonts w:ascii="Garamond" w:hAnsi="Garamond"/>
          <w:b/>
          <w:sz w:val="28"/>
          <w:szCs w:val="28"/>
        </w:rPr>
      </w:pPr>
      <w:r w:rsidRPr="009672FC">
        <w:rPr>
          <w:rFonts w:ascii="Garamond" w:hAnsi="Garamond"/>
          <w:b/>
          <w:sz w:val="28"/>
          <w:szCs w:val="28"/>
        </w:rPr>
        <w:t xml:space="preserve"> </w:t>
      </w:r>
      <w:bookmarkStart w:id="124" w:name="_Toc85617737"/>
      <w:bookmarkStart w:id="125" w:name="_Toc85708734"/>
      <w:bookmarkStart w:id="126" w:name="_Toc85709748"/>
      <w:r w:rsidRPr="009672FC">
        <w:rPr>
          <w:rFonts w:ascii="Garamond" w:hAnsi="Garamond"/>
          <w:b/>
          <w:sz w:val="28"/>
          <w:szCs w:val="28"/>
        </w:rPr>
        <w:t>Discussions</w:t>
      </w:r>
      <w:bookmarkEnd w:id="124"/>
      <w:bookmarkEnd w:id="125"/>
      <w:bookmarkEnd w:id="126"/>
    </w:p>
    <w:p w14:paraId="26FD01C4" w14:textId="7196A365" w:rsidR="003D5DE8" w:rsidRPr="009672FC" w:rsidRDefault="007549AA">
      <w:pPr>
        <w:pStyle w:val="Title"/>
        <w:numPr>
          <w:ilvl w:val="2"/>
          <w:numId w:val="9"/>
        </w:numPr>
        <w:spacing w:line="360" w:lineRule="auto"/>
        <w:jc w:val="both"/>
        <w:outlineLvl w:val="2"/>
        <w:rPr>
          <w:rFonts w:ascii="Garamond" w:hAnsi="Garamond" w:cs="Times New Roman"/>
          <w:b/>
          <w:bCs/>
          <w:i/>
          <w:iCs/>
          <w:sz w:val="24"/>
          <w:szCs w:val="24"/>
        </w:rPr>
      </w:pPr>
      <w:bookmarkStart w:id="127" w:name="_Toc85708735"/>
      <w:bookmarkStart w:id="128" w:name="_Toc85709749"/>
      <w:r w:rsidRPr="009672FC">
        <w:rPr>
          <w:rFonts w:ascii="Garamond" w:hAnsi="Garamond" w:cs="Times New Roman"/>
          <w:b/>
          <w:bCs/>
          <w:i/>
          <w:iCs/>
          <w:sz w:val="24"/>
          <w:szCs w:val="24"/>
        </w:rPr>
        <w:t>Organizing Solutions for Inter-firm Engagement: The Sparrow Network Case</w:t>
      </w:r>
      <w:bookmarkEnd w:id="127"/>
      <w:bookmarkEnd w:id="128"/>
      <w:r w:rsidRPr="009672FC">
        <w:rPr>
          <w:rFonts w:ascii="Garamond" w:hAnsi="Garamond" w:cs="Times New Roman"/>
          <w:b/>
          <w:bCs/>
          <w:i/>
          <w:iCs/>
          <w:sz w:val="24"/>
          <w:szCs w:val="24"/>
        </w:rPr>
        <w:t xml:space="preserve"> </w:t>
      </w:r>
    </w:p>
    <w:p w14:paraId="6894F352" w14:textId="77777777" w:rsidR="00890FB2" w:rsidRPr="009672FC" w:rsidRDefault="007549AA" w:rsidP="00890FB2">
      <w:pPr>
        <w:spacing w:line="360" w:lineRule="auto"/>
        <w:jc w:val="both"/>
        <w:rPr>
          <w:rFonts w:ascii="Garamond" w:hAnsi="Garamond"/>
        </w:rPr>
      </w:pPr>
      <w:r w:rsidRPr="009672FC">
        <w:rPr>
          <w:rFonts w:ascii="Garamond" w:hAnsi="Garamond"/>
        </w:rPr>
        <w:t xml:space="preserve">The role of Sparrow Agricultural Business Network is, chiefly, to promote, coordinate, and safeguard the activities of network companies in the production and marketing of agricultural products, and the promotion of the entire Veneto region. The network plays an important role in organizing inter-organizational engagements and projects, aimed to strengthen the development of the network and collectively, all the member firms in the region. </w:t>
      </w:r>
    </w:p>
    <w:p w14:paraId="6A087BEC" w14:textId="5824E0D1" w:rsidR="00890FB2" w:rsidRPr="009672FC" w:rsidRDefault="007549AA" w:rsidP="00890FB2">
      <w:pPr>
        <w:spacing w:before="240" w:line="360" w:lineRule="auto"/>
        <w:jc w:val="both"/>
        <w:rPr>
          <w:rFonts w:ascii="Garamond" w:hAnsi="Garamond"/>
        </w:rPr>
      </w:pPr>
      <w:r w:rsidRPr="009672FC">
        <w:rPr>
          <w:rFonts w:ascii="Garamond" w:hAnsi="Garamond"/>
        </w:rPr>
        <w:t>In the present case study, our analytical process follows a data structure (see figure 2), that visualized how different levels of coding are connected during data analysis. Three selective codes were identified, which were deduced from literature, and supported by data, that are fundamental in organizing and coordinating inter-organizational engagement within a business network context. The analysis of the data revealed twelve axial codes, that are connected to, and explained the selective codes. In</w:t>
      </w:r>
      <w:r w:rsidR="002663FA" w:rsidRPr="009672FC">
        <w:rPr>
          <w:rFonts w:ascii="Garamond" w:hAnsi="Garamond"/>
        </w:rPr>
        <w:t>-</w:t>
      </w:r>
      <w:r w:rsidRPr="009672FC">
        <w:rPr>
          <w:rFonts w:ascii="Garamond" w:hAnsi="Garamond"/>
        </w:rPr>
        <w:t xml:space="preserve">depth analysis of the data was based on how axial codes are connected to open codes that emerged and thus supported the general hypothesis of this research. </w:t>
      </w:r>
      <w:proofErr w:type="gramStart"/>
      <w:r w:rsidRPr="009672FC">
        <w:rPr>
          <w:rFonts w:ascii="Garamond" w:hAnsi="Garamond"/>
        </w:rPr>
        <w:t xml:space="preserve">Figure </w:t>
      </w:r>
      <w:r w:rsidR="002663FA" w:rsidRPr="009672FC">
        <w:rPr>
          <w:rFonts w:ascii="Garamond" w:hAnsi="Garamond"/>
        </w:rPr>
        <w:t>5</w:t>
      </w:r>
      <w:r w:rsidRPr="009672FC">
        <w:rPr>
          <w:rFonts w:ascii="Garamond" w:hAnsi="Garamond"/>
        </w:rPr>
        <w:t>,</w:t>
      </w:r>
      <w:proofErr w:type="gramEnd"/>
      <w:r w:rsidRPr="009672FC">
        <w:rPr>
          <w:rFonts w:ascii="Garamond" w:hAnsi="Garamond"/>
        </w:rPr>
        <w:t xml:space="preserve"> is </w:t>
      </w:r>
      <w:r w:rsidR="002663FA" w:rsidRPr="009672FC">
        <w:rPr>
          <w:rFonts w:ascii="Garamond" w:hAnsi="Garamond"/>
        </w:rPr>
        <w:t xml:space="preserve">an </w:t>
      </w:r>
      <w:r w:rsidRPr="009672FC">
        <w:rPr>
          <w:rFonts w:ascii="Garamond" w:hAnsi="Garamond"/>
        </w:rPr>
        <w:t>illustration of the 15 open codes, 13 axial codes and 3 selective codes, used in the analytical process of this research.</w:t>
      </w:r>
    </w:p>
    <w:p w14:paraId="7343392C" w14:textId="50D645DD" w:rsidR="00890FB2" w:rsidRPr="009672FC" w:rsidRDefault="007549AA" w:rsidP="00890FB2">
      <w:pPr>
        <w:spacing w:before="240" w:line="360" w:lineRule="auto"/>
        <w:jc w:val="both"/>
        <w:rPr>
          <w:rFonts w:ascii="Garamond" w:hAnsi="Garamond"/>
        </w:rPr>
      </w:pPr>
      <w:r w:rsidRPr="009672FC">
        <w:rPr>
          <w:rFonts w:ascii="Garamond" w:hAnsi="Garamond"/>
        </w:rPr>
        <w:t xml:space="preserve">The first selective code is the value-based solution. In a Sparrow business network, participatory culture contributes to the development of joint-decision or problem solving, through a pool of diverse opinions, financial and non-financial resources, to address the common-network challenges/or opportunities. In that sense, the integration of these diverse resources allows for </w:t>
      </w:r>
      <w:r w:rsidRPr="009672FC">
        <w:rPr>
          <w:rFonts w:ascii="Garamond" w:hAnsi="Garamond"/>
        </w:rPr>
        <w:lastRenderedPageBreak/>
        <w:t xml:space="preserve">what scholars described as homophily-interaction </w:t>
      </w:r>
      <w:r w:rsidRPr="009672FC">
        <w:rPr>
          <w:rFonts w:ascii="Garamond" w:hAnsi="Garamond"/>
        </w:rPr>
        <w:fldChar w:fldCharType="begin" w:fldLock="1"/>
      </w:r>
      <w:r w:rsidRPr="009672FC">
        <w:rPr>
          <w:rFonts w:ascii="Garamond" w:hAnsi="Garamond"/>
        </w:rPr>
        <w:instrText>ADDIN CSL_CITATION {"citationItems":[{"id":"ITEM-1","itemData":{"DOI":"10.2307/2393756","ISSN":"00018392","abstract":"This study explores how social structure affects interfirm alliance formation patterns. It proposes that the social context emerging from prior alliances and considerations of strategic interdependence influence partnership decisions between firms.p This social network facilitates new alliances by providing valuable information to firms about the specific capabilities and reliability of potential partners. The role of both direct ties between firms and their overall networks were examined with comprehensive longitudinal multi-industry data on the formation of interfirm strategic alliances between 1970 and 1989. Results are consistent with both strategic interdependence and social structural explanations of alliance formation. Support for the interaction of the two sets of factors also emerged. The implications of incorporating both sets of explanations for the formation of interorganizational ties are discussed.' The last 15 years have witnessed an unprecedented growth worldwide in the number of interfirm strategic alliances-voluntary arrangements involving durable exchange, sharing, or codevelopment of new products and technologies (Harrigan, 1986; Contractor and Lorange, 1988). There have been numerous efforts to document this growth and identify the environmental factors and firm imperatives whose confluence may have led to this dramatic proliferation of strategic alliances. As a result of this proliferation, most firms are now viewed as placed within a network of interorganizational relationships that are crucial to their","author":[{"dropping-particle":"","family":"Gulati","given":"Ranjay","non-dropping-particle":"","parse-names":false,"suffix":""}],"container-title":"Administrative Science Quarterly","id":"ITEM-1","issue":"4","issued":{"date-parts":[["1995"]]},"page":"619-652","title":"Social Structure and Alliance Formation Patterns: A Longitudinal Analysis","type":"article-journal","volume":"40"},"uris":["http://www.mendeley.com/documents/?uuid=1622c1c6-37d1-4cfc-bb48-973b0b2aa148"]}],"mendeley":{"formattedCitation":"(Ranjay Gulati, 1995)","manualFormatting":"(Gulati, 1995;","plainTextFormattedCitation":"(Ranjay Gulati, 1995)","previouslyFormattedCitation":"(Ranjay Gulati, 1995)"},"properties":{"noteIndex":0},"schema":"https://github.com/citation-style-language/schema/raw/master/csl-citation.json"}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(Gulati, 1995;</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{"citationItems":[{"id":"ITEM-1","itemData":{"DOI":"10.3390/su11215986","author":[{"dropping-particle":"","family":"Orlandi","given":"Ludovico Bullini","non-dropping-particle":"","parse-names":false,"suffix":""},{"dropping-particle":"De","family":"Martino","given":"Elena","non-dropping-particle":"","parse-names":false,"suffix":""},{"dropping-particle":"","family":"Rossignoli","given":"Cecilia","non-dropping-particle":"","parse-names":false,"suffix":""}],"container-title":"Sustainability","id":"ITEM-1","issue":"11","issued":{"date-parts":[["2019"]]},"page":"1-19","title":"Strategic Value of Agricultural Business Networks in Sustaining Common Goods","type":"article-journal"},"uris":["http://www.mendeley.com/documents/?uuid=ecf4a8f6-3bfe-4f92-b964-e7af7d37504e"]}],"mendeley":{"formattedCitation":"(Orlandi et al., 2019)","manualFormatting":" Orlandi, Martino, &amp; Rossignoli, 2019)","plainTextFormattedCitation":"(Orlandi et al., 2019)","previouslyFormattedCitation":"(Orlandi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Orlandi, Martino, &amp; Rossignoli, 2019)</w:t>
      </w:r>
      <w:r w:rsidRPr="009672FC">
        <w:rPr>
          <w:rFonts w:ascii="Garamond" w:hAnsi="Garamond"/>
        </w:rPr>
        <w:fldChar w:fldCharType="end"/>
      </w:r>
      <w:r w:rsidRPr="009672FC">
        <w:rPr>
          <w:rFonts w:ascii="Garamond" w:hAnsi="Garamond"/>
        </w:rPr>
        <w:t xml:space="preserve"> thus enabling joint sense-making and unity of purpose and action. Trust-building is central to inter-firm cooperative practice </w:t>
      </w:r>
      <w:r w:rsidRPr="009672FC">
        <w:rPr>
          <w:rFonts w:ascii="Garamond" w:hAnsi="Garamond"/>
        </w:rPr>
        <w:fldChar w:fldCharType="begin" w:fldLock="1"/>
      </w:r>
      <w:r w:rsidRPr="009672FC">
        <w:rPr>
          <w:rFonts w:ascii="Garamond" w:hAnsi="Garamond"/>
        </w:rPr>
        <w:instrText>ADDIN CSL_CITATION {"citationItems":[{"id":"ITEM-1","itemData":{"DOI":"10.3390/su11215986","author":[{"dropping-particle":"","family":"Orlandi","given":"Ludovico Bullini","non-dropping-particle":"","parse-names":false,"suffix":""},{"dropping-particle":"De","family":"Martino","given":"Elena","non-dropping-particle":"","parse-names":false,"suffix":""},{"dropping-particle":"","family":"Rossignoli","given":"Cecilia","non-dropping-particle":"","parse-names":false,"suffix":""}],"container-title":"Sustainability","id":"ITEM-1","issue":"11","issued":{"date-parts":[["2019"]]},"page":"1-19","title":"Strategic Value of Agricultural Business Networks in Sustaining Common Goods","type":"article-journal"},"uris":["http://www.mendeley.com/documents/?uuid=ecf4a8f6-3bfe-4f92-b964-e7af7d37504e"]}],"mendeley":{"formattedCitation":"(Orlandi et al., 2019)","plainTextFormattedCitation":"(Orlandi et al., 2019)","previouslyFormattedCitation":"(Orlandi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(Orlandi et al., 2019)</w:t>
      </w:r>
      <w:r w:rsidRPr="009672FC">
        <w:rPr>
          <w:rFonts w:ascii="Garamond" w:hAnsi="Garamond"/>
        </w:rPr>
        <w:fldChar w:fldCharType="end"/>
      </w:r>
      <w:r w:rsidRPr="009672FC">
        <w:rPr>
          <w:rFonts w:ascii="Garamond" w:hAnsi="Garamond"/>
        </w:rPr>
        <w:t xml:space="preserve">. It inspires actors to act with honesty, and open-mind, enabling the exchange of value-relevant information and knowledge (especially the tacit one), which are manifested in the data. </w:t>
      </w:r>
    </w:p>
    <w:p w14:paraId="70E7CE0A" w14:textId="403BD176" w:rsidR="00890FB2" w:rsidRPr="009672FC" w:rsidRDefault="007549AA" w:rsidP="00890FB2">
      <w:pPr>
        <w:spacing w:before="240" w:line="360" w:lineRule="auto"/>
        <w:jc w:val="both"/>
        <w:rPr>
          <w:rFonts w:ascii="Garamond" w:hAnsi="Garamond"/>
        </w:rPr>
      </w:pPr>
      <w:r w:rsidRPr="009672FC">
        <w:rPr>
          <w:rFonts w:ascii="Garamond" w:hAnsi="Garamond"/>
        </w:rPr>
        <w:t xml:space="preserve">Since relevant knowledge passes through more intense, collaborative social structures where trust is dormant </w:t>
      </w:r>
      <w:r w:rsidRPr="009672FC">
        <w:rPr>
          <w:rFonts w:ascii="Garamond" w:hAnsi="Garamond"/>
        </w:rPr>
        <w:fldChar w:fldCharType="begin" w:fldLock="1"/>
      </w:r>
      <w:r w:rsidRPr="009672FC">
        <w:rPr>
          <w:rFonts w:ascii="Garamond" w:hAnsi="Garamond"/>
        </w:rPr>
        <w:instrText>ADDIN CSL_CITATION {"citationItems":[{"id":"ITEM-1","itemData":{"DOI":"10.2307/2667105","ISSN":"00018392","abstract":"To assess the effects of a firm's network of relations on innovation, this paper elaborates a theoretical framework that relates three aspects of a firm's ego network - direct ties, indirect ties, and structural holes (disconnections between a firm's partners) - to the firm's subsequent innovation output. It posits that direct and indirect ties both have a positive impact on innovation but that the impact of indirect ties is moderated by the number of a firm's direct ties. Structural holes are proposed to have both positive and negative influences on subsequent innovation. Results from a longitudinal study of firms in the international chemicals industry indicate support for the predictions on direct and indirect ties, but in the interfirm collaboration network, increasing structural holes has a negative effect on innovation. Among the implications for interorganizational network theory is that the optimal structure of interfirm networks depends on the objectives of the network members.","author":[{"dropping-particle":"","family":"Ahuja","given":"Gautam","non-dropping-particle":"","parse-names":false,"suffix":""}],"container-title":"Administrative Science Quarterly","id":"ITEM-1","issue":"3","issued":{"date-parts":[["2000"]]},"page":"425-455","title":"Collaboration networks, structural holes, and innovation: A longitudinal study","type":"article-journal","volume":"45"},"uris":["http://www.mendeley.com/documents/?uuid=52e9ee22-26ab-4cd5-9c6a-6c2565561539"]}],"mendeley":{"formattedCitation":"(Ahuja, 2000)","plainTextFormattedCitation":"(Ahuja, 2000)","previouslyFormattedCitation":"(Ahuja,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(Ahuja, 2000)</w:t>
      </w:r>
      <w:r w:rsidRPr="009672FC">
        <w:rPr>
          <w:rFonts w:ascii="Garamond" w:hAnsi="Garamond"/>
        </w:rPr>
        <w:fldChar w:fldCharType="end"/>
      </w:r>
      <w:r w:rsidRPr="009672FC">
        <w:rPr>
          <w:rFonts w:ascii="Garamond" w:hAnsi="Garamond"/>
        </w:rPr>
        <w:t>, thus such practices make trust</w:t>
      </w:r>
      <w:r w:rsidR="002663FA" w:rsidRPr="009672FC">
        <w:rPr>
          <w:rFonts w:ascii="Garamond" w:hAnsi="Garamond"/>
        </w:rPr>
        <w:t>-</w:t>
      </w:r>
      <w:r w:rsidRPr="009672FC">
        <w:rPr>
          <w:rFonts w:ascii="Garamond" w:hAnsi="Garamond"/>
        </w:rPr>
        <w:t xml:space="preserve">building an essential enabler of generated knowledge for the network. </w:t>
      </w:r>
      <w:r w:rsidR="002663FA" w:rsidRPr="009672FC">
        <w:rPr>
          <w:rFonts w:ascii="Garamond" w:hAnsi="Garamond"/>
        </w:rPr>
        <w:t>T</w:t>
      </w:r>
      <w:r w:rsidRPr="009672FC">
        <w:rPr>
          <w:rFonts w:ascii="Garamond" w:hAnsi="Garamond"/>
        </w:rPr>
        <w:t>he network engage</w:t>
      </w:r>
      <w:r w:rsidR="002663FA" w:rsidRPr="009672FC">
        <w:rPr>
          <w:rFonts w:ascii="Garamond" w:hAnsi="Garamond"/>
        </w:rPr>
        <w:t>ment</w:t>
      </w:r>
      <w:r w:rsidRPr="009672FC">
        <w:rPr>
          <w:rFonts w:ascii="Garamond" w:hAnsi="Garamond"/>
        </w:rPr>
        <w:t xml:space="preserve"> i</w:t>
      </w:r>
      <w:r w:rsidR="002663FA" w:rsidRPr="009672FC">
        <w:rPr>
          <w:rFonts w:ascii="Garamond" w:hAnsi="Garamond"/>
        </w:rPr>
        <w:t>n</w:t>
      </w:r>
      <w:r w:rsidRPr="009672FC">
        <w:rPr>
          <w:rFonts w:ascii="Garamond" w:hAnsi="Garamond"/>
        </w:rPr>
        <w:t xml:space="preserve"> open</w:t>
      </w:r>
      <w:r w:rsidR="002663FA" w:rsidRPr="009672FC">
        <w:rPr>
          <w:rFonts w:ascii="Garamond" w:hAnsi="Garamond"/>
        </w:rPr>
        <w:t xml:space="preserve"> </w:t>
      </w:r>
      <w:r w:rsidRPr="009672FC">
        <w:rPr>
          <w:rFonts w:ascii="Garamond" w:hAnsi="Garamond"/>
        </w:rPr>
        <w:t xml:space="preserve">dialogue, and effective communication, which support the quality of inter-firm engagement in </w:t>
      </w:r>
      <w:r w:rsidR="002663FA" w:rsidRPr="009672FC">
        <w:rPr>
          <w:rFonts w:ascii="Garamond" w:hAnsi="Garamond"/>
        </w:rPr>
        <w:t xml:space="preserve">the </w:t>
      </w:r>
      <w:r w:rsidRPr="009672FC">
        <w:rPr>
          <w:rFonts w:ascii="Garamond" w:hAnsi="Garamond"/>
        </w:rPr>
        <w:t>Sparrow business network. When the network communicates frequently, actors feel they are considered and participation in the network activities by the firms becomes a necessity (</w:t>
      </w:r>
      <w:r w:rsidRPr="009672FC">
        <w:rPr>
          <w:rFonts w:ascii="Garamond" w:hAnsi="Garamond"/>
        </w:rPr>
        <w:fldChar w:fldCharType="begin" w:fldLock="1"/>
      </w:r>
      <w:r w:rsidR="00813D37" w:rsidRPr="009672FC">
        <w:rPr>
          <w:rFonts w:ascii="Garamond" w:hAnsi="Garamond"/>
        </w:rPr>
        <w:instrText>ADDIN CSL_CITATION {"citationItems":[{"id":"ITEM-1","itemData":{"DOI":"10.1111/caim.12221","ISSN":"14678691","abstract":"The literature suggests that increasing investments in information and communication technologies (ICTs), knowledge exchange and sharing help SMEs tackle the current global and dynamic environment. Given that much of the useful knowledge resides outside the enterprises’ boundaries, these technological tools foster the gathering of big data and information. Despite these premises, few studies have considered the role of ICTs and big data in intra- and inter-organizational ties and the consequent effects on enterprises’ innovation performance. The paper investigates whether ICTs oriented to intra-organizational (in-house research and development [R&amp;D]) and inter-organizational (open innovation) processes improve SMEs’ innovation performance. Therefore, via structural equation modelling (SEM), the study analyses a sample of 239 knowledge-intensive SMEs located in Italy. The noteworthy results are that ICTs oriented to intra- and inter-organizational innovation processes improve both these processes in generating new products and/or services. On this basis, managerial and academic implications are provided, along with avenues for further research.","author":[{"dropping-particle":"","family":"Scuotto","given":"Veronica","non-dropping-particle":"","parse-names":false,"suffix":""},{"dropping-particle":"","family":"Santoro","given":"Gabriele","non-dropping-particle":"","parse-names":false,"suffix":""},{"dropping-particle":"","family":"Bresciani","given":"Stefano","non-dropping-particle":"","parse-names":false,"suffix":""},{"dropping-particle":"","family":"Giudice","given":"Manlio","non-dropping-particle":"Del","parse-names":false,"suffix":""}],"container-title":"Creativity and Innovation Management","id":"ITEM-1","issue":"3","issued":{"date-parts":[["2017"]]},"page":"247-255","title":"Shifting intra- and inter-organizational innovation processes towards digital business: An empirical analysis of SMEs","type":"article-journal","volume":"26"},"uris":["http://www.mendeley.com/documents/?uuid=1f1ead3e-09ed-4f64-87e0-7a285580ad6a"]}],"mendeley":{"formattedCitation":"(Scuotto, Santoro, Bresciani, &amp; Del Giudice, 2017)","manualFormatting":"Scuotto, Santoro, Bresciani, &amp; Del Giudice, 2017)","plainTextFormattedCitation":"(Scuotto, Santoro, Bresciani, &amp; Del Giudice, 2017)","previouslyFormattedCitation":"(Scuotto et al.,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Scuotto, Santoro, Bresciani, &amp; Del Giudice, 2017)</w:t>
      </w:r>
      <w:r w:rsidRPr="009672FC">
        <w:rPr>
          <w:rFonts w:ascii="Garamond" w:hAnsi="Garamond"/>
        </w:rPr>
        <w:fldChar w:fldCharType="end"/>
      </w:r>
      <w:r w:rsidRPr="009672FC">
        <w:rPr>
          <w:rFonts w:ascii="Garamond" w:hAnsi="Garamond"/>
        </w:rPr>
        <w:t xml:space="preserve"> because they enjoy “mutual learning, frequent interaction, and trusting relationships” </w:t>
      </w:r>
      <w:r w:rsidRPr="009672FC">
        <w:rPr>
          <w:rFonts w:ascii="Garamond" w:hAnsi="Garamond"/>
        </w:rPr>
        <w:fldChar w:fldCharType="begin" w:fldLock="1"/>
      </w:r>
      <w:r w:rsidRPr="009672FC">
        <w:rPr>
          <w:rFonts w:ascii="Garamond" w:hAnsi="Garamond"/>
        </w:rPr>
        <w:instrText>ADDIN CSL_CITATION {"citationItems":[{"id":"ITEM-1","itemData":{"DOI":"10.1177/0001839211428131","author":[{"dropping-particle":"","family":"Davis","given":"Jason P","non-dropping-particle":"","parse-names":false,"suffix":""},{"dropping-particle":"","family":"Eisenhardt","given":"Kathleen M","non-dropping-particle":"","parse-names":false,"suffix":""}],"container-title":"Administrative Science Quarterly","id":"ITEM-1","issue":"56","issued":{"date-parts":[["2011"]]},"page":"159-201","title":"Rotating Leadership and Collaborative Innovation : Recombination Processes in Symbiotic Relationships","type":"article-journal","volume":"2"},"uris":["http://www.mendeley.com/documents/?uuid=8938c78a-f773-46b3-ab86-dae7e2c8f511"]}],"mendeley":{"formattedCitation":"(Davis &amp; Eisenhardt, 2011)","manualFormatting":"(Davis &amp; Eisenhardt, 2011, pp. 162)","plainTextFormattedCitation":"(Davis &amp; Eisenhardt, 2011)","previouslyFormattedCitation":"(Davis &amp; Eisenhardt,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(Davis &amp; Eisenhardt, 2011, pp. 162)</w:t>
      </w:r>
      <w:r w:rsidRPr="009672FC">
        <w:rPr>
          <w:rFonts w:ascii="Garamond" w:hAnsi="Garamond"/>
        </w:rPr>
        <w:fldChar w:fldCharType="end"/>
      </w:r>
      <w:r w:rsidRPr="009672FC">
        <w:rPr>
          <w:rFonts w:ascii="Garamond" w:hAnsi="Garamond"/>
        </w:rPr>
        <w:t>. Trust-building programs highlight actors’ willingness to engage in a more sustainable relationship through friendship, where network actors engage in dialogue, effective communication, and exchange of relevant knowledge and information. The Sparrow</w:t>
      </w:r>
      <w:r w:rsidRPr="009672FC">
        <w:rPr>
          <w:rFonts w:ascii="Garamond" w:hAnsi="Garamond"/>
          <w:i/>
          <w:iCs/>
        </w:rPr>
        <w:t xml:space="preserve"> </w:t>
      </w:r>
      <w:r w:rsidRPr="009672FC">
        <w:rPr>
          <w:rFonts w:ascii="Garamond" w:hAnsi="Garamond"/>
        </w:rPr>
        <w:t>network could be seen to leverage the trust, friendliness, and participatory culture, to enable access to complementary resources/ competencies beyond its internal boundary.</w:t>
      </w:r>
    </w:p>
    <w:p w14:paraId="1C11A780" w14:textId="13C405E3" w:rsidR="00890FB2" w:rsidRPr="009672FC" w:rsidRDefault="007549AA" w:rsidP="00890FB2">
      <w:pPr>
        <w:spacing w:before="240" w:line="360" w:lineRule="auto"/>
        <w:jc w:val="both"/>
        <w:rPr>
          <w:rFonts w:ascii="Garamond" w:hAnsi="Garamond"/>
        </w:rPr>
      </w:pPr>
      <w:r w:rsidRPr="009672FC">
        <w:rPr>
          <w:rFonts w:ascii="Garamond" w:hAnsi="Garamond"/>
        </w:rPr>
        <w:t>The second selective code relates to governance-based solutions. Governance choice is an essential determinant of inter-organizational relationship</w:t>
      </w:r>
      <w:r w:rsidR="002663FA" w:rsidRPr="009672FC">
        <w:rPr>
          <w:rFonts w:ascii="Garamond" w:hAnsi="Garamond"/>
        </w:rPr>
        <w:t>s</w:t>
      </w:r>
      <w:r w:rsidRPr="009672FC">
        <w:rPr>
          <w:rFonts w:ascii="Garamond" w:hAnsi="Garamond"/>
        </w:rPr>
        <w:t xml:space="preserve"> and business network performance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&amp; Ricciardi, 2015)</w:t>
      </w:r>
      <w:r w:rsidRPr="009672FC">
        <w:rPr>
          <w:rFonts w:ascii="Garamond" w:hAnsi="Garamond"/>
        </w:rPr>
        <w:fldChar w:fldCharType="end"/>
      </w:r>
      <w:r w:rsidRPr="009672FC">
        <w:rPr>
          <w:rFonts w:ascii="Garamond" w:hAnsi="Garamond"/>
        </w:rPr>
        <w:t xml:space="preserve">. Since inter-firm relationship characterizes diverse idiosyncrasies, the horizontal coordination by Sparrow network ensures the adoption of standard best practices, </w:t>
      </w:r>
      <w:r w:rsidR="002663FA" w:rsidRPr="009672FC">
        <w:rPr>
          <w:rFonts w:ascii="Garamond" w:hAnsi="Garamond"/>
        </w:rPr>
        <w:t>guiding</w:t>
      </w:r>
      <w:r w:rsidRPr="009672FC">
        <w:rPr>
          <w:rFonts w:ascii="Garamond" w:hAnsi="Garamond"/>
        </w:rPr>
        <w:t xml:space="preserve"> entrepreneurs while safeguarding actors against free-riding or opportunism. Further, </w:t>
      </w:r>
      <w:r w:rsidR="002663FA" w:rsidRPr="009672FC">
        <w:rPr>
          <w:rFonts w:ascii="Garamond" w:hAnsi="Garamond"/>
        </w:rPr>
        <w:t xml:space="preserve">the </w:t>
      </w:r>
      <w:r w:rsidRPr="009672FC">
        <w:rPr>
          <w:rFonts w:ascii="Garamond" w:hAnsi="Garamond"/>
        </w:rPr>
        <w:t>Sparrow network</w:t>
      </w:r>
      <w:r w:rsidRPr="009672FC">
        <w:rPr>
          <w:rFonts w:ascii="Garamond" w:hAnsi="Garamond"/>
          <w:i/>
          <w:iCs/>
        </w:rPr>
        <w:t xml:space="preserve"> </w:t>
      </w:r>
      <w:r w:rsidRPr="009672FC">
        <w:rPr>
          <w:rFonts w:ascii="Garamond" w:hAnsi="Garamond"/>
        </w:rPr>
        <w:t xml:space="preserve">fosters its inter-firm ties by organizing various engagement events (such as expos, meetings, information events, and other forms of socialization), which results in the development of trust, friendliness, and lessens partners’ opportunistic </w:t>
      </w:r>
      <w:proofErr w:type="spellStart"/>
      <w:r w:rsidRPr="009672FC">
        <w:rPr>
          <w:rFonts w:ascii="Garamond" w:hAnsi="Garamond"/>
        </w:rPr>
        <w:t>behaviours</w:t>
      </w:r>
      <w:proofErr w:type="spellEnd"/>
      <w:r w:rsidRPr="009672FC">
        <w:rPr>
          <w:rFonts w:ascii="Garamond" w:hAnsi="Garamond"/>
        </w:rPr>
        <w:t>.</w:t>
      </w:r>
    </w:p>
    <w:p w14:paraId="6B97D173" w14:textId="4BEB52A4" w:rsidR="00890FB2" w:rsidRPr="009672FC" w:rsidRDefault="007549AA" w:rsidP="00890FB2">
      <w:pPr>
        <w:spacing w:before="240" w:line="360" w:lineRule="auto"/>
        <w:jc w:val="both"/>
        <w:rPr>
          <w:rFonts w:ascii="Garamond" w:hAnsi="Garamond"/>
        </w:rPr>
      </w:pPr>
      <w:r w:rsidRPr="009672FC">
        <w:rPr>
          <w:rFonts w:ascii="Garamond" w:hAnsi="Garamond"/>
        </w:rPr>
        <w:t xml:space="preserve">Building on </w:t>
      </w:r>
      <w:r w:rsidR="002663FA" w:rsidRPr="009672FC">
        <w:rPr>
          <w:rFonts w:ascii="Garamond" w:hAnsi="Garamond"/>
        </w:rPr>
        <w:t xml:space="preserve">a </w:t>
      </w:r>
      <w:r w:rsidRPr="009672FC">
        <w:rPr>
          <w:rFonts w:ascii="Garamond" w:hAnsi="Garamond"/>
        </w:rPr>
        <w:t>network-based structure in the Sparrow case lessens the bureaucracy associated with most Italian companies, ensures actors’ participation, and thus creat</w:t>
      </w:r>
      <w:r w:rsidR="002663FA" w:rsidRPr="009672FC">
        <w:rPr>
          <w:rFonts w:ascii="Garamond" w:hAnsi="Garamond"/>
        </w:rPr>
        <w:t>es</w:t>
      </w:r>
      <w:r w:rsidRPr="009672FC">
        <w:rPr>
          <w:rFonts w:ascii="Garamond" w:hAnsi="Garamond"/>
        </w:rPr>
        <w:t xml:space="preserve"> an engagement atmosphere of friendship rather than rivalry. Such practices minimize the potential of actors’ appropriation </w:t>
      </w:r>
      <w:r w:rsidRPr="009672FC">
        <w:rPr>
          <w:rFonts w:ascii="Garamond" w:hAnsi="Garamond"/>
        </w:rPr>
        <w:lastRenderedPageBreak/>
        <w:t xml:space="preserve">concerns, enabling the network to harness the gains of more collaborative practices. Subscription to the network contract ensures that firms must begin to abide by the new role and identity of the network </w:t>
      </w:r>
      <w:r w:rsidRPr="009672FC">
        <w:rPr>
          <w:rFonts w:ascii="Garamond" w:hAnsi="Garamond"/>
        </w:rPr>
        <w:fldChar w:fldCharType="begin" w:fldLock="1"/>
      </w:r>
      <w:r w:rsidRPr="009672FC">
        <w:rPr>
          <w:rFonts w:ascii="Garamond" w:hAnsi="Garamond"/>
        </w:rPr>
        <w:instrText>ADDIN CSL_CITATION {"citationItems":[{"id":"ITEM-1","itemData":{"author":[{"dropping-particle":"","family":"Cantele","given":"S .","non-dropping-particle":"","parse-names":false,"suffix":""},{"dropping-particle":"","family":"Vernizzi","given":"S .","non-dropping-particle":"","parse-names":false,"suffix":""},{"dropping-particle":"","family":"Ricciardi","given":"F .","non-dropping-particle":"","parse-names":false,"suffix":""}],"container-title":"World review of Entrepreneurship","id":"ITEM-1","issued":{"date-parts":[["2016"]]},"page":"1-14","title":"The emerging wave of agility-oriented business networks in Italy: a new strategy for facing global competition The emerging wave of agility-oriented business networks in Italy : a new strategy for facing global competition.","type":"article-journal"},"uris":["http://www.mendeley.com/documents/?uuid=c436eb1c-81cb-4adc-8c04-115f8492725e"]}],"mendeley":{"formattedCitation":"(Cantele et al., 2016)","plainTextFormattedCitation":"(Cantele et al., 2016)","previouslyFormattedCitation":"(Cantele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(Cantele et al., 2016)</w:t>
      </w:r>
      <w:r w:rsidRPr="009672FC">
        <w:rPr>
          <w:rFonts w:ascii="Garamond" w:hAnsi="Garamond"/>
        </w:rPr>
        <w:fldChar w:fldCharType="end"/>
      </w:r>
      <w:r w:rsidRPr="009672FC">
        <w:rPr>
          <w:rFonts w:ascii="Garamond" w:hAnsi="Garamond"/>
        </w:rPr>
        <w:t xml:space="preserve"> which in our case, promotes an institutional context based on common values, and objectives. Such </w:t>
      </w:r>
      <w:r w:rsidR="002663FA" w:rsidRPr="009672FC">
        <w:rPr>
          <w:rFonts w:ascii="Garamond" w:hAnsi="Garamond"/>
        </w:rPr>
        <w:t xml:space="preserve">an </w:t>
      </w:r>
      <w:r w:rsidRPr="009672FC">
        <w:rPr>
          <w:rFonts w:ascii="Garamond" w:hAnsi="Garamond"/>
        </w:rPr>
        <w:t xml:space="preserve">atmosphere contributes </w:t>
      </w:r>
      <w:r w:rsidR="002663FA" w:rsidRPr="009672FC">
        <w:rPr>
          <w:rFonts w:ascii="Garamond" w:hAnsi="Garamond"/>
        </w:rPr>
        <w:t xml:space="preserve">to </w:t>
      </w:r>
      <w:r w:rsidRPr="009672FC">
        <w:rPr>
          <w:rFonts w:ascii="Garamond" w:hAnsi="Garamond"/>
        </w:rPr>
        <w:t>a more collaborative culture, and hence lessons individual differences and conflict situations in the network.</w:t>
      </w:r>
    </w:p>
    <w:p w14:paraId="7BEDDA48" w14:textId="6BB97010" w:rsidR="003D5DE8" w:rsidRPr="009672FC" w:rsidRDefault="007549AA" w:rsidP="00890FB2">
      <w:pPr>
        <w:spacing w:before="240" w:line="360" w:lineRule="auto"/>
        <w:jc w:val="both"/>
        <w:rPr>
          <w:rFonts w:ascii="Garamond" w:hAnsi="Garamond"/>
        </w:rPr>
      </w:pPr>
      <w:r w:rsidRPr="009672FC">
        <w:rPr>
          <w:rFonts w:ascii="Garamond" w:hAnsi="Garamond"/>
        </w:rPr>
        <w:t xml:space="preserve">The third selective code is the dynamism-based solution. Information flows is </w:t>
      </w:r>
      <w:r w:rsidR="002663FA" w:rsidRPr="009672FC">
        <w:rPr>
          <w:rFonts w:ascii="Garamond" w:hAnsi="Garamond"/>
        </w:rPr>
        <w:t xml:space="preserve">a </w:t>
      </w:r>
      <w:r w:rsidRPr="009672FC">
        <w:rPr>
          <w:rFonts w:ascii="Garamond" w:hAnsi="Garamond"/>
        </w:rPr>
        <w:t>key ingredient in a dynamic business relationship, just like in a Sparrow</w:t>
      </w:r>
      <w:r w:rsidRPr="009672FC">
        <w:rPr>
          <w:rFonts w:ascii="Garamond" w:hAnsi="Garamond"/>
          <w:i/>
          <w:iCs/>
        </w:rPr>
        <w:t xml:space="preserve"> </w:t>
      </w:r>
      <w:r w:rsidRPr="009672FC">
        <w:rPr>
          <w:rFonts w:ascii="Garamond" w:hAnsi="Garamond"/>
        </w:rPr>
        <w:t>network case. Previously studies have suggest</w:t>
      </w:r>
      <w:r w:rsidR="002663FA" w:rsidRPr="009672FC">
        <w:rPr>
          <w:rFonts w:ascii="Garamond" w:hAnsi="Garamond"/>
        </w:rPr>
        <w:t>ed</w:t>
      </w:r>
      <w:r w:rsidRPr="009672FC">
        <w:rPr>
          <w:rFonts w:ascii="Garamond" w:hAnsi="Garamond"/>
        </w:rPr>
        <w:t xml:space="preserve"> that timely and relevant flow of information between network actors, enable the network to quickly address emerging challenges and opportunities in the environment (se</w:t>
      </w:r>
      <w:r w:rsidRPr="009672FC">
        <w:rPr>
          <w:rFonts w:ascii="Garamond" w:hAnsi="Garamond"/>
        </w:rPr>
        <w:fldChar w:fldCharType="begin" w:fldLock="1"/>
      </w:r>
      <w:r w:rsidRPr="009672FC">
        <w:rPr>
          <w:rFonts w:ascii="Garamond" w:hAnsi="Garamond"/>
        </w:rPr>
        <w:instrText>ADDIN CSL_CITATION {"citationItems":[{"id":"ITEM-1","itemData":{"DOI":"10.1287/mnsc.40.4.429","ISSN":"0025-1909","abstract":"To solve a problem, needed information and problem-solving capabilities must be brought together. Often the information used in technical problem solving is costly to acquire, transfer, and use in a new location -- is, in our terms, \"sticky.\" In this paper we explore the impact of information stickiness on the locus of innovation-related problem solving. We find, first, that when sticky information needed by problem solvers is held at one site only, problem solving will be carried out at that locus, other things being equal. Second, when more than one locus of sticky information is called upon by problem solvers, the locus of problem solving may iterate among these sites as problem solving proceeds. When the costs of such iteration are high, then, third, problems that draw upon multiple sites of sticky information will sometimes be \"task partitioned\" into subproblems that each draw on only one such locus, and/or, fourth, investments will be made to reduce the stickiness of information at some locations. Information stickiness appears to affect a number of issues of importance to researchers and practitioners. Among these are patterns in the diffusion of information, the specialization of firms, the locus of innovation, and the nature of problems selected by problem solvers. [ABSTRACT FROM AUTHOR]","author":[{"dropping-particle":"","family":"Hippel","given":"Eric","non-dropping-particle":"von","parse-names":false,"suffix":""}],"container-title":"Management Science","id":"ITEM-1","issue":"4","issued":{"date-parts":[["1994"]]},"page":"429-439","title":"“Sticky Information” and the Locus of Problem Solving: Implications for Innovation","type":"article-journal","volume":"40"},"uris":["http://www.mendeley.com/documents/?uuid=ee865177-3364-4d97-8035-85e24c96dc87"]}],"mendeley":{"formattedCitation":"(von Hippel, 1994)","manualFormatting":"e von Hippel, 1994;","plainTextFormattedCitation":"(von Hippel, 1994)","previouslyFormattedCitation":"(von Hippel, 1994)"},"properties":{"noteIndex":0},"schema":"https://github.com/citation-style-language/schema/raw/master/csl-citation.json"}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 von Hippel, 1994;</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{"citationItems":[{"id":"ITEM-1","itemData":{"author":[{"dropping-particle":"","family":"Kogut","given":"B.","non-dropping-particle":"","parse-names":false,"suffix":""}],"id":"ITEM-1","issue":"3","issued":{"date-parts":[["2007"]]},"page":"405-425","title":"The Network as Knowledge : Generative Rules and the Emergence of Structure Bruce Kogut","type":"article-journal","volume":"21"},"uris":["http://www.mendeley.com/documents/?uuid=251b290f-d717-40d3-9453-27cb5dbe6248"]}],"mendeley":{"formattedCitation":"(B. Kogut, 2007)","manualFormatting":" Kogut, 2007)","plainTextFormattedCitation":"(B. Kogut, 2007)","previouslyFormattedCitation":"(B. Kogut, 2007)"},"properties":{"noteIndex":0},"schema":"https://github.com/citation-style-language/schema/raw/master/csl-citation.json"}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Kogut, 2007)</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respol.2010.05.003","ISSN":"0048-7333","author":[{"dropping-particle":"De","family":"Faria","given":"Pedro","non-dropping-particle":"","parse-names":false,"suffix":""},{"dropping-particle":"","family":"Lima","given":"Francisco","non-dropping-particle":"","parse-names":false,"suffix":""},{"dropping-particle":"","family":"Santos","given":"Rui","non-dropping-particle":"","parse-names":false,"suffix":""}],"container-title":"Research Policy","id":"ITEM-1","issue":"8","issued":{"date-parts":[["2010"]]},"page":"1082-1092","publisher":"Elsevier B.V.","title":"Cooperation in innovation activities : The importance of partners","type":"article-journal","volume":"39"},"uris":["http://www.mendeley.com/documents/?uuid=2596217f-41c1-464a-93bb-76b214bea07c"]}],"mendeley":{"formattedCitation":"(Faria et al., 2010)","manualFormatting":"Faria, Lima, and Santos (2010)","plainTextFormattedCitation":"(Faria et al., 2010)","previouslyFormattedCitation":"(Faria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Faria, Lima, and Santos (2010)</w:t>
      </w:r>
      <w:r w:rsidRPr="009672FC">
        <w:rPr>
          <w:rFonts w:ascii="Garamond" w:hAnsi="Garamond"/>
        </w:rPr>
        <w:fldChar w:fldCharType="end"/>
      </w:r>
      <w:r w:rsidRPr="009672FC">
        <w:rPr>
          <w:rFonts w:ascii="Garamond" w:hAnsi="Garamond"/>
        </w:rPr>
        <w:t xml:space="preserve"> discussed information flows in terms of the spillover effects among partners and non-partners of the network. The authors add that network actors must manage information flows to maximize incoming spillover from stakeholders, while at the same time control</w:t>
      </w:r>
      <w:r w:rsidR="002663FA" w:rsidRPr="009672FC">
        <w:rPr>
          <w:rFonts w:ascii="Garamond" w:hAnsi="Garamond"/>
        </w:rPr>
        <w:t>ling</w:t>
      </w:r>
      <w:r w:rsidRPr="009672FC">
        <w:rPr>
          <w:rFonts w:ascii="Garamond" w:hAnsi="Garamond"/>
        </w:rPr>
        <w:t xml:space="preserve"> against non-partners. Since such information </w:t>
      </w:r>
      <w:r w:rsidR="002663FA" w:rsidRPr="009672FC">
        <w:rPr>
          <w:rFonts w:ascii="Garamond" w:hAnsi="Garamond"/>
        </w:rPr>
        <w:t>is</w:t>
      </w:r>
      <w:r w:rsidRPr="009672FC">
        <w:rPr>
          <w:rFonts w:ascii="Garamond" w:hAnsi="Garamond"/>
        </w:rPr>
        <w:t xml:space="preserve"> often used in technical problem-solving which is thus costly to acquire, transfer, and use, and hence “sticky” </w:t>
      </w:r>
      <w:r w:rsidRPr="009672FC">
        <w:rPr>
          <w:rFonts w:ascii="Garamond" w:hAnsi="Garamond"/>
        </w:rPr>
        <w:fldChar w:fldCharType="begin" w:fldLock="1"/>
      </w:r>
      <w:r w:rsidRPr="009672FC">
        <w:rPr>
          <w:rFonts w:ascii="Garamond" w:hAnsi="Garamond"/>
        </w:rPr>
        <w:instrText>ADDIN CSL_CITATION {"citationItems":[{"id":"ITEM-1","itemData":{"DOI":"10.1287/mnsc.40.4.429","ISSN":"0025-1909","abstract":"To solve a problem, needed information and problem-solving capabilities must be brought together. Often the information used in technical problem solving is costly to acquire, transfer, and use in a new location -- is, in our terms, \"sticky.\" In this paper we explore the impact of information stickiness on the locus of innovation-related problem solving. We find, first, that when sticky information needed by problem solvers is held at one site only, problem solving will be carried out at that locus, other things being equal. Second, when more than one locus of sticky information is called upon by problem solvers, the locus of problem solving may iterate among these sites as problem solving proceeds. When the costs of such iteration are high, then, third, problems that draw upon multiple sites of sticky information will sometimes be \"task partitioned\" into subproblems that each draw on only one such locus, and/or, fourth, investments will be made to reduce the stickiness of information at some locations. Information stickiness appears to affect a number of issues of importance to researchers and practitioners. Among these are patterns in the diffusion of information, the specialization of firms, the locus of innovation, and the nature of problems selected by problem solvers. [ABSTRACT FROM AUTHOR]","author":[{"dropping-particle":"","family":"Hippel","given":"Eric","non-dropping-particle":"von","parse-names":false,"suffix":""}],"container-title":"Management Science","id":"ITEM-1","issue":"4","issued":{"date-parts":[["1994"]]},"page":"429-439","title":"“Sticky Information” and the Locus of Problem Solving: Implications for Innovation","type":"article-journal","volume":"40"},"uris":["http://www.mendeley.com/documents/?uuid=ee865177-3364-4d97-8035-85e24c96dc87"]}],"mendeley":{"formattedCitation":"(von Hippel, 1994)","plainTextFormattedCitation":"(von Hippel, 1994)","previouslyFormattedCitation":"(von Hippel, 1994)"},"properties":{"noteIndex":0},"schema":"https://github.com/citation-style-language/schema/raw/master/csl-citation.json"}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(von Hippel, 1994)</w:t>
      </w:r>
      <w:r w:rsidRPr="009672FC">
        <w:rPr>
          <w:rFonts w:ascii="Garamond" w:hAnsi="Garamond"/>
        </w:rPr>
        <w:fldChar w:fldCharType="end"/>
      </w:r>
      <w:r w:rsidRPr="009672FC">
        <w:rPr>
          <w:rFonts w:ascii="Garamond" w:hAnsi="Garamond"/>
        </w:rPr>
        <w:t>. Our case study supports this view through the promotion of multiple mechanisms for information sharing (e.g., weekly newsletters, meetings, and emails). By these practices, the network could maintain high flexibility in engaging actors in various processes of value capture and co-creation. Our study suggests that flexibility in day-to-day operation enhances the network’s adaptive capability</w:t>
      </w:r>
      <w:r w:rsidRPr="009672FC">
        <w:rPr>
          <w:rFonts w:ascii="Garamond" w:hAnsi="Garamond"/>
          <w:i/>
          <w:iCs/>
        </w:rPr>
        <w:t xml:space="preserve"> </w:t>
      </w:r>
      <w:r w:rsidRPr="009672FC">
        <w:rPr>
          <w:rFonts w:ascii="Garamond" w:hAnsi="Garamond"/>
        </w:rPr>
        <w:fldChar w:fldCharType="begin" w:fldLock="1"/>
      </w:r>
      <w:r w:rsidRPr="009672FC">
        <w:rPr>
          <w:rFonts w:ascii="Garamond" w:hAnsi="Garamond"/>
          <w:i/>
          <w:iCs/>
        </w:rPr>
        <w:instrText>ADDIN CSL_CITATION {"citationItems":[{"id":"ITEM-1","itemData":{"DOI":"10.1016/j.jbusres.2016.04.154","ISSN":"01482963","abstract":"Firm performance in turbulent business environments strongly depends on the adaptive (re)generation of the firm's business model. However, studies on the enablers of business model innovation are sparse. This study leverages the literature on dynamic capabilities, on organizational ambidexterity/vacillation, and Lewis's view of organizational paradoxes to build an integrated model of organizational dynamism that includes seven dimensions: three pairs of paradoxical constructs (cooperation–competition, exploration–exploitation, and conformity–agency) and dynamic capabilities. The study posits that these seven dimensions of organizational dynamism describe the key enablers of adaptive business model innovation (ABMI). The results of applying a fuzzy set qualitative comparative analysis (fsQCA) to 35 selected cases confirm that the paradoxical dimensions of organizational dynamism, although logically opposed, strongly intertwine in enabling the adaptive (re)generation of a firm's business model. Further, this article highlights fsQCA's suitability to test models that include paradoxical constructs.","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Research","id":"ITEM-1","issue":"11","issued":{"date-parts":[["2016"]]},"page":"5487-5493","publisher":"Elsevier Inc.","title":"Organizational dynamism and adaptive business model innovation: The triple paradox configuration","type":"article-journal","volume":"69"},"uris":["http://www.mendeley.com/documents/?uuid=8acf2015-3e04-469b-b520-98e47f048fc4"]}],"mendeley":{"formattedCitation":"(Ricciardi et al., 2016)","plainTextFormattedCitation":"(Ricciardi et al., 2016)","previouslyFormattedCitation":"(Ricciardi et al., 2016)"},"properties":{"noteIndex":0},"schema":"https://github.com/citation-style-language/schema/raw/master/csl-citation.json"}</w:instrText>
      </w:r>
      <w:r w:rsidRPr="009672FC">
        <w:rPr>
          <w:rFonts w:ascii="Garamond" w:hAnsi="Garamond"/>
          <w:i/>
          <w:iCs/>
        </w:rPr>
        <w:fldChar w:fldCharType="separate"/>
      </w:r>
      <w:r w:rsidRPr="009672FC">
        <w:rPr>
          <w:rFonts w:ascii="Garamond" w:hAnsi="Garamond"/>
          <w:iCs/>
          <w:noProof/>
        </w:rPr>
        <w:t>(Ricciardi et al., 2016)</w:t>
      </w:r>
      <w:r w:rsidRPr="009672FC">
        <w:rPr>
          <w:rFonts w:ascii="Garamond" w:hAnsi="Garamond"/>
          <w:i/>
          <w:iCs/>
        </w:rPr>
        <w:fldChar w:fldCharType="end"/>
      </w:r>
      <w:r w:rsidRPr="009672FC">
        <w:rPr>
          <w:rFonts w:ascii="Garamond" w:hAnsi="Garamond"/>
          <w:i/>
          <w:iCs/>
        </w:rPr>
        <w:t xml:space="preserve">, </w:t>
      </w:r>
      <w:r w:rsidRPr="009672FC">
        <w:rPr>
          <w:rFonts w:ascii="Garamond" w:hAnsi="Garamond"/>
        </w:rPr>
        <w:t>able to adapt to environmental changes more quickly and innovate rapidly in light of the changes in the environment. To achieve these, the network must enhance its monitoring capability, ensuring high compliance to standard practices, management ethics, and certification processes.</w:t>
      </w:r>
    </w:p>
    <w:p w14:paraId="6EDC0439" w14:textId="27CE6945" w:rsidR="003D5DE8" w:rsidRPr="009672FC" w:rsidRDefault="007549AA" w:rsidP="00890FB2">
      <w:pPr>
        <w:pStyle w:val="Title"/>
        <w:numPr>
          <w:ilvl w:val="2"/>
          <w:numId w:val="9"/>
        </w:numPr>
        <w:spacing w:before="240" w:line="360" w:lineRule="auto"/>
        <w:jc w:val="both"/>
        <w:outlineLvl w:val="2"/>
        <w:rPr>
          <w:rFonts w:ascii="Garamond" w:hAnsi="Garamond" w:cs="Times New Roman"/>
          <w:b/>
          <w:bCs/>
          <w:i/>
          <w:iCs/>
          <w:sz w:val="24"/>
          <w:szCs w:val="24"/>
        </w:rPr>
      </w:pPr>
      <w:bookmarkStart w:id="129" w:name="_Toc85708736"/>
      <w:bookmarkStart w:id="130" w:name="_Toc85709750"/>
      <w:r w:rsidRPr="009672FC">
        <w:rPr>
          <w:rFonts w:ascii="Garamond" w:hAnsi="Garamond" w:cs="Times New Roman"/>
          <w:b/>
          <w:bCs/>
          <w:i/>
          <w:iCs/>
          <w:sz w:val="24"/>
          <w:szCs w:val="24"/>
        </w:rPr>
        <w:t>The relationship between organizing solutions and the development of network relational dynamic capabilities.</w:t>
      </w:r>
      <w:bookmarkEnd w:id="129"/>
      <w:bookmarkEnd w:id="130"/>
    </w:p>
    <w:p w14:paraId="5B1FD395" w14:textId="661AF0E3" w:rsidR="00890FB2" w:rsidRPr="009672FC" w:rsidRDefault="007549AA" w:rsidP="00890FB2">
      <w:pPr>
        <w:spacing w:line="360" w:lineRule="auto"/>
        <w:jc w:val="both"/>
        <w:rPr>
          <w:rFonts w:ascii="Garamond" w:hAnsi="Garamond"/>
        </w:rPr>
      </w:pPr>
      <w:r w:rsidRPr="009672FC">
        <w:rPr>
          <w:rFonts w:ascii="Garamond" w:hAnsi="Garamond"/>
        </w:rPr>
        <w:t xml:space="preserve">The relational dynamic capabilities of the network concern its capacity to harness the distinct competencies or resources from the various inter-organizational relationships, thus enabling the network to quickly “sense and seize opportunities and reconfigure internal practices” to accommodate multi-actor interests and goals </w:t>
      </w:r>
      <w:r w:rsidRPr="009672FC">
        <w:rPr>
          <w:rFonts w:ascii="Garamond" w:hAnsi="Garamond"/>
        </w:rPr>
        <w:fldChar w:fldCharType="begin" w:fldLock="1"/>
      </w:r>
      <w:r w:rsidRPr="009672FC">
        <w:rPr>
          <w:rFonts w:ascii="Garamond" w:hAnsi="Garamond"/>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Nogatchewsky, &amp; Pezet, 2016, p.107)","plainTextFormattedCitation":"(Donada et al., 2016)","previouslyFormattedCitation":"(Donada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(Donada, Nogatchewsky, &amp; Pezet, 2016, p.107)</w:t>
      </w:r>
      <w:r w:rsidRPr="009672FC">
        <w:rPr>
          <w:rFonts w:ascii="Garamond" w:hAnsi="Garamond"/>
        </w:rPr>
        <w:fldChar w:fldCharType="end"/>
      </w:r>
      <w:r w:rsidRPr="009672FC">
        <w:rPr>
          <w:rFonts w:ascii="Garamond" w:hAnsi="Garamond"/>
        </w:rPr>
        <w:t xml:space="preserve">. Building on the relational dynamic capabilities studies, our research discusses four </w:t>
      </w:r>
      <w:r w:rsidR="00813D37" w:rsidRPr="009672FC">
        <w:rPr>
          <w:rFonts w:ascii="Garamond" w:hAnsi="Garamond"/>
        </w:rPr>
        <w:t>dimensions</w:t>
      </w:r>
      <w:r w:rsidRPr="009672FC">
        <w:rPr>
          <w:rFonts w:ascii="Garamond" w:hAnsi="Garamond"/>
        </w:rPr>
        <w:t xml:space="preserve"> of network relational dynamic capabilities, viz, learning (knowledge-sharing), coordination and </w:t>
      </w:r>
      <w:r w:rsidRPr="009672FC">
        <w:rPr>
          <w:rFonts w:ascii="Garamond" w:hAnsi="Garamond"/>
        </w:rPr>
        <w:lastRenderedPageBreak/>
        <w:t>governance control and reconfiguration of complementary resources or capabilities,</w:t>
      </w:r>
      <w:r w:rsidRPr="009672FC">
        <w:rPr>
          <w:rFonts w:ascii="Garamond" w:hAnsi="Garamond"/>
          <w:i/>
          <w:iCs/>
        </w:rPr>
        <w:t xml:space="preserve"> </w:t>
      </w:r>
      <w:r w:rsidRPr="009672FC">
        <w:rPr>
          <w:rFonts w:ascii="Garamond" w:hAnsi="Garamond"/>
        </w:rPr>
        <w:t xml:space="preserve">as heralded by prior studies </w:t>
      </w:r>
      <w:r w:rsidRPr="009672FC">
        <w:rPr>
          <w:rFonts w:ascii="Garamond" w:hAnsi="Garamond"/>
        </w:rPr>
        <w:fldChar w:fldCharType="begin" w:fldLock="1"/>
      </w:r>
      <w:r w:rsidRPr="009672FC">
        <w:rPr>
          <w:rFonts w:ascii="Garamond" w:hAnsi="Garamond"/>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1998)","manualFormatting":"(e.g., Dyer &amp; Singh, 1998;","plainTextFormattedCitation":"(Dyer &amp; Singh, 1998)","previouslyFormattedCitation":"(Dyer &amp; Singh,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(e.g., Dyer &amp; Singh, 1998;</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10.1108/13683040910961162","author":[{"dropping-particle":"","family":"Weissenberger-Eibl","given":"Marion","non-dropping-particle":"","parse-names":false,"suffix":""},{"dropping-particle":"","family":"Schwenk","given":"Johann","non-dropping-particle":"","parse-names":false,"suffix":""}],"container-title":"Emerald Group Publishing Limited, ISSN 1368-3047 j Measuring Business Excellence","id":"ITEM-1","issue":"2","issued":{"date-parts":[["2009"]]},"page":"7-16","title":"‘‘ Lifeblood knowledge ’’: dynamic relational capabilities ( DRC ) and knowledge for firm innovativeness and competitive advantage","type":"article-journal","volume":"13"},"uris":["http://www.mendeley.com/documents/?uuid=a36675b9-f338-4b57-86a0-36c1f80df3e5"]}],"mendeley":{"formattedCitation":"(Weissenberger-Eibl &amp; Schwenk, 2009)","manualFormatting":" Weissenberger-Eibl &amp; Schwenk, 2009; Donada, Nogatchewsky, &amp; Pezet, 2016)","plainTextFormattedCitation":"(Weissenberger-Eibl &amp; Schwenk, 2009)","previouslyFormattedCitation":"(Weissenberger-Eibl &amp; Schwenk,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Weissenberger-Eibl &amp; Schwenk, 2009; </w:t>
      </w:r>
      <w:r w:rsidRPr="009672FC">
        <w:rPr>
          <w:rFonts w:ascii="Garamond" w:hAnsi="Garamond"/>
          <w:noProof/>
        </w:rPr>
        <w:fldChar w:fldCharType="begin" w:fldLock="1"/>
      </w:r>
      <w:r w:rsidRPr="009672FC">
        <w:rPr>
          <w:rFonts w:ascii="Garamond" w:hAnsi="Garamond"/>
          <w:noProof/>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2016)","manualFormatting":"Donada, Nogatchewsky, &amp; Pezet, 2016)","plainTextFormattedCitation":"(Donada et al., 2016)","previouslyFormattedCitation":"(Donada et al., 2016)"},"properties":{"noteIndex":0},"schema":"https://github.com/citation-style-language/schema/raw/master/csl-citation.json"}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Donada, Nogatchewsky, &amp; Pezet, 2016)</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are briefly discussed below. </w:t>
      </w:r>
    </w:p>
    <w:p w14:paraId="4C43BAF4" w14:textId="1AAFA3EC" w:rsidR="00890FB2" w:rsidRPr="009672FC" w:rsidRDefault="007549AA" w:rsidP="00890FB2">
      <w:pPr>
        <w:spacing w:before="240" w:line="360" w:lineRule="auto"/>
        <w:jc w:val="both"/>
        <w:rPr>
          <w:rFonts w:ascii="Garamond" w:hAnsi="Garamond"/>
        </w:rPr>
      </w:pPr>
      <w:r w:rsidRPr="009672FC">
        <w:rPr>
          <w:rFonts w:ascii="Garamond" w:hAnsi="Garamond"/>
          <w:i/>
          <w:iCs/>
        </w:rPr>
        <w:t>Learning.</w:t>
      </w:r>
      <w:r w:rsidRPr="009672FC">
        <w:rPr>
          <w:rFonts w:ascii="Garamond" w:hAnsi="Garamond"/>
        </w:rPr>
        <w:t xml:space="preserve"> In the case of the current case study, </w:t>
      </w:r>
      <w:r w:rsidR="002663FA" w:rsidRPr="009672FC">
        <w:rPr>
          <w:rFonts w:ascii="Garamond" w:hAnsi="Garamond"/>
        </w:rPr>
        <w:t xml:space="preserve">the </w:t>
      </w:r>
      <w:r w:rsidRPr="009672FC">
        <w:rPr>
          <w:rFonts w:ascii="Garamond" w:hAnsi="Garamond"/>
        </w:rPr>
        <w:t>Sparrow network</w:t>
      </w:r>
      <w:r w:rsidRPr="009672FC">
        <w:rPr>
          <w:rFonts w:ascii="Garamond" w:hAnsi="Garamond"/>
          <w:i/>
          <w:iCs/>
        </w:rPr>
        <w:t xml:space="preserve"> </w:t>
      </w:r>
      <w:r w:rsidRPr="009672FC">
        <w:rPr>
          <w:rFonts w:ascii="Garamond" w:hAnsi="Garamond"/>
        </w:rPr>
        <w:t xml:space="preserve">relies on inter-organizational learning as </w:t>
      </w:r>
      <w:r w:rsidR="002663FA" w:rsidRPr="009672FC">
        <w:rPr>
          <w:rFonts w:ascii="Garamond" w:hAnsi="Garamond"/>
        </w:rPr>
        <w:t xml:space="preserve">a </w:t>
      </w:r>
      <w:r w:rsidRPr="009672FC">
        <w:rPr>
          <w:rFonts w:ascii="Garamond" w:hAnsi="Garamond"/>
        </w:rPr>
        <w:t>knowledge source, thus enabling the network to leverage resources and competencies beyond its boundaries. For example, the network learns from various entrepreneurs concerning firms’ capacity, resource position, and market experiences, thus helping it to better create and deliver value. There is evidence that the network institutes a collaborative culture that promote</w:t>
      </w:r>
      <w:r w:rsidR="002663FA" w:rsidRPr="009672FC">
        <w:rPr>
          <w:rFonts w:ascii="Garamond" w:hAnsi="Garamond"/>
        </w:rPr>
        <w:t>s</w:t>
      </w:r>
      <w:r w:rsidRPr="009672FC">
        <w:rPr>
          <w:rFonts w:ascii="Garamond" w:hAnsi="Garamond"/>
        </w:rPr>
        <w:t xml:space="preserve"> all actors to contribute to knowledge processes (knowledge creation and exchange) through regular dialogue and communication with entrepreneurs from network companies. through these processes, the network optimizes the learning through inter-firm engagement by “creating and/or modifying” the network’s knowledge</w:t>
      </w:r>
      <w:r w:rsidR="002663FA" w:rsidRPr="009672FC">
        <w:rPr>
          <w:rFonts w:ascii="Garamond" w:hAnsi="Garamond"/>
        </w:rPr>
        <w:t>-</w:t>
      </w:r>
      <w:r w:rsidRPr="009672FC">
        <w:rPr>
          <w:rFonts w:ascii="Garamond" w:hAnsi="Garamond"/>
        </w:rPr>
        <w:t>based, thus enhancing the network capability “to reduce uncertainty, minimize transaction cost, and access new markets and resources” (network manager). Under such conditions, the network must develop its absorptive capacity</w:t>
      </w:r>
      <w:r w:rsidRPr="009672FC">
        <w:rPr>
          <w:rFonts w:ascii="Garamond" w:hAnsi="Garamond"/>
          <w:i/>
          <w:iCs/>
        </w:rPr>
        <w:t xml:space="preserve"> </w:t>
      </w:r>
      <w:r w:rsidRPr="009672FC">
        <w:rPr>
          <w:rFonts w:ascii="Garamond" w:hAnsi="Garamond"/>
        </w:rPr>
        <w:t xml:space="preserve">to discern from the external knowledge, as heralded by </w:t>
      </w:r>
      <w:r w:rsidRPr="009672FC">
        <w:rPr>
          <w:rFonts w:ascii="Garamond" w:hAnsi="Garamond"/>
        </w:rPr>
        <w:fldChar w:fldCharType="begin" w:fldLock="1"/>
      </w:r>
      <w:r w:rsidRPr="009672FC">
        <w:rPr>
          <w:rFonts w:ascii="Garamond" w:hAnsi="Garamond"/>
        </w:rPr>
        <w:instrText>ADDIN CSL_CITATION {"citationItems":[{"id":"ITEM-1","itemData":{"author":[{"dropping-particle":"","family":"Cohen","given":"Wesley M","non-dropping-particle":"","parse-names":false,"suffix":""},{"dropping-particle":"","family":"Levinthal","given":"Daniel A","non-dropping-particle":"","parse-names":false,"suffix":""}],"container-title":"Administrative Science Quarterly","id":"ITEM-1","issue":"1","issued":{"date-parts":[["1990"]]},"page":"128-152","title":"Absorptive Capacity : A New Perspective on Learning and Innovation Author ( s ): Wesley M . Cohen and Daniel A . Levinthal Source : Administrative Science Quarterly , Mar ., 1990 , Vol . 35 , No . 1 , Special Issue : Technology , Organizations , and Innov","type":"article-journal","volume":"35"},"uris":["http://www.mendeley.com/documents/?uuid=5680df7f-9cf5-48d9-980a-538e03651a34"]}],"mendeley":{"formattedCitation":"(Cohen &amp; Levinthal, 1990)","manualFormatting":"Cohen and Levinthal (1990)","plainTextFormattedCitation":"(Cohen &amp; Levinthal, 1990)","previouslyFormattedCitation":"(Cohen &amp; Levinthal, 1990)"},"properties":{"noteIndex":0},"schema":"https://github.com/citation-style-language/schema/raw/master/csl-citation.json"}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Cohen and Levinthal (1990)</w:t>
      </w:r>
      <w:r w:rsidRPr="009672FC">
        <w:rPr>
          <w:rFonts w:ascii="Garamond" w:hAnsi="Garamond"/>
        </w:rPr>
        <w:fldChar w:fldCharType="end"/>
      </w:r>
      <w:r w:rsidRPr="009672FC">
        <w:rPr>
          <w:rFonts w:ascii="Garamond" w:hAnsi="Garamond"/>
        </w:rPr>
        <w:t>, through open</w:t>
      </w:r>
      <w:r w:rsidR="002663FA" w:rsidRPr="009672FC">
        <w:rPr>
          <w:rFonts w:ascii="Garamond" w:hAnsi="Garamond"/>
        </w:rPr>
        <w:t xml:space="preserve"> </w:t>
      </w:r>
      <w:r w:rsidRPr="009672FC">
        <w:rPr>
          <w:rFonts w:ascii="Garamond" w:hAnsi="Garamond"/>
        </w:rPr>
        <w:t>dialogue, and effective communication, between various knowledge actors allowing the “use of shared language and symbols across firms” over time. Such open dialogue allows the network to control against actors’ appropriation concerns, as evidence</w:t>
      </w:r>
      <w:r w:rsidR="002663FA" w:rsidRPr="009672FC">
        <w:rPr>
          <w:rFonts w:ascii="Garamond" w:hAnsi="Garamond"/>
        </w:rPr>
        <w:t>d</w:t>
      </w:r>
      <w:r w:rsidRPr="009672FC">
        <w:rPr>
          <w:rFonts w:ascii="Garamond" w:hAnsi="Garamond"/>
        </w:rPr>
        <w:t xml:space="preserve"> by the data. Further, there </w:t>
      </w:r>
      <w:r w:rsidR="002663FA" w:rsidRPr="009672FC">
        <w:rPr>
          <w:rFonts w:ascii="Garamond" w:hAnsi="Garamond"/>
        </w:rPr>
        <w:t>is</w:t>
      </w:r>
      <w:r w:rsidRPr="009672FC">
        <w:rPr>
          <w:rFonts w:ascii="Garamond" w:hAnsi="Garamond"/>
        </w:rPr>
        <w:t xml:space="preserve"> evidence in the data that the network engages companies through socialization and innovation events (expos, conferences, etc.), thus allowing the network leadership to capture diverse perspectives, experiences, and expectations.</w:t>
      </w:r>
    </w:p>
    <w:p w14:paraId="718105CB" w14:textId="3586456C" w:rsidR="00890FB2" w:rsidRPr="009672FC" w:rsidRDefault="007549AA" w:rsidP="00890FB2">
      <w:pPr>
        <w:spacing w:before="240" w:line="360" w:lineRule="auto"/>
        <w:jc w:val="both"/>
        <w:rPr>
          <w:rFonts w:ascii="Garamond" w:hAnsi="Garamond"/>
        </w:rPr>
      </w:pPr>
      <w:r w:rsidRPr="009672FC">
        <w:rPr>
          <w:rFonts w:ascii="Garamond" w:hAnsi="Garamond"/>
          <w:i/>
          <w:iCs/>
        </w:rPr>
        <w:t xml:space="preserve">Coordination and governance control. </w:t>
      </w:r>
      <w:r w:rsidRPr="009672FC">
        <w:rPr>
          <w:rFonts w:ascii="Garamond" w:hAnsi="Garamond"/>
        </w:rPr>
        <w:t xml:space="preserve">Providing an atmosphere of </w:t>
      </w:r>
      <w:r w:rsidR="002663FA" w:rsidRPr="009672FC">
        <w:rPr>
          <w:rFonts w:ascii="Garamond" w:hAnsi="Garamond"/>
        </w:rPr>
        <w:t xml:space="preserve">a </w:t>
      </w:r>
      <w:r w:rsidRPr="009672FC">
        <w:rPr>
          <w:rFonts w:ascii="Garamond" w:hAnsi="Garamond"/>
        </w:rPr>
        <w:t xml:space="preserve">collaborative culture is a crucial role of a business network contract. This environment provides actors </w:t>
      </w:r>
      <w:r w:rsidR="002663FA" w:rsidRPr="009672FC">
        <w:rPr>
          <w:rFonts w:ascii="Garamond" w:hAnsi="Garamond"/>
        </w:rPr>
        <w:t xml:space="preserve">with </w:t>
      </w:r>
      <w:r w:rsidRPr="009672FC">
        <w:rPr>
          <w:rFonts w:ascii="Garamond" w:hAnsi="Garamond"/>
        </w:rPr>
        <w:t xml:space="preserve">the incentive to engage in dialogue, knowledge processes and resource sharing, without fear of misappropriation, and dominance by bigger firms. In the case of </w:t>
      </w:r>
      <w:r w:rsidR="002663FA" w:rsidRPr="009672FC">
        <w:rPr>
          <w:rFonts w:ascii="Garamond" w:hAnsi="Garamond"/>
        </w:rPr>
        <w:t xml:space="preserve">the </w:t>
      </w:r>
      <w:r w:rsidRPr="009672FC">
        <w:rPr>
          <w:rFonts w:ascii="Garamond" w:hAnsi="Garamond"/>
        </w:rPr>
        <w:t xml:space="preserve">Sparrow network, there </w:t>
      </w:r>
      <w:r w:rsidR="002663FA" w:rsidRPr="009672FC">
        <w:rPr>
          <w:rFonts w:ascii="Garamond" w:hAnsi="Garamond"/>
        </w:rPr>
        <w:t>is</w:t>
      </w:r>
      <w:r w:rsidRPr="009672FC">
        <w:rPr>
          <w:rFonts w:ascii="Garamond" w:hAnsi="Garamond"/>
        </w:rPr>
        <w:t xml:space="preserve"> evidence of the network instituting common-enabling engagement events and resources, that permit collaborative practices of firms, thus enhancing the network’s relational capability derived from </w:t>
      </w:r>
      <w:r w:rsidR="002663FA" w:rsidRPr="009672FC">
        <w:rPr>
          <w:rFonts w:ascii="Garamond" w:hAnsi="Garamond"/>
        </w:rPr>
        <w:t xml:space="preserve">the </w:t>
      </w:r>
      <w:r w:rsidRPr="009672FC">
        <w:rPr>
          <w:rFonts w:ascii="Garamond" w:hAnsi="Garamond"/>
        </w:rPr>
        <w:t>relationship between the network and the companies. to this end, the Sparrow</w:t>
      </w:r>
      <w:r w:rsidRPr="009672FC">
        <w:rPr>
          <w:rFonts w:ascii="Garamond" w:hAnsi="Garamond"/>
          <w:i/>
          <w:iCs/>
        </w:rPr>
        <w:t xml:space="preserve"> </w:t>
      </w:r>
      <w:r w:rsidRPr="009672FC">
        <w:rPr>
          <w:rFonts w:ascii="Garamond" w:hAnsi="Garamond"/>
        </w:rPr>
        <w:t xml:space="preserve">business network, makes </w:t>
      </w:r>
      <w:r w:rsidRPr="009672FC">
        <w:rPr>
          <w:rFonts w:ascii="Garamond" w:hAnsi="Garamond"/>
          <w:i/>
          <w:iCs/>
        </w:rPr>
        <w:t xml:space="preserve">investments in relations-specific assets, </w:t>
      </w:r>
      <w:r w:rsidRPr="009672FC">
        <w:rPr>
          <w:rFonts w:ascii="Garamond" w:hAnsi="Garamond"/>
        </w:rPr>
        <w:t>promoting network</w:t>
      </w:r>
      <w:r w:rsidR="002663FA" w:rsidRPr="009672FC">
        <w:rPr>
          <w:rFonts w:ascii="Garamond" w:hAnsi="Garamond"/>
        </w:rPr>
        <w:t xml:space="preserve"> firms</w:t>
      </w:r>
      <w:r w:rsidRPr="009672FC">
        <w:rPr>
          <w:rFonts w:ascii="Garamond" w:hAnsi="Garamond"/>
        </w:rPr>
        <w:t xml:space="preserve"> relationship</w:t>
      </w:r>
      <w:r w:rsidR="002663FA" w:rsidRPr="009672FC">
        <w:rPr>
          <w:rFonts w:ascii="Garamond" w:hAnsi="Garamond"/>
        </w:rPr>
        <w:t>s</w:t>
      </w:r>
      <w:r w:rsidRPr="009672FC">
        <w:rPr>
          <w:rFonts w:ascii="Garamond" w:hAnsi="Garamond"/>
        </w:rPr>
        <w:t xml:space="preserve">, better coordination, and adjustment, as evolved by </w:t>
      </w:r>
      <w:r w:rsidRPr="009672FC">
        <w:rPr>
          <w:rFonts w:ascii="Garamond" w:hAnsi="Garamond"/>
        </w:rPr>
        <w:fldChar w:fldCharType="begin" w:fldLock="1"/>
      </w:r>
      <w:r w:rsidRPr="009672FC">
        <w:rPr>
          <w:rFonts w:ascii="Garamond" w:hAnsi="Garamond"/>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&amp; Singh, (1998)","plainTextFormattedCitation":"(Dyer &amp; Singh, 1998)","previouslyFormattedCitation":"(Dyer &amp; Singh,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Dyer &amp; Singh, (1998)</w:t>
      </w:r>
      <w:r w:rsidRPr="009672FC">
        <w:rPr>
          <w:rFonts w:ascii="Garamond" w:hAnsi="Garamond"/>
        </w:rPr>
        <w:fldChar w:fldCharType="end"/>
      </w:r>
      <w:r w:rsidRPr="009672FC">
        <w:rPr>
          <w:rFonts w:ascii="Garamond" w:hAnsi="Garamond"/>
        </w:rPr>
        <w:t xml:space="preserve">. These relations-specific assets include </w:t>
      </w:r>
      <w:r w:rsidRPr="009672FC">
        <w:rPr>
          <w:rFonts w:ascii="Garamond" w:hAnsi="Garamond"/>
          <w:i/>
          <w:iCs/>
        </w:rPr>
        <w:t>site</w:t>
      </w:r>
      <w:r w:rsidR="002663FA" w:rsidRPr="009672FC">
        <w:rPr>
          <w:rFonts w:ascii="Garamond" w:hAnsi="Garamond"/>
          <w:i/>
          <w:iCs/>
        </w:rPr>
        <w:t>-</w:t>
      </w:r>
      <w:r w:rsidRPr="009672FC">
        <w:rPr>
          <w:rFonts w:ascii="Garamond" w:hAnsi="Garamond"/>
          <w:i/>
          <w:iCs/>
        </w:rPr>
        <w:t xml:space="preserve">specificity, physical </w:t>
      </w:r>
      <w:r w:rsidRPr="009672FC">
        <w:rPr>
          <w:rFonts w:ascii="Garamond" w:hAnsi="Garamond"/>
          <w:i/>
          <w:iCs/>
        </w:rPr>
        <w:lastRenderedPageBreak/>
        <w:t xml:space="preserve">asset specificity, and human asset specificity, </w:t>
      </w:r>
      <w:r w:rsidRPr="009672FC">
        <w:rPr>
          <w:rFonts w:ascii="Garamond" w:hAnsi="Garamond"/>
        </w:rPr>
        <w:t xml:space="preserve">discussed by previous studies (e.g., Williamson,1975). For </w:t>
      </w:r>
      <w:r w:rsidRPr="009672FC">
        <w:rPr>
          <w:rFonts w:ascii="Garamond" w:hAnsi="Garamond"/>
          <w:i/>
          <w:iCs/>
        </w:rPr>
        <w:t>site</w:t>
      </w:r>
      <w:r w:rsidR="002663FA" w:rsidRPr="009672FC">
        <w:rPr>
          <w:rFonts w:ascii="Garamond" w:hAnsi="Garamond"/>
          <w:i/>
          <w:iCs/>
        </w:rPr>
        <w:t>-</w:t>
      </w:r>
      <w:r w:rsidRPr="009672FC">
        <w:rPr>
          <w:rFonts w:ascii="Garamond" w:hAnsi="Garamond"/>
          <w:i/>
          <w:iCs/>
        </w:rPr>
        <w:t xml:space="preserve">specificity, </w:t>
      </w:r>
      <w:r w:rsidRPr="009672FC">
        <w:rPr>
          <w:rFonts w:ascii="Garamond" w:hAnsi="Garamond"/>
        </w:rPr>
        <w:t xml:space="preserve">the network draws membership of companies from the same region of Veneto in the North. By this practice, “the network contributes to the development of the entire region” as shared by common local characteristics, market, and thus proximity (network manager). This localization makes the network easily connect with entrepreneurs from each network company, ensuring closer collaborative practices, reduced transportation, and inter-firm coordination costs. The network addresses the </w:t>
      </w:r>
      <w:r w:rsidRPr="009672FC">
        <w:rPr>
          <w:rFonts w:ascii="Garamond" w:hAnsi="Garamond"/>
          <w:i/>
          <w:iCs/>
        </w:rPr>
        <w:t>physical asset specificity</w:t>
      </w:r>
      <w:r w:rsidRPr="009672FC">
        <w:rPr>
          <w:rFonts w:ascii="Garamond" w:hAnsi="Garamond"/>
        </w:rPr>
        <w:t xml:space="preserve"> through investment in various assets (e.g., the physical office of the network located in Verona) providing network companies easy access to the network facilities such as “marketing catalogues, station</w:t>
      </w:r>
      <w:r w:rsidR="002663FA" w:rsidRPr="009672FC">
        <w:rPr>
          <w:rFonts w:ascii="Garamond" w:hAnsi="Garamond"/>
        </w:rPr>
        <w:t>e</w:t>
      </w:r>
      <w:r w:rsidRPr="009672FC">
        <w:rPr>
          <w:rFonts w:ascii="Garamond" w:hAnsi="Garamond"/>
        </w:rPr>
        <w:t xml:space="preserve">ry, the company’s existing networks and relationships” according to the data. Moreover, </w:t>
      </w:r>
      <w:r w:rsidR="002663FA" w:rsidRPr="009672FC">
        <w:rPr>
          <w:rFonts w:ascii="Garamond" w:hAnsi="Garamond"/>
        </w:rPr>
        <w:t xml:space="preserve">the </w:t>
      </w:r>
      <w:r w:rsidRPr="009672FC">
        <w:rPr>
          <w:rFonts w:ascii="Garamond" w:hAnsi="Garamond"/>
          <w:i/>
          <w:iCs/>
        </w:rPr>
        <w:t xml:space="preserve">human asset specificity </w:t>
      </w:r>
      <w:r w:rsidRPr="009672FC">
        <w:rPr>
          <w:rFonts w:ascii="Garamond" w:hAnsi="Garamond"/>
        </w:rPr>
        <w:t xml:space="preserve">of </w:t>
      </w:r>
      <w:r w:rsidR="002663FA" w:rsidRPr="009672FC">
        <w:rPr>
          <w:rFonts w:ascii="Garamond" w:hAnsi="Garamond"/>
        </w:rPr>
        <w:t xml:space="preserve">the </w:t>
      </w:r>
      <w:r w:rsidRPr="009672FC">
        <w:rPr>
          <w:rFonts w:ascii="Garamond" w:hAnsi="Garamond"/>
        </w:rPr>
        <w:t>Sparrow</w:t>
      </w:r>
      <w:r w:rsidRPr="009672FC">
        <w:rPr>
          <w:rFonts w:ascii="Garamond" w:hAnsi="Garamond"/>
          <w:i/>
          <w:iCs/>
        </w:rPr>
        <w:t xml:space="preserve"> </w:t>
      </w:r>
      <w:r w:rsidRPr="009672FC">
        <w:rPr>
          <w:rFonts w:ascii="Garamond" w:hAnsi="Garamond"/>
        </w:rPr>
        <w:t xml:space="preserve">business network characterizes network leadership, which </w:t>
      </w:r>
      <w:r w:rsidR="002663FA" w:rsidRPr="009672FC">
        <w:rPr>
          <w:rFonts w:ascii="Garamond" w:hAnsi="Garamond"/>
        </w:rPr>
        <w:t xml:space="preserve">is </w:t>
      </w:r>
      <w:r w:rsidRPr="009672FC">
        <w:rPr>
          <w:rFonts w:ascii="Garamond" w:hAnsi="Garamond"/>
        </w:rPr>
        <w:t>composed of experienced managers in various fields of communication, transport and logistics, and marketing. These competencies enable the network to engage critical stakeholders in the overall value capture and co-creation. For example, the network manager has acquired over a decade of experience working in supplier relationship</w:t>
      </w:r>
      <w:r w:rsidR="002663FA" w:rsidRPr="009672FC">
        <w:rPr>
          <w:rFonts w:ascii="Garamond" w:hAnsi="Garamond"/>
        </w:rPr>
        <w:t>s</w:t>
      </w:r>
      <w:r w:rsidRPr="009672FC">
        <w:rPr>
          <w:rFonts w:ascii="Garamond" w:hAnsi="Garamond"/>
        </w:rPr>
        <w:t xml:space="preserve">, logistics and distribution and thus amassing skills relevant to </w:t>
      </w:r>
      <w:r w:rsidR="002663FA" w:rsidRPr="009672FC">
        <w:rPr>
          <w:rFonts w:ascii="Garamond" w:hAnsi="Garamond"/>
        </w:rPr>
        <w:t xml:space="preserve">the </w:t>
      </w:r>
      <w:r w:rsidRPr="009672FC">
        <w:rPr>
          <w:rFonts w:ascii="Garamond" w:hAnsi="Garamond"/>
        </w:rPr>
        <w:t>organized and coordinate</w:t>
      </w:r>
      <w:r w:rsidR="002663FA" w:rsidRPr="009672FC">
        <w:rPr>
          <w:rFonts w:ascii="Garamond" w:hAnsi="Garamond"/>
        </w:rPr>
        <w:t>d</w:t>
      </w:r>
      <w:r w:rsidRPr="009672FC">
        <w:rPr>
          <w:rFonts w:ascii="Garamond" w:hAnsi="Garamond"/>
        </w:rPr>
        <w:t xml:space="preserve"> inter-organizational relationship within a business network context (network manager). These experiences constitute distinct competencies of the leadership in </w:t>
      </w:r>
      <w:r w:rsidR="002663FA" w:rsidRPr="009672FC">
        <w:rPr>
          <w:rFonts w:ascii="Garamond" w:hAnsi="Garamond"/>
        </w:rPr>
        <w:t xml:space="preserve">the </w:t>
      </w:r>
      <w:r w:rsidRPr="009672FC">
        <w:rPr>
          <w:rFonts w:ascii="Garamond" w:hAnsi="Garamond"/>
        </w:rPr>
        <w:t>Sparrow</w:t>
      </w:r>
      <w:r w:rsidRPr="009672FC">
        <w:rPr>
          <w:rFonts w:ascii="Garamond" w:hAnsi="Garamond"/>
          <w:i/>
          <w:iCs/>
        </w:rPr>
        <w:t xml:space="preserve"> </w:t>
      </w:r>
      <w:r w:rsidRPr="009672FC">
        <w:rPr>
          <w:rFonts w:ascii="Garamond" w:hAnsi="Garamond"/>
        </w:rPr>
        <w:t xml:space="preserve">business network. </w:t>
      </w:r>
    </w:p>
    <w:p w14:paraId="24351972" w14:textId="7A284139" w:rsidR="003D5DE8" w:rsidRPr="009672FC" w:rsidRDefault="007549AA" w:rsidP="00890FB2">
      <w:pPr>
        <w:spacing w:before="240" w:line="360" w:lineRule="auto"/>
        <w:jc w:val="both"/>
        <w:rPr>
          <w:rFonts w:ascii="Garamond" w:hAnsi="Garamond"/>
        </w:rPr>
      </w:pPr>
      <w:r w:rsidRPr="009672FC">
        <w:rPr>
          <w:rFonts w:ascii="Garamond" w:hAnsi="Garamond"/>
          <w:i/>
          <w:iCs/>
        </w:rPr>
        <w:t xml:space="preserve">Reconfiguration of complementary resources or capabilities. </w:t>
      </w:r>
      <w:r w:rsidRPr="009672FC">
        <w:rPr>
          <w:rFonts w:ascii="Garamond" w:hAnsi="Garamond"/>
        </w:rPr>
        <w:t xml:space="preserve">The aggregation function of the business network requires the network to co-create, and modify its business processes and/or resource base to advance its </w:t>
      </w:r>
      <w:r w:rsidRPr="009672FC">
        <w:rPr>
          <w:rFonts w:ascii="Garamond" w:hAnsi="Garamond"/>
          <w:i/>
          <w:iCs/>
        </w:rPr>
        <w:t xml:space="preserve">adaptive capability, </w:t>
      </w:r>
      <w:r w:rsidRPr="009672FC">
        <w:rPr>
          <w:rFonts w:ascii="Garamond" w:hAnsi="Garamond"/>
        </w:rPr>
        <w:t xml:space="preserve">as suggested by </w:t>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2015)","manualFormatting":"Rossignoli &amp; Ricciardi (2015)","plainTextFormattedCitation":"(Rossignoli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&amp; Ricciardi (2015)</w:t>
      </w:r>
      <w:r w:rsidRPr="009672FC">
        <w:rPr>
          <w:rFonts w:ascii="Garamond" w:hAnsi="Garamond"/>
        </w:rPr>
        <w:fldChar w:fldCharType="end"/>
      </w:r>
      <w:r w:rsidRPr="009672FC">
        <w:rPr>
          <w:rFonts w:ascii="Garamond" w:hAnsi="Garamond"/>
        </w:rPr>
        <w:t xml:space="preserve">. Such practices enable the network to change the current and adopt new organizational routines, and paths, thus allowing the network to create and capitalize on the market opportunities in a timely fashion. Moreover, the </w:t>
      </w:r>
      <w:r w:rsidRPr="009672FC">
        <w:rPr>
          <w:rFonts w:ascii="Garamond" w:hAnsi="Garamond"/>
          <w:i/>
          <w:iCs/>
        </w:rPr>
        <w:t xml:space="preserve">Sparrow </w:t>
      </w:r>
      <w:r w:rsidRPr="009672FC">
        <w:rPr>
          <w:rFonts w:ascii="Garamond" w:hAnsi="Garamond"/>
        </w:rPr>
        <w:t>business network engages in various [re]configurations such as creating a common work experience, joint decision-making, resource combining, R&amp;D, and innovation. These outcomes are integrated into the vision and leadership of the network, supporting network performance over time.</w:t>
      </w:r>
      <w:r w:rsidRPr="009672FC">
        <w:rPr>
          <w:rFonts w:ascii="Garamond" w:hAnsi="Garamond"/>
          <w:b/>
          <w:bCs/>
        </w:rPr>
        <w:t xml:space="preserve"> </w:t>
      </w:r>
    </w:p>
    <w:p w14:paraId="241DE78F" w14:textId="6CC153DF" w:rsidR="003D5DE8" w:rsidRPr="009672FC" w:rsidRDefault="007549AA" w:rsidP="002663FA">
      <w:pPr>
        <w:pStyle w:val="MDPI51figurecaption"/>
        <w:numPr>
          <w:ilvl w:val="1"/>
          <w:numId w:val="9"/>
        </w:numPr>
        <w:spacing w:after="0" w:line="360" w:lineRule="auto"/>
        <w:jc w:val="both"/>
        <w:outlineLvl w:val="1"/>
        <w:rPr>
          <w:rFonts w:ascii="Garamond" w:hAnsi="Garamond"/>
          <w:b/>
          <w:bCs/>
          <w:szCs w:val="18"/>
        </w:rPr>
      </w:pPr>
      <w:r w:rsidRPr="009672FC">
        <w:rPr>
          <w:rFonts w:ascii="Garamond" w:hAnsi="Garamond"/>
          <w:b/>
          <w:bCs/>
          <w:sz w:val="24"/>
          <w:szCs w:val="24"/>
        </w:rPr>
        <w:t xml:space="preserve"> </w:t>
      </w:r>
      <w:bookmarkStart w:id="131" w:name="_Toc85617738"/>
      <w:bookmarkStart w:id="132" w:name="_Toc85708737"/>
      <w:bookmarkStart w:id="133" w:name="_Toc85709751"/>
      <w:r w:rsidRPr="009672FC">
        <w:rPr>
          <w:rFonts w:ascii="Garamond" w:hAnsi="Garamond"/>
          <w:b/>
          <w:bCs/>
          <w:sz w:val="24"/>
          <w:szCs w:val="24"/>
        </w:rPr>
        <w:t>Conclusion</w:t>
      </w:r>
      <w:bookmarkEnd w:id="131"/>
      <w:bookmarkEnd w:id="132"/>
      <w:bookmarkEnd w:id="133"/>
    </w:p>
    <w:p w14:paraId="5E75562C" w14:textId="27C1AE81" w:rsidR="00890FB2" w:rsidRPr="009672FC" w:rsidRDefault="007549AA" w:rsidP="00890FB2">
      <w:pPr>
        <w:spacing w:line="360" w:lineRule="auto"/>
        <w:jc w:val="both"/>
        <w:rPr>
          <w:rFonts w:ascii="Garamond" w:hAnsi="Garamond"/>
        </w:rPr>
      </w:pPr>
      <w:r w:rsidRPr="009672FC">
        <w:rPr>
          <w:rFonts w:ascii="Garamond" w:hAnsi="Garamond"/>
        </w:rPr>
        <w:t xml:space="preserve">The objective of this study was to assess the antecedents enabling the organizing for inter-firm engagement by a business network, and the development of network relational dynamics capabilities. Using a case study of local Italian Agricultural SMEs Business Network, described as </w:t>
      </w:r>
      <w:r w:rsidRPr="009672FC">
        <w:rPr>
          <w:rFonts w:ascii="Garamond" w:hAnsi="Garamond"/>
        </w:rPr>
        <w:lastRenderedPageBreak/>
        <w:t xml:space="preserve">a Sparrow network in </w:t>
      </w:r>
      <w:r w:rsidR="002663FA" w:rsidRPr="009672FC">
        <w:rPr>
          <w:rFonts w:ascii="Garamond" w:hAnsi="Garamond"/>
        </w:rPr>
        <w:t xml:space="preserve">the </w:t>
      </w:r>
      <w:r w:rsidRPr="009672FC">
        <w:rPr>
          <w:rFonts w:ascii="Garamond" w:hAnsi="Garamond"/>
        </w:rPr>
        <w:t xml:space="preserve">Northern region, a longitudinal study design was adopted. Empirical data was generated chiefly on personal interviews (structured and in-depth discussion) with key members of the network leadership (i.e., the president, network manager, and export manager). The results of this study provide an unusual empirical insight on how business network organizes inter-organizational collaborative projects. As the literature lacks empirical studies involving the role of </w:t>
      </w:r>
      <w:r w:rsidR="002663FA" w:rsidRPr="009672FC">
        <w:rPr>
          <w:rFonts w:ascii="Garamond" w:hAnsi="Garamond"/>
        </w:rPr>
        <w:t xml:space="preserve">the </w:t>
      </w:r>
      <w:r w:rsidRPr="009672FC">
        <w:rPr>
          <w:rFonts w:ascii="Garamond" w:hAnsi="Garamond"/>
        </w:rPr>
        <w:t>business network in organizing inter-organizational engagement, and the consequent development of the network relational capabilities, our research questions were built on two precise streams of literature: multi-stakeholder engagement, and relational dynamic capabilities.</w:t>
      </w:r>
    </w:p>
    <w:p w14:paraId="4A65E118" w14:textId="08E2E283" w:rsidR="00890FB2" w:rsidRPr="009672FC" w:rsidRDefault="007549AA" w:rsidP="00890FB2">
      <w:pPr>
        <w:spacing w:before="240" w:line="360" w:lineRule="auto"/>
        <w:jc w:val="both"/>
        <w:rPr>
          <w:rFonts w:ascii="Garamond" w:hAnsi="Garamond"/>
        </w:rPr>
      </w:pPr>
      <w:r w:rsidRPr="009672FC">
        <w:rPr>
          <w:rFonts w:ascii="Garamond" w:hAnsi="Garamond"/>
        </w:rPr>
        <w:t>Data shows that successful organizing of inter-firm relationship</w:t>
      </w:r>
      <w:r w:rsidR="002663FA" w:rsidRPr="009672FC">
        <w:rPr>
          <w:rFonts w:ascii="Garamond" w:hAnsi="Garamond"/>
        </w:rPr>
        <w:t>s</w:t>
      </w:r>
      <w:r w:rsidRPr="009672FC">
        <w:rPr>
          <w:rFonts w:ascii="Garamond" w:hAnsi="Garamond"/>
        </w:rPr>
        <w:t xml:space="preserve"> relies on ten factors: friendship, institutional arrangements, participatory culture, homophily, flexibility, coordination and control, communication/information flows, trust</w:t>
      </w:r>
      <w:r w:rsidR="002663FA" w:rsidRPr="009672FC">
        <w:rPr>
          <w:rFonts w:ascii="Garamond" w:hAnsi="Garamond"/>
        </w:rPr>
        <w:t>-</w:t>
      </w:r>
      <w:r w:rsidRPr="009672FC">
        <w:rPr>
          <w:rFonts w:ascii="Garamond" w:hAnsi="Garamond"/>
        </w:rPr>
        <w:t>building, transparency, and managing change/adaptability. However, these factors are not iterative, but they are</w:t>
      </w:r>
      <w:r w:rsidR="002663FA" w:rsidRPr="009672FC">
        <w:rPr>
          <w:rFonts w:ascii="Garamond" w:hAnsi="Garamond"/>
        </w:rPr>
        <w:t>,</w:t>
      </w:r>
      <w:r w:rsidRPr="009672FC">
        <w:rPr>
          <w:rFonts w:ascii="Garamond" w:hAnsi="Garamond"/>
        </w:rPr>
        <w:t xml:space="preserve"> however, sufficient for the development of network relational capabilities. The effects of these factors enable the promotion of collaborative innovation, exchange of relevant knowledge, management best practice, and the promotion of the entire Veneto region. </w:t>
      </w:r>
    </w:p>
    <w:p w14:paraId="1C7D1B36" w14:textId="72ECAD53" w:rsidR="003D5DE8" w:rsidRPr="009672FC" w:rsidRDefault="007549AA" w:rsidP="00890FB2">
      <w:pPr>
        <w:spacing w:before="240" w:line="360" w:lineRule="auto"/>
        <w:jc w:val="both"/>
        <w:rPr>
          <w:rFonts w:ascii="Garamond" w:hAnsi="Garamond"/>
        </w:rPr>
      </w:pPr>
      <w:r w:rsidRPr="009672FC">
        <w:rPr>
          <w:rFonts w:ascii="Garamond" w:hAnsi="Garamond"/>
        </w:rPr>
        <w:t xml:space="preserve">Our results also support the hypothesis that the success of organizing inter-organizational projects, is inextricably and positively related to the development of the network relational dynamic capabilities. First, the network </w:t>
      </w:r>
      <w:r w:rsidRPr="009672FC">
        <w:rPr>
          <w:rFonts w:ascii="Garamond" w:hAnsi="Garamond"/>
          <w:i/>
          <w:iCs/>
        </w:rPr>
        <w:t>senses</w:t>
      </w:r>
      <w:r w:rsidRPr="009672FC">
        <w:rPr>
          <w:rFonts w:ascii="Garamond" w:hAnsi="Garamond"/>
        </w:rPr>
        <w:t xml:space="preserve"> market opportunities through various collaborative efforts of entrepreneurs, enabling the exchange of value-relevant information on a timely basis. Information </w:t>
      </w:r>
      <w:r w:rsidR="002663FA" w:rsidRPr="009672FC">
        <w:rPr>
          <w:rFonts w:ascii="Garamond" w:hAnsi="Garamond"/>
        </w:rPr>
        <w:t xml:space="preserve">about </w:t>
      </w:r>
      <w:r w:rsidRPr="009672FC">
        <w:rPr>
          <w:rFonts w:ascii="Garamond" w:hAnsi="Garamond"/>
        </w:rPr>
        <w:t>customer requests, local and international orders, key players in agricultural value chains, improve the network’s ability to respond to market opportunities. Because all firms are willing and committed to shar</w:t>
      </w:r>
      <w:r w:rsidR="002663FA" w:rsidRPr="009672FC">
        <w:rPr>
          <w:rFonts w:ascii="Garamond" w:hAnsi="Garamond"/>
        </w:rPr>
        <w:t>ing</w:t>
      </w:r>
      <w:r w:rsidRPr="009672FC">
        <w:rPr>
          <w:rFonts w:ascii="Garamond" w:hAnsi="Garamond"/>
        </w:rPr>
        <w:t xml:space="preserve"> and learn</w:t>
      </w:r>
      <w:r w:rsidR="002663FA" w:rsidRPr="009672FC">
        <w:rPr>
          <w:rFonts w:ascii="Garamond" w:hAnsi="Garamond"/>
        </w:rPr>
        <w:t>ing</w:t>
      </w:r>
      <w:r w:rsidRPr="009672FC">
        <w:rPr>
          <w:rFonts w:ascii="Garamond" w:hAnsi="Garamond"/>
        </w:rPr>
        <w:t xml:space="preserve"> from one another, the role of the network manager, is</w:t>
      </w:r>
      <w:r w:rsidR="002663FA" w:rsidRPr="009672FC">
        <w:rPr>
          <w:rFonts w:ascii="Garamond" w:hAnsi="Garamond"/>
        </w:rPr>
        <w:t>,</w:t>
      </w:r>
      <w:r w:rsidRPr="009672FC">
        <w:rPr>
          <w:rFonts w:ascii="Garamond" w:hAnsi="Garamond"/>
        </w:rPr>
        <w:t xml:space="preserve"> however, instrumental as “a balancer, a figurehead, and a trustee.”</w:t>
      </w:r>
    </w:p>
    <w:p w14:paraId="4AE40C5C" w14:textId="77777777" w:rsidR="004F4727" w:rsidRPr="009672FC" w:rsidRDefault="004F4727" w:rsidP="004F4727">
      <w:pPr>
        <w:spacing w:before="240" w:line="360" w:lineRule="auto"/>
        <w:jc w:val="both"/>
        <w:rPr>
          <w:rFonts w:ascii="Garamond" w:hAnsi="Garamond"/>
        </w:rPr>
      </w:pPr>
      <w:r w:rsidRPr="009672FC">
        <w:rPr>
          <w:rFonts w:ascii="Garamond" w:hAnsi="Garamond"/>
        </w:rPr>
        <w:t xml:space="preserve">Second, </w:t>
      </w:r>
      <w:r w:rsidRPr="009672FC">
        <w:rPr>
          <w:rFonts w:ascii="Garamond" w:hAnsi="Garamond"/>
          <w:i/>
          <w:iCs/>
        </w:rPr>
        <w:t xml:space="preserve">seizing </w:t>
      </w:r>
      <w:r w:rsidRPr="009672FC">
        <w:rPr>
          <w:rFonts w:ascii="Garamond" w:hAnsi="Garamond"/>
        </w:rPr>
        <w:t xml:space="preserve">market opportunities requires the network to capitalize more quickly on the present opportunities by relying upon relevant information from entrepreneurs, and promoting joint action. Promoting a participatory culture is indeed important for network performance. Third, our data support the view that the </w:t>
      </w:r>
      <w:r w:rsidRPr="009672FC">
        <w:rPr>
          <w:rFonts w:ascii="Garamond" w:hAnsi="Garamond"/>
          <w:i/>
          <w:iCs/>
        </w:rPr>
        <w:t>reconfiguration of complementary resources or capabilities</w:t>
      </w:r>
      <w:r w:rsidRPr="009672FC">
        <w:rPr>
          <w:rFonts w:ascii="Garamond" w:hAnsi="Garamond"/>
        </w:rPr>
        <w:t xml:space="preserve"> is fundamental to Sparrow network performance. This shows that the network integrates the diverse resource contributions of actors in terms of annual contributions, expertise, and technical know-how. </w:t>
      </w:r>
      <w:r w:rsidRPr="009672FC">
        <w:rPr>
          <w:rFonts w:ascii="Garamond" w:hAnsi="Garamond"/>
        </w:rPr>
        <w:lastRenderedPageBreak/>
        <w:t xml:space="preserve">These results contribute to the literature on the organizing role of the business network in an inter-organizational project </w:t>
      </w:r>
      <w:r w:rsidRPr="009672FC">
        <w:rPr>
          <w:rFonts w:ascii="Garamond" w:hAnsi="Garamond"/>
        </w:rPr>
        <w:fldChar w:fldCharType="begin" w:fldLock="1"/>
      </w:r>
      <w:r w:rsidRPr="009672FC">
        <w:rPr>
          <w:rFonts w:ascii="Garamond" w:hAnsi="Garamond"/>
        </w:rPr>
        <w:instrText>ADDIN CSL_CITATION {"citationItems":[{"id":"ITEM-1","itemData":{"DOI":"10.1177/1094670519827385","author":[{"dropping-particle":"","family":"Brodie","given":"Roderick J","non-dropping-particle":"","parse-names":false,"suffix":""},{"dropping-particle":"","family":"Fehrer","given":"Julia A","non-dropping-particle":"","parse-names":false,"suffix":""},{"dropping-particle":"","family":"Jaakkola","given":"Elina","non-dropping-particle":"","parse-names":false,"suffix":""},{"dropping-particle":"","family":"Conduit","given":"Jodie","non-dropping-particle":"","parse-names":false,"suffix":""}],"container-title":"Journal of Service Research","id":"ITEM-1","issue":"2","issued":{"date-parts":[["2019"]]},"page":"173-188","title":"Actor Engagement in Networks : Defining the Conceptual Domain","type":"article-journal","volume":"22"},"uris":["http://www.mendeley.com/documents/?uuid=0fa18959-7250-478b-94bd-a943c50f009d"]}],"mendeley":{"formattedCitation":"(Brodie et al., 2019)","manualFormatting":"(Jonas et al., 2018; Brodie et al., 2019, etc.)","plainTextFormattedCitation":"(Brodie et al., 2019)","previouslyFormattedCitation":"(Brodie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et al., 2018)","manualFormatting":"(Jonas et al., 2018;","plainTextFormattedCitation":"(Jonas et al., 2018)","previouslyFormattedCitation":"(Jonas et al., 2018)"},"properties":{"noteIndex":0},"schema":"https://github.com/citation-style-language/schema/raw/master/csl-citation.json"}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(Jonas et al., 2018;</w:t>
      </w:r>
      <w:r w:rsidRPr="009672FC">
        <w:rPr>
          <w:rFonts w:ascii="Garamond" w:hAnsi="Garamond"/>
          <w:noProof/>
        </w:rPr>
        <w:fldChar w:fldCharType="end"/>
      </w:r>
      <w:r w:rsidRPr="009672FC">
        <w:rPr>
          <w:rFonts w:ascii="Garamond" w:hAnsi="Garamond"/>
          <w:noProof/>
        </w:rPr>
        <w:t xml:space="preserve"> Brodie et al., 2019, etc.)</w:t>
      </w:r>
      <w:r w:rsidRPr="009672FC">
        <w:rPr>
          <w:rFonts w:ascii="Garamond" w:hAnsi="Garamond"/>
        </w:rPr>
        <w:fldChar w:fldCharType="end"/>
      </w:r>
      <w:r w:rsidRPr="009672FC">
        <w:rPr>
          <w:rFonts w:ascii="Garamond" w:hAnsi="Garamond"/>
        </w:rPr>
        <w:t xml:space="preserve"> and the development of network relational dynamic capabilities </w:t>
      </w:r>
      <w:r w:rsidRPr="009672FC">
        <w:rPr>
          <w:rFonts w:ascii="Garamond" w:hAnsi="Garamond"/>
        </w:rPr>
        <w:fldChar w:fldCharType="begin" w:fldLock="1"/>
      </w:r>
      <w:r w:rsidRPr="009672FC">
        <w:rPr>
          <w:rFonts w:ascii="Garamond" w:hAnsi="Garamond"/>
        </w:rPr>
        <w:instrText>ADDIN CSL_CITATION {"citationItems":[{"id":"ITEM-1","itemData":{"DOI":"10.1177/1476127015615286","author":[{"dropping-particle":"","family":"Donada","given":"Carole","non-dropping-particle":"","parse-names":false,"suffix":""},{"dropping-particle":"","family":"Paris-dauphine","given":"Université","non-dropping-particle":"","parse-names":false,"suffix":""},{"dropping-particle":"","family":"Pezet","given":"Anne","non-dropping-particle":"","parse-names":false,"suffix":""}],"id":"ITEM-1","issued":{"date-parts":[["2016"]]},"title":"Understanding the relational dynamic capability-building process","type":"article-journal"},"uris":["http://www.mendeley.com/documents/?uuid=fa62c1cc-619e-4025-82b0-1248e9d715fc"]}],"mendeley":{"formattedCitation":"(Donada et al., 2016)","manualFormatting":"(e.g., Czakon, 2009; Donada et al., 2016)","plainTextFormattedCitation":"(Donada et al., 2016)","previouslyFormattedCitation":"(Donada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(e.g., </w:t>
      </w:r>
      <w:r w:rsidRPr="009672FC">
        <w:rPr>
          <w:rFonts w:ascii="Garamond" w:hAnsi="Garamond"/>
          <w:noProof/>
        </w:rPr>
        <w:fldChar w:fldCharType="begin" w:fldLock="1"/>
      </w:r>
      <w:r w:rsidRPr="009672FC">
        <w:rPr>
          <w:rFonts w:ascii="Garamond" w:hAnsi="Garamond"/>
          <w:noProof/>
        </w:rPr>
        <w:instrText>ADDIN CSL_CITATION {"citationItems":[{"id":"ITEM-1","itemData":{"author":[{"dropping-particle":"","family":"Czakon","given":"Wojcieh","non-dropping-particle":"","parse-names":false,"suffix":""}],"container-title":"Journal of Economics and Management","id":"ITEM-1","issued":{"date-parts":[["2009"]]},"title":"Relational capability of organizations – theoretical advances","type":"article-journal","volume":"5"},"uris":["http://www.mendeley.com/documents/?uuid=4fc75990-5822-4a6a-bfe7-692a83c304f5"]}],"mendeley":{"formattedCitation":"(Czakon, 2009)","manualFormatting":"Czakon, 2009;","plainTextFormattedCitation":"(Czakon, 2009)","previouslyFormattedCitation":"(Czakon, 2009)"},"properties":{"noteIndex":0},"schema":"https://github.com/citation-style-language/schema/raw/master/csl-citation.json"}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Czakon, 2009;</w:t>
      </w:r>
      <w:r w:rsidRPr="009672FC">
        <w:rPr>
          <w:rFonts w:ascii="Garamond" w:hAnsi="Garamond"/>
          <w:noProof/>
        </w:rPr>
        <w:fldChar w:fldCharType="end"/>
      </w:r>
      <w:r w:rsidRPr="009672FC">
        <w:rPr>
          <w:rFonts w:ascii="Garamond" w:hAnsi="Garamond"/>
          <w:noProof/>
        </w:rPr>
        <w:t xml:space="preserve"> Donada et al., 2016)</w:t>
      </w:r>
      <w:r w:rsidRPr="009672FC">
        <w:rPr>
          <w:rFonts w:ascii="Garamond" w:hAnsi="Garamond"/>
        </w:rPr>
        <w:fldChar w:fldCharType="end"/>
      </w:r>
      <w:r w:rsidRPr="009672FC">
        <w:rPr>
          <w:rFonts w:ascii="Garamond" w:hAnsi="Garamond"/>
        </w:rPr>
        <w:t>.</w:t>
      </w:r>
    </w:p>
    <w:p w14:paraId="19DE94A6" w14:textId="77777777" w:rsidR="00B80AD3" w:rsidRPr="009672FC" w:rsidRDefault="004F4727" w:rsidP="00B80AD3">
      <w:pPr>
        <w:spacing w:before="240" w:line="360" w:lineRule="auto"/>
        <w:jc w:val="both"/>
        <w:rPr>
          <w:rFonts w:ascii="Garamond" w:hAnsi="Garamond"/>
        </w:rPr>
      </w:pPr>
      <w:r w:rsidRPr="009672FC">
        <w:rPr>
          <w:rFonts w:ascii="Garamond" w:hAnsi="Garamond"/>
        </w:rPr>
        <w:t xml:space="preserve">The results of this study have managerial implications particularly for project managers involved in inter-organizational collaboration projects. The result shall enable project managers to plan, organize and coordinate the collaborative inter-firm project, ensuring quality inter-firm engagement, thereby promoting the network relational performance and capabilities. </w:t>
      </w:r>
      <w:r w:rsidR="00B80AD3" w:rsidRPr="009672FC">
        <w:rPr>
          <w:rFonts w:ascii="Garamond" w:hAnsi="Garamond"/>
        </w:rPr>
        <w:t>In conclusion, our findings inform several future research agendas. For example, research on network relational dynamic capabilities across various business networks could offer more robust generalizable findings. The longitudinal case study approach adopted in this study, however, has some limitations. The limited context inherent in a case study design provides a narrow empirical context for the applicability of the results. As a result, we do not generalize findings across other firms and networks.</w:t>
      </w:r>
    </w:p>
    <w:p w14:paraId="7CC24EE5" w14:textId="4450ADA4" w:rsidR="004F4727" w:rsidRDefault="004F4727" w:rsidP="00890FB2">
      <w:pPr>
        <w:spacing w:before="240" w:line="360" w:lineRule="auto"/>
        <w:jc w:val="both"/>
        <w:rPr>
          <w:rFonts w:ascii="Garamond" w:hAnsi="Garamond"/>
        </w:rPr>
      </w:pPr>
    </w:p>
    <w:p w14:paraId="6622401F" w14:textId="4B02D368" w:rsidR="00B80AD3" w:rsidRDefault="00B80AD3" w:rsidP="00890FB2">
      <w:pPr>
        <w:spacing w:before="240" w:line="360" w:lineRule="auto"/>
        <w:jc w:val="both"/>
        <w:rPr>
          <w:rFonts w:ascii="Garamond" w:hAnsi="Garamond"/>
        </w:rPr>
      </w:pPr>
    </w:p>
    <w:p w14:paraId="46751712" w14:textId="1502E2A9" w:rsidR="00B80AD3" w:rsidRDefault="00B80AD3" w:rsidP="00890FB2">
      <w:pPr>
        <w:spacing w:before="240" w:line="360" w:lineRule="auto"/>
        <w:jc w:val="both"/>
        <w:rPr>
          <w:rFonts w:ascii="Garamond" w:hAnsi="Garamond"/>
        </w:rPr>
      </w:pPr>
    </w:p>
    <w:p w14:paraId="2ABE2E0F" w14:textId="5CF9C5EC" w:rsidR="00B80AD3" w:rsidRDefault="00B80AD3" w:rsidP="00890FB2">
      <w:pPr>
        <w:spacing w:before="240" w:line="360" w:lineRule="auto"/>
        <w:jc w:val="both"/>
        <w:rPr>
          <w:rFonts w:ascii="Garamond" w:hAnsi="Garamond"/>
        </w:rPr>
      </w:pPr>
    </w:p>
    <w:p w14:paraId="752ACBB8" w14:textId="05D63BA5" w:rsidR="00B80AD3" w:rsidRDefault="00B80AD3" w:rsidP="00890FB2">
      <w:pPr>
        <w:spacing w:before="240" w:line="360" w:lineRule="auto"/>
        <w:jc w:val="both"/>
        <w:rPr>
          <w:rFonts w:ascii="Garamond" w:hAnsi="Garamond"/>
        </w:rPr>
      </w:pPr>
    </w:p>
    <w:p w14:paraId="06BAEEB4" w14:textId="4C6426FD" w:rsidR="00B80AD3" w:rsidRDefault="00B80AD3" w:rsidP="00890FB2">
      <w:pPr>
        <w:spacing w:before="240" w:line="360" w:lineRule="auto"/>
        <w:jc w:val="both"/>
        <w:rPr>
          <w:rFonts w:ascii="Garamond" w:hAnsi="Garamond"/>
        </w:rPr>
      </w:pPr>
    </w:p>
    <w:p w14:paraId="39388935" w14:textId="48F4932A" w:rsidR="00B80AD3" w:rsidRDefault="00B80AD3" w:rsidP="00890FB2">
      <w:pPr>
        <w:spacing w:before="240" w:line="360" w:lineRule="auto"/>
        <w:jc w:val="both"/>
        <w:rPr>
          <w:rFonts w:ascii="Garamond" w:hAnsi="Garamond"/>
        </w:rPr>
      </w:pPr>
    </w:p>
    <w:p w14:paraId="69BE9516" w14:textId="4F6A5D3C" w:rsidR="00B80AD3" w:rsidRDefault="00B80AD3" w:rsidP="00890FB2">
      <w:pPr>
        <w:spacing w:before="240" w:line="360" w:lineRule="auto"/>
        <w:jc w:val="both"/>
        <w:rPr>
          <w:rFonts w:ascii="Garamond" w:hAnsi="Garamond"/>
        </w:rPr>
      </w:pPr>
    </w:p>
    <w:p w14:paraId="3E87A462" w14:textId="74BA186B" w:rsidR="00B80AD3" w:rsidRDefault="00B80AD3" w:rsidP="00890FB2">
      <w:pPr>
        <w:spacing w:before="240" w:line="360" w:lineRule="auto"/>
        <w:jc w:val="both"/>
        <w:rPr>
          <w:rFonts w:ascii="Garamond" w:hAnsi="Garamond"/>
        </w:rPr>
      </w:pPr>
    </w:p>
    <w:p w14:paraId="2247B264" w14:textId="33936100" w:rsidR="00B80AD3" w:rsidRDefault="00B80AD3" w:rsidP="00890FB2">
      <w:pPr>
        <w:spacing w:before="240" w:line="360" w:lineRule="auto"/>
        <w:jc w:val="both"/>
        <w:rPr>
          <w:rFonts w:ascii="Garamond" w:hAnsi="Garamond"/>
        </w:rPr>
      </w:pPr>
    </w:p>
    <w:p w14:paraId="37FCF918" w14:textId="77777777" w:rsidR="00B80AD3" w:rsidRPr="009672FC" w:rsidRDefault="00B80AD3" w:rsidP="00890FB2">
      <w:pPr>
        <w:spacing w:before="240" w:line="360" w:lineRule="auto"/>
        <w:jc w:val="both"/>
        <w:rPr>
          <w:rFonts w:ascii="Garamond" w:hAnsi="Garamond"/>
        </w:rPr>
      </w:pPr>
    </w:p>
    <w:p w14:paraId="0689B871" w14:textId="36A384F9" w:rsidR="003D5DE8" w:rsidRPr="00B80AD3" w:rsidRDefault="004F4727" w:rsidP="004F4727">
      <w:pPr>
        <w:pStyle w:val="Caption"/>
        <w:jc w:val="center"/>
        <w:rPr>
          <w:rFonts w:ascii="Garamond" w:hAnsi="Garamond"/>
          <w:sz w:val="22"/>
          <w:szCs w:val="22"/>
        </w:rPr>
      </w:pPr>
      <w:r w:rsidRPr="00B80AD3">
        <w:rPr>
          <w:rFonts w:ascii="Garamond" w:hAnsi="Garamond"/>
          <w:sz w:val="22"/>
          <w:szCs w:val="22"/>
        </w:rPr>
        <w:lastRenderedPageBreak/>
        <w:t xml:space="preserve">Figure </w:t>
      </w:r>
      <w:r w:rsidRPr="00B80AD3">
        <w:rPr>
          <w:rFonts w:ascii="Garamond" w:hAnsi="Garamond"/>
          <w:sz w:val="22"/>
          <w:szCs w:val="22"/>
        </w:rPr>
        <w:fldChar w:fldCharType="begin"/>
      </w:r>
      <w:r w:rsidRPr="00B80AD3">
        <w:rPr>
          <w:rFonts w:ascii="Garamond" w:hAnsi="Garamond"/>
          <w:sz w:val="22"/>
          <w:szCs w:val="22"/>
        </w:rPr>
        <w:instrText xml:space="preserve"> SEQ Figure \* ARABIC </w:instrText>
      </w:r>
      <w:r w:rsidRPr="00B80AD3">
        <w:rPr>
          <w:rFonts w:ascii="Garamond" w:hAnsi="Garamond"/>
          <w:sz w:val="22"/>
          <w:szCs w:val="22"/>
        </w:rPr>
        <w:fldChar w:fldCharType="separate"/>
      </w:r>
      <w:r w:rsidR="001C1648">
        <w:rPr>
          <w:rFonts w:ascii="Garamond" w:hAnsi="Garamond"/>
          <w:noProof/>
          <w:sz w:val="22"/>
          <w:szCs w:val="22"/>
        </w:rPr>
        <w:t>5</w:t>
      </w:r>
      <w:r w:rsidRPr="00B80AD3">
        <w:rPr>
          <w:rFonts w:ascii="Garamond" w:hAnsi="Garamond"/>
          <w:noProof/>
          <w:sz w:val="22"/>
          <w:szCs w:val="22"/>
        </w:rPr>
        <w:fldChar w:fldCharType="end"/>
      </w:r>
      <w:r w:rsidRPr="00B80AD3">
        <w:rPr>
          <w:rFonts w:ascii="Garamond" w:hAnsi="Garamond"/>
          <w:sz w:val="22"/>
          <w:szCs w:val="22"/>
        </w:rPr>
        <w:t>. Data structure</w:t>
      </w:r>
    </w:p>
    <w:p w14:paraId="73EFC76F" w14:textId="77777777" w:rsidR="003D5DE8" w:rsidRPr="009672FC" w:rsidRDefault="007549AA">
      <w:pPr>
        <w:rPr>
          <w:rFonts w:ascii="Garamond" w:hAnsi="Garamond"/>
          <w:u w:val="single"/>
        </w:rPr>
      </w:pPr>
      <w:r w:rsidRPr="009672FC">
        <w:rPr>
          <w:rFonts w:ascii="Garamond" w:hAnsi="Garamond"/>
          <w:noProof/>
          <w:lang w:eastAsia="en-US"/>
        </w:rPr>
        <w:drawing>
          <wp:inline distT="0" distB="0" distL="0" distR="0" wp14:anchorId="5DD711B6" wp14:editId="1ECF66E2">
            <wp:extent cx="5760720" cy="3038475"/>
            <wp:effectExtent l="0" t="0" r="0" b="0"/>
            <wp:docPr id="5"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Diagram&#10;&#10;Description automatically generated"/>
                    <pic:cNvPicPr>
                      <a:picLocks noChangeAspect="1" noChangeArrowheads="1"/>
                    </pic:cNvPicPr>
                  </pic:nvPicPr>
                  <pic:blipFill>
                    <a:blip r:embed="rId25"/>
                    <a:stretch>
                      <a:fillRect/>
                    </a:stretch>
                  </pic:blipFill>
                  <pic:spPr bwMode="auto">
                    <a:xfrm>
                      <a:off x="0" y="0"/>
                      <a:ext cx="5760720" cy="3038475"/>
                    </a:xfrm>
                    <a:prstGeom prst="rect">
                      <a:avLst/>
                    </a:prstGeom>
                  </pic:spPr>
                </pic:pic>
              </a:graphicData>
            </a:graphic>
          </wp:inline>
        </w:drawing>
      </w:r>
      <w:r w:rsidRPr="009672FC">
        <w:rPr>
          <w:rFonts w:ascii="Garamond" w:hAnsi="Garamond"/>
          <w:noProof/>
          <w:lang w:eastAsia="en-US"/>
        </w:rPr>
        <w:drawing>
          <wp:inline distT="0" distB="0" distL="0" distR="0" wp14:anchorId="15AAB7EF" wp14:editId="515EF868">
            <wp:extent cx="5760720" cy="2531745"/>
            <wp:effectExtent l="0" t="0" r="0" b="0"/>
            <wp:docPr id="6"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Diagram&#10;&#10;Description automatically generated"/>
                    <pic:cNvPicPr>
                      <a:picLocks noChangeAspect="1" noChangeArrowheads="1"/>
                    </pic:cNvPicPr>
                  </pic:nvPicPr>
                  <pic:blipFill>
                    <a:blip r:embed="rId26"/>
                    <a:stretch>
                      <a:fillRect/>
                    </a:stretch>
                  </pic:blipFill>
                  <pic:spPr bwMode="auto">
                    <a:xfrm>
                      <a:off x="0" y="0"/>
                      <a:ext cx="5760720" cy="2531745"/>
                    </a:xfrm>
                    <a:prstGeom prst="rect">
                      <a:avLst/>
                    </a:prstGeom>
                  </pic:spPr>
                </pic:pic>
              </a:graphicData>
            </a:graphic>
          </wp:inline>
        </w:drawing>
      </w:r>
      <w:r w:rsidRPr="009672FC">
        <w:rPr>
          <w:rFonts w:ascii="Garamond" w:hAnsi="Garamond"/>
        </w:rPr>
        <w:t xml:space="preserve"> </w:t>
      </w:r>
      <w:r w:rsidRPr="009672FC">
        <w:rPr>
          <w:rFonts w:ascii="Garamond" w:hAnsi="Garamond"/>
          <w:noProof/>
          <w:lang w:eastAsia="en-US"/>
        </w:rPr>
        <w:drawing>
          <wp:inline distT="0" distB="0" distL="0" distR="0" wp14:anchorId="436C8A8B" wp14:editId="360BCB64">
            <wp:extent cx="5883910" cy="1794510"/>
            <wp:effectExtent l="0" t="0" r="0" b="0"/>
            <wp:docPr id="7"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Diagram&#10;&#10;Description automatically generated"/>
                    <pic:cNvPicPr>
                      <a:picLocks noChangeAspect="1" noChangeArrowheads="1"/>
                    </pic:cNvPicPr>
                  </pic:nvPicPr>
                  <pic:blipFill>
                    <a:blip r:embed="rId27"/>
                    <a:stretch>
                      <a:fillRect/>
                    </a:stretch>
                  </pic:blipFill>
                  <pic:spPr bwMode="auto">
                    <a:xfrm>
                      <a:off x="0" y="0"/>
                      <a:ext cx="5883910" cy="1794510"/>
                    </a:xfrm>
                    <a:prstGeom prst="rect">
                      <a:avLst/>
                    </a:prstGeom>
                  </pic:spPr>
                </pic:pic>
              </a:graphicData>
            </a:graphic>
          </wp:inline>
        </w:drawing>
      </w:r>
    </w:p>
    <w:p w14:paraId="151F1227" w14:textId="18B42D6A" w:rsidR="003D5DE8" w:rsidRPr="00971A39" w:rsidRDefault="00971A39">
      <w:pPr>
        <w:tabs>
          <w:tab w:val="left" w:pos="2362"/>
        </w:tabs>
        <w:jc w:val="both"/>
        <w:rPr>
          <w:rFonts w:ascii="Garamond" w:hAnsi="Garamond"/>
          <w:i/>
          <w:iCs/>
          <w:sz w:val="22"/>
          <w:szCs w:val="22"/>
        </w:rPr>
      </w:pPr>
      <w:r w:rsidRPr="00971A39">
        <w:rPr>
          <w:rFonts w:ascii="Garamond" w:hAnsi="Garamond"/>
          <w:i/>
          <w:iCs/>
          <w:sz w:val="22"/>
          <w:szCs w:val="22"/>
        </w:rPr>
        <w:t>Sourced: Authors’ elaboration, ATLAS.ti analytical data codes</w:t>
      </w:r>
    </w:p>
    <w:p w14:paraId="489C75EB" w14:textId="1D6EFBBC" w:rsidR="003D5DE8" w:rsidRPr="009672FC" w:rsidRDefault="007549AA">
      <w:pPr>
        <w:pStyle w:val="Heading1"/>
        <w:jc w:val="center"/>
        <w:rPr>
          <w:rFonts w:ascii="Garamond" w:hAnsi="Garamond" w:cs="Times New Roman"/>
          <w:b/>
          <w:color w:val="auto"/>
        </w:rPr>
      </w:pPr>
      <w:bookmarkStart w:id="134" w:name="_Toc85708738"/>
      <w:bookmarkStart w:id="135" w:name="_Toc85709752"/>
      <w:r w:rsidRPr="009672FC">
        <w:rPr>
          <w:rFonts w:ascii="Garamond" w:hAnsi="Garamond" w:cs="Times New Roman"/>
          <w:b/>
          <w:color w:val="auto"/>
        </w:rPr>
        <w:lastRenderedPageBreak/>
        <w:t>Chapter 3</w:t>
      </w:r>
      <w:bookmarkEnd w:id="134"/>
      <w:bookmarkEnd w:id="135"/>
    </w:p>
    <w:p w14:paraId="3564876C" w14:textId="77777777" w:rsidR="003D5DE8" w:rsidRPr="009672FC" w:rsidRDefault="003D5DE8">
      <w:pPr>
        <w:jc w:val="center"/>
        <w:rPr>
          <w:rFonts w:ascii="Garamond" w:hAnsi="Garamond"/>
          <w:b/>
          <w:bCs/>
          <w:color w:val="000000" w:themeColor="text1"/>
        </w:rPr>
      </w:pPr>
    </w:p>
    <w:p w14:paraId="6CAC05E9" w14:textId="77777777" w:rsidR="003D5DE8" w:rsidRPr="009672FC" w:rsidRDefault="007549AA">
      <w:pPr>
        <w:jc w:val="center"/>
        <w:rPr>
          <w:rFonts w:ascii="Garamond" w:hAnsi="Garamond"/>
          <w:b/>
          <w:bCs/>
          <w:color w:val="000000" w:themeColor="text1"/>
        </w:rPr>
      </w:pPr>
      <w:r w:rsidRPr="009672FC">
        <w:rPr>
          <w:rFonts w:ascii="Garamond" w:hAnsi="Garamond"/>
          <w:b/>
          <w:bCs/>
          <w:color w:val="000000" w:themeColor="text1"/>
        </w:rPr>
        <w:t>The influence of Institution-based Trust on Innovation Performance: Empirics of Local SMEs Relationships.</w:t>
      </w:r>
    </w:p>
    <w:p w14:paraId="1E6BA705" w14:textId="77777777" w:rsidR="003D5DE8" w:rsidRPr="009672FC" w:rsidRDefault="003D5DE8">
      <w:pPr>
        <w:jc w:val="center"/>
        <w:rPr>
          <w:rFonts w:ascii="Garamond" w:hAnsi="Garamond"/>
          <w:b/>
          <w:bCs/>
          <w:color w:val="000000" w:themeColor="text1"/>
        </w:rPr>
      </w:pPr>
    </w:p>
    <w:tbl>
      <w:tblPr>
        <w:tblStyle w:val="TableGrid"/>
        <w:tblW w:w="9062" w:type="dxa"/>
        <w:tblLayout w:type="fixed"/>
        <w:tblLook w:val="04A0" w:firstRow="1" w:lastRow="0" w:firstColumn="1" w:lastColumn="0" w:noHBand="0" w:noVBand="1"/>
      </w:tblPr>
      <w:tblGrid>
        <w:gridCol w:w="2405"/>
        <w:gridCol w:w="6657"/>
      </w:tblGrid>
      <w:tr w:rsidR="003D5DE8" w:rsidRPr="009672FC" w14:paraId="724BC05B" w14:textId="77777777">
        <w:trPr>
          <w:trHeight w:val="658"/>
        </w:trPr>
        <w:tc>
          <w:tcPr>
            <w:tcW w:w="2405" w:type="dxa"/>
            <w:tcBorders>
              <w:bottom w:val="nil"/>
              <w:right w:val="nil"/>
            </w:tcBorders>
          </w:tcPr>
          <w:p w14:paraId="22F32989"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Title </w:t>
            </w:r>
          </w:p>
        </w:tc>
        <w:tc>
          <w:tcPr>
            <w:tcW w:w="6656" w:type="dxa"/>
            <w:tcBorders>
              <w:left w:val="nil"/>
              <w:bottom w:val="nil"/>
            </w:tcBorders>
          </w:tcPr>
          <w:p w14:paraId="658D2184" w14:textId="77777777" w:rsidR="003D5DE8" w:rsidRPr="009672FC" w:rsidRDefault="007549AA">
            <w:pPr>
              <w:pStyle w:val="NormalWeb"/>
              <w:rPr>
                <w:rFonts w:ascii="Garamond" w:hAnsi="Garamond"/>
                <w:b/>
              </w:rPr>
            </w:pPr>
            <w:r w:rsidRPr="009672FC">
              <w:rPr>
                <w:rFonts w:ascii="Garamond" w:hAnsi="Garamond"/>
                <w:color w:val="000000" w:themeColor="text1"/>
              </w:rPr>
              <w:t>The influence of Institution-based Trust on Innovation Performance: An Empirics of SMEs Relationships</w:t>
            </w:r>
          </w:p>
        </w:tc>
      </w:tr>
      <w:tr w:rsidR="003D5DE8" w:rsidRPr="009672FC" w14:paraId="7B436E00" w14:textId="77777777">
        <w:tc>
          <w:tcPr>
            <w:tcW w:w="2405" w:type="dxa"/>
            <w:tcBorders>
              <w:top w:val="nil"/>
              <w:bottom w:val="nil"/>
              <w:right w:val="nil"/>
            </w:tcBorders>
          </w:tcPr>
          <w:p w14:paraId="5F1F697A"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Authors </w:t>
            </w:r>
          </w:p>
        </w:tc>
        <w:tc>
          <w:tcPr>
            <w:tcW w:w="6656" w:type="dxa"/>
            <w:tcBorders>
              <w:top w:val="nil"/>
              <w:left w:val="nil"/>
              <w:bottom w:val="nil"/>
            </w:tcBorders>
          </w:tcPr>
          <w:p w14:paraId="531E686D"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Ceesay, Lamin B. (</w:t>
            </w:r>
            <w:hyperlink r:id="rId28">
              <w:r w:rsidRPr="009672FC">
                <w:rPr>
                  <w:rStyle w:val="Heading3Char"/>
                  <w:rFonts w:ascii="Garamond" w:hAnsi="Garamond" w:cs="Times New Roman"/>
                  <w:color w:val="auto"/>
                  <w:lang w:eastAsia="en-US"/>
                </w:rPr>
                <w:t>laminb.ceesay@univr.it</w:t>
              </w:r>
            </w:hyperlink>
            <w:r w:rsidRPr="009672FC">
              <w:rPr>
                <w:rFonts w:ascii="Garamond" w:hAnsi="Garamond"/>
                <w:lang w:eastAsia="en-US"/>
              </w:rPr>
              <w:t>)</w:t>
            </w:r>
          </w:p>
          <w:p w14:paraId="50990825"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Zardini, Alessandro (</w:t>
            </w:r>
            <w:hyperlink r:id="rId29">
              <w:r w:rsidRPr="009672FC">
                <w:rPr>
                  <w:rStyle w:val="Heading3Char"/>
                  <w:rFonts w:ascii="Garamond" w:hAnsi="Garamond" w:cs="Times New Roman"/>
                  <w:color w:val="auto"/>
                  <w:lang w:eastAsia="en-US"/>
                </w:rPr>
                <w:t>alessandro.zardine@univr.it</w:t>
              </w:r>
            </w:hyperlink>
            <w:r w:rsidRPr="009672FC">
              <w:rPr>
                <w:rFonts w:ascii="Garamond" w:hAnsi="Garamond"/>
                <w:lang w:eastAsia="en-US"/>
              </w:rPr>
              <w:t xml:space="preserve">) </w:t>
            </w:r>
          </w:p>
          <w:p w14:paraId="19DA5886"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**University of Verona, Graduate School of Economics and Legal Sciences, Department of Economics. Via </w:t>
            </w:r>
            <w:proofErr w:type="spellStart"/>
            <w:r w:rsidRPr="009672FC">
              <w:rPr>
                <w:rFonts w:ascii="Garamond" w:hAnsi="Garamond"/>
                <w:lang w:eastAsia="en-US"/>
              </w:rPr>
              <w:t>Cantarana</w:t>
            </w:r>
            <w:proofErr w:type="spellEnd"/>
            <w:r w:rsidRPr="009672FC">
              <w:rPr>
                <w:rFonts w:ascii="Garamond" w:hAnsi="Garamond"/>
                <w:lang w:eastAsia="en-US"/>
              </w:rPr>
              <w:t>, Santa Marta Building, Italy.</w:t>
            </w:r>
          </w:p>
          <w:p w14:paraId="6882C16D" w14:textId="77777777" w:rsidR="003D5DE8" w:rsidRPr="009672FC" w:rsidRDefault="003D5DE8">
            <w:pPr>
              <w:tabs>
                <w:tab w:val="left" w:pos="2362"/>
              </w:tabs>
              <w:jc w:val="both"/>
              <w:rPr>
                <w:rFonts w:ascii="Garamond" w:hAnsi="Garamond"/>
                <w:lang w:eastAsia="en-US"/>
              </w:rPr>
            </w:pPr>
          </w:p>
        </w:tc>
      </w:tr>
      <w:tr w:rsidR="003D5DE8" w:rsidRPr="009672FC" w14:paraId="120C7F61" w14:textId="77777777">
        <w:tc>
          <w:tcPr>
            <w:tcW w:w="2405" w:type="dxa"/>
            <w:tcBorders>
              <w:top w:val="nil"/>
              <w:bottom w:val="nil"/>
              <w:right w:val="nil"/>
            </w:tcBorders>
          </w:tcPr>
          <w:p w14:paraId="64DFFC6B"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Publication</w:t>
            </w:r>
          </w:p>
        </w:tc>
        <w:tc>
          <w:tcPr>
            <w:tcW w:w="6656" w:type="dxa"/>
            <w:tcBorders>
              <w:top w:val="nil"/>
              <w:left w:val="nil"/>
              <w:bottom w:val="nil"/>
            </w:tcBorders>
          </w:tcPr>
          <w:p w14:paraId="7FE38FFA"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XVIII </w:t>
            </w:r>
            <w:proofErr w:type="spellStart"/>
            <w:r w:rsidRPr="009672FC">
              <w:rPr>
                <w:rFonts w:ascii="Garamond" w:hAnsi="Garamond"/>
                <w:lang w:eastAsia="en-US"/>
              </w:rPr>
              <w:t>itAIS</w:t>
            </w:r>
            <w:proofErr w:type="spellEnd"/>
            <w:r w:rsidRPr="009672FC">
              <w:rPr>
                <w:rFonts w:ascii="Garamond" w:hAnsi="Garamond"/>
                <w:lang w:eastAsia="en-US"/>
              </w:rPr>
              <w:t xml:space="preserve"> 2021 Conference, Trento, Italy.</w:t>
            </w:r>
          </w:p>
          <w:p w14:paraId="5817545E" w14:textId="77777777" w:rsidR="003D5DE8" w:rsidRPr="009672FC" w:rsidRDefault="003D5DE8">
            <w:pPr>
              <w:tabs>
                <w:tab w:val="left" w:pos="2362"/>
              </w:tabs>
              <w:jc w:val="both"/>
              <w:rPr>
                <w:rFonts w:ascii="Garamond" w:hAnsi="Garamond"/>
                <w:lang w:eastAsia="en-US"/>
              </w:rPr>
            </w:pPr>
          </w:p>
        </w:tc>
      </w:tr>
      <w:tr w:rsidR="003D5DE8" w:rsidRPr="009672FC" w14:paraId="55DFC65C" w14:textId="77777777">
        <w:tc>
          <w:tcPr>
            <w:tcW w:w="2405" w:type="dxa"/>
            <w:tcBorders>
              <w:top w:val="nil"/>
              <w:right w:val="nil"/>
            </w:tcBorders>
          </w:tcPr>
          <w:p w14:paraId="047F6EEE" w14:textId="77777777" w:rsidR="003D5DE8" w:rsidRPr="009672FC" w:rsidRDefault="007549AA">
            <w:pPr>
              <w:tabs>
                <w:tab w:val="left" w:pos="2362"/>
              </w:tabs>
              <w:rPr>
                <w:rFonts w:ascii="Garamond" w:hAnsi="Garamond"/>
                <w:lang w:eastAsia="en-US"/>
              </w:rPr>
            </w:pPr>
            <w:r w:rsidRPr="009672FC">
              <w:rPr>
                <w:rFonts w:ascii="Garamond" w:hAnsi="Garamond"/>
                <w:lang w:eastAsia="en-US"/>
              </w:rPr>
              <w:t>First author’s Contribution</w:t>
            </w:r>
          </w:p>
        </w:tc>
        <w:tc>
          <w:tcPr>
            <w:tcW w:w="6656" w:type="dxa"/>
            <w:tcBorders>
              <w:top w:val="nil"/>
              <w:left w:val="nil"/>
            </w:tcBorders>
          </w:tcPr>
          <w:p w14:paraId="27CF46E7" w14:textId="77777777" w:rsidR="003D5DE8" w:rsidRPr="009672FC" w:rsidRDefault="007549AA">
            <w:pPr>
              <w:rPr>
                <w:rFonts w:ascii="Garamond" w:eastAsiaTheme="minorHAnsi" w:hAnsi="Garamond"/>
                <w:lang w:val="en-GB" w:eastAsia="en-US"/>
              </w:rPr>
            </w:pPr>
            <w:r w:rsidRPr="009672FC">
              <w:rPr>
                <w:rFonts w:ascii="Garamond" w:eastAsiaTheme="minorHAnsi" w:hAnsi="Garamond"/>
                <w:lang w:val="en-GB" w:eastAsia="en-US"/>
              </w:rPr>
              <w:t>Problem definition, research design, data collection and analysis, interpretation, reporting.</w:t>
            </w:r>
          </w:p>
        </w:tc>
      </w:tr>
    </w:tbl>
    <w:p w14:paraId="47BEDC02" w14:textId="7A9444E3" w:rsidR="003D5DE8" w:rsidRPr="009672FC" w:rsidRDefault="00EB5D6B" w:rsidP="00EB5D6B">
      <w:pPr>
        <w:pStyle w:val="Caption"/>
        <w:keepNext/>
        <w:jc w:val="both"/>
        <w:rPr>
          <w:rFonts w:ascii="Garamond" w:hAnsi="Garamond"/>
        </w:rPr>
      </w:pPr>
      <w:bookmarkStart w:id="136" w:name="_Toc85711314"/>
      <w:r w:rsidRPr="00F377A4">
        <w:rPr>
          <w:rFonts w:ascii="Garamond" w:hAnsi="Garamond"/>
          <w:sz w:val="22"/>
          <w:szCs w:val="22"/>
        </w:rPr>
        <w:t xml:space="preserve">Table </w:t>
      </w:r>
      <w:r w:rsidR="00C10BC3" w:rsidRPr="00F377A4">
        <w:rPr>
          <w:rFonts w:ascii="Garamond" w:hAnsi="Garamond"/>
          <w:sz w:val="22"/>
          <w:szCs w:val="22"/>
        </w:rPr>
        <w:fldChar w:fldCharType="begin"/>
      </w:r>
      <w:r w:rsidR="00C10BC3" w:rsidRPr="00F377A4">
        <w:rPr>
          <w:rFonts w:ascii="Garamond" w:hAnsi="Garamond"/>
          <w:sz w:val="22"/>
          <w:szCs w:val="22"/>
        </w:rPr>
        <w:instrText xml:space="preserve"> SEQ Table \* ARABIC </w:instrText>
      </w:r>
      <w:r w:rsidR="00C10BC3" w:rsidRPr="00F377A4">
        <w:rPr>
          <w:rFonts w:ascii="Garamond" w:hAnsi="Garamond"/>
          <w:sz w:val="22"/>
          <w:szCs w:val="22"/>
        </w:rPr>
        <w:fldChar w:fldCharType="separate"/>
      </w:r>
      <w:r w:rsidR="001C1648">
        <w:rPr>
          <w:rFonts w:ascii="Garamond" w:hAnsi="Garamond"/>
          <w:noProof/>
          <w:sz w:val="22"/>
          <w:szCs w:val="22"/>
        </w:rPr>
        <w:t>7</w:t>
      </w:r>
      <w:r w:rsidR="00C10BC3" w:rsidRPr="00F377A4">
        <w:rPr>
          <w:rFonts w:ascii="Garamond" w:hAnsi="Garamond"/>
          <w:noProof/>
          <w:sz w:val="22"/>
          <w:szCs w:val="22"/>
        </w:rPr>
        <w:fldChar w:fldCharType="end"/>
      </w:r>
      <w:r w:rsidRPr="00F377A4">
        <w:rPr>
          <w:rFonts w:ascii="Garamond" w:hAnsi="Garamond"/>
          <w:sz w:val="22"/>
          <w:szCs w:val="22"/>
        </w:rPr>
        <w:t>. Fact Sheet for Thesis Ch3</w:t>
      </w:r>
      <w:bookmarkEnd w:id="136"/>
    </w:p>
    <w:p w14:paraId="000B036F" w14:textId="64A392D1" w:rsidR="003D5DE8" w:rsidRPr="009672FC" w:rsidRDefault="007549AA">
      <w:pPr>
        <w:pStyle w:val="Heading1"/>
        <w:rPr>
          <w:rFonts w:ascii="Garamond" w:hAnsi="Garamond" w:cs="Times New Roman"/>
          <w:b/>
          <w:bCs/>
          <w:color w:val="000000" w:themeColor="text1"/>
          <w:sz w:val="24"/>
          <w:szCs w:val="24"/>
        </w:rPr>
      </w:pPr>
      <w:bookmarkStart w:id="137" w:name="_Toc85708739"/>
      <w:bookmarkStart w:id="138" w:name="_Toc85709753"/>
      <w:r w:rsidRPr="009672FC">
        <w:rPr>
          <w:rFonts w:ascii="Garamond" w:hAnsi="Garamond" w:cs="Times New Roman"/>
          <w:b/>
          <w:bCs/>
          <w:color w:val="000000" w:themeColor="text1"/>
          <w:sz w:val="24"/>
          <w:szCs w:val="24"/>
        </w:rPr>
        <w:t>Abstract</w:t>
      </w:r>
      <w:bookmarkEnd w:id="137"/>
      <w:bookmarkEnd w:id="138"/>
    </w:p>
    <w:p w14:paraId="17980601" w14:textId="78954A90" w:rsidR="003D5DE8" w:rsidRPr="009672FC" w:rsidRDefault="007549AA" w:rsidP="002663FA">
      <w:pPr>
        <w:spacing w:line="360" w:lineRule="auto"/>
        <w:jc w:val="both"/>
        <w:rPr>
          <w:rFonts w:ascii="Garamond" w:hAnsi="Garamond"/>
          <w:color w:val="000000" w:themeColor="text1"/>
        </w:rPr>
      </w:pPr>
      <w:r w:rsidRPr="009672FC">
        <w:rPr>
          <w:rFonts w:ascii="Garamond" w:hAnsi="Garamond"/>
          <w:color w:val="000000" w:themeColor="text1"/>
        </w:rPr>
        <w:t xml:space="preserve">The purpose of this research is to explore the influence of institution-based trust </w:t>
      </w:r>
      <w:r w:rsidR="00813D37" w:rsidRPr="009672FC">
        <w:rPr>
          <w:rFonts w:ascii="Garamond" w:hAnsi="Garamond"/>
          <w:color w:val="000000"/>
        </w:rPr>
        <w:t>dimensions</w:t>
      </w:r>
      <w:r w:rsidR="00813D37" w:rsidRPr="009672FC">
        <w:rPr>
          <w:rFonts w:ascii="Garamond" w:hAnsi="Garamond"/>
          <w:color w:val="000000" w:themeColor="text1"/>
        </w:rPr>
        <w:t xml:space="preserve"> </w:t>
      </w:r>
      <w:r w:rsidRPr="009672FC">
        <w:rPr>
          <w:rFonts w:ascii="Garamond" w:hAnsi="Garamond"/>
          <w:color w:val="000000" w:themeColor="text1"/>
        </w:rPr>
        <w:t xml:space="preserve">on </w:t>
      </w:r>
      <w:r w:rsidR="002663FA" w:rsidRPr="009672FC">
        <w:rPr>
          <w:rFonts w:ascii="Garamond" w:hAnsi="Garamond"/>
          <w:color w:val="000000" w:themeColor="text1"/>
        </w:rPr>
        <w:t xml:space="preserve">the </w:t>
      </w:r>
      <w:r w:rsidRPr="009672FC">
        <w:rPr>
          <w:rFonts w:ascii="Garamond" w:hAnsi="Garamond"/>
          <w:color w:val="000000" w:themeColor="text1"/>
        </w:rPr>
        <w:t xml:space="preserve">inter-firm business relationship. Trust in </w:t>
      </w:r>
      <w:r w:rsidR="002663FA" w:rsidRPr="009672FC">
        <w:rPr>
          <w:rFonts w:ascii="Garamond" w:hAnsi="Garamond"/>
          <w:color w:val="000000" w:themeColor="text1"/>
        </w:rPr>
        <w:t xml:space="preserve">an </w:t>
      </w:r>
      <w:r w:rsidRPr="009672FC">
        <w:rPr>
          <w:rFonts w:ascii="Garamond" w:hAnsi="Garamond"/>
          <w:color w:val="000000" w:themeColor="text1"/>
        </w:rPr>
        <w:t xml:space="preserve">inter-firm business relationship has suffered a relative paucity in alliance research. The risks and vulnerabilities from behavioural and environmental uncertainties in the business environment, particularly, in Africa have made managers/entrepreneurs highly </w:t>
      </w:r>
      <w:proofErr w:type="spellStart"/>
      <w:r w:rsidRPr="009672FC">
        <w:rPr>
          <w:rFonts w:ascii="Garamond" w:hAnsi="Garamond"/>
          <w:color w:val="000000" w:themeColor="text1"/>
        </w:rPr>
        <w:t>sceptical</w:t>
      </w:r>
      <w:proofErr w:type="spellEnd"/>
      <w:r w:rsidRPr="009672FC">
        <w:rPr>
          <w:rFonts w:ascii="Garamond" w:hAnsi="Garamond"/>
          <w:color w:val="000000" w:themeColor="text1"/>
        </w:rPr>
        <w:t xml:space="preserve"> in their business relationships. While bigger corporations rely on formal contracts, small-and-medium-sized firms are mainly vulnerable in their business relationships, which is </w:t>
      </w:r>
      <w:proofErr w:type="gramStart"/>
      <w:r w:rsidRPr="009672FC">
        <w:rPr>
          <w:rFonts w:ascii="Garamond" w:hAnsi="Garamond"/>
          <w:color w:val="000000" w:themeColor="text1"/>
        </w:rPr>
        <w:t>as a result of</w:t>
      </w:r>
      <w:proofErr w:type="gramEnd"/>
      <w:r w:rsidRPr="009672FC">
        <w:rPr>
          <w:rFonts w:ascii="Garamond" w:hAnsi="Garamond"/>
          <w:color w:val="000000" w:themeColor="text1"/>
        </w:rPr>
        <w:t xml:space="preserve"> the constraints related to newness, size, and resource positions, providing them with little legal safety nets. In such environments, deepening mutual trust between SMEs is central to knowledge exchange and innovation performance. </w:t>
      </w:r>
      <w:bookmarkStart w:id="139" w:name="_Hlk72416921"/>
      <w:r w:rsidRPr="009672FC">
        <w:rPr>
          <w:rFonts w:ascii="Garamond" w:hAnsi="Garamond"/>
          <w:color w:val="000000" w:themeColor="text1"/>
        </w:rPr>
        <w:t>A quantitative survey of S</w:t>
      </w:r>
      <w:r w:rsidRPr="009672FC">
        <w:rPr>
          <w:rFonts w:ascii="Garamond" w:hAnsi="Garamond"/>
        </w:rPr>
        <w:t>mall-and-Medium-sized Enterprises (SMEs) in the Gambia was employed.</w:t>
      </w:r>
      <w:bookmarkEnd w:id="139"/>
      <w:r w:rsidRPr="009672FC">
        <w:rPr>
          <w:rFonts w:ascii="Garamond" w:hAnsi="Garamond"/>
          <w:color w:val="000000" w:themeColor="text1"/>
        </w:rPr>
        <w:t xml:space="preserve"> The sample was drawn from SMEs in the various sectors (general merchandise, Agriculture, clothing, micro-finance, etc.,) using a simple random sampling method of respondents including 108 CEOs, owner-managers/entrepreneurs of SMEs. We used validated questionnaires to test the hypothesized relationships between perceived institutional trust factors (competence trust, reliability trust, similarity/identification trust, and openness trust), relational risk and innovation performance. The findings show that trust in institutional openness and honesty, similarity/identification, and relational risk have a significant and positive impact on </w:t>
      </w:r>
      <w:r w:rsidR="002663FA" w:rsidRPr="009672FC">
        <w:rPr>
          <w:rFonts w:ascii="Garamond" w:hAnsi="Garamond"/>
          <w:color w:val="000000" w:themeColor="text1"/>
        </w:rPr>
        <w:t xml:space="preserve">the </w:t>
      </w:r>
      <w:r w:rsidRPr="009672FC">
        <w:rPr>
          <w:rFonts w:ascii="Garamond" w:hAnsi="Garamond"/>
          <w:color w:val="000000" w:themeColor="text1"/>
        </w:rPr>
        <w:t xml:space="preserve">innovation performance of SMEs. Furthermore, relational risk mediates the relationship between </w:t>
      </w:r>
      <w:r w:rsidRPr="009672FC">
        <w:rPr>
          <w:rFonts w:ascii="Garamond" w:hAnsi="Garamond"/>
          <w:color w:val="000000" w:themeColor="text1"/>
        </w:rPr>
        <w:lastRenderedPageBreak/>
        <w:t>trust in institutional reliability and innovation. Also, the effect of institutional openness and honesty, on innovation is mediated by relational risk. Finally, our study also established that institutional trust-building practices differ greatly by the size of the enterprise: small vs medium). Small firms are found to be more vulnerable to relational risks of inter-firm similarity (over-familiarity) than medium-sized firms. On the other hand, medium</w:t>
      </w:r>
      <w:r w:rsidR="002663FA" w:rsidRPr="009672FC">
        <w:rPr>
          <w:rFonts w:ascii="Garamond" w:hAnsi="Garamond"/>
          <w:color w:val="000000" w:themeColor="text1"/>
        </w:rPr>
        <w:t>-</w:t>
      </w:r>
      <w:r w:rsidRPr="009672FC">
        <w:rPr>
          <w:rFonts w:ascii="Garamond" w:hAnsi="Garamond"/>
          <w:color w:val="000000" w:themeColor="text1"/>
        </w:rPr>
        <w:t>sized firms are vulnerable to high relational risks influencing institutional openness and competence on innovation performance. Implications of the results and suggestions for institutional trust-building in inter-firm relationships involving SMEs are suggested.</w:t>
      </w:r>
      <w:r w:rsidR="002663FA" w:rsidRPr="009672FC">
        <w:rPr>
          <w:rFonts w:ascii="Garamond" w:hAnsi="Garamond"/>
          <w:color w:val="000000" w:themeColor="text1"/>
        </w:rPr>
        <w:t xml:space="preserve"> </w:t>
      </w:r>
      <w:r w:rsidRPr="009672FC">
        <w:rPr>
          <w:rFonts w:ascii="Garamond" w:hAnsi="Garamond"/>
          <w:color w:val="000000" w:themeColor="text1"/>
          <w:shd w:val="clear" w:color="auto" w:fill="FFFFFF"/>
        </w:rPr>
        <w:t>The study makes important contributions to inter-firm alliance research and the innovation performance literature. The findings also contribute to the existing empirical studies on how institutional trust factors affect inter-firm innovation performance and the mediating role of relational risk involved in inter-firm business relationships, and in setting up an inter-organizational relationship based on strong institutional-based trust for SMEs. To the best of our knowledge, this study is the first that attempts to explore the inter-firm trust-building practice among Gambia’s SMEs.</w:t>
      </w:r>
    </w:p>
    <w:p w14:paraId="3E2B1E51" w14:textId="77777777" w:rsidR="003D5DE8" w:rsidRPr="009672FC" w:rsidRDefault="007549AA">
      <w:pPr>
        <w:spacing w:before="240" w:line="360" w:lineRule="auto"/>
        <w:jc w:val="both"/>
        <w:rPr>
          <w:rFonts w:ascii="Garamond" w:hAnsi="Garamond"/>
          <w:b/>
          <w:bCs/>
          <w:color w:val="000000" w:themeColor="text1"/>
        </w:rPr>
      </w:pPr>
      <w:r w:rsidRPr="009672FC">
        <w:rPr>
          <w:rFonts w:ascii="Garamond" w:hAnsi="Garamond"/>
          <w:b/>
          <w:bCs/>
          <w:color w:val="000000" w:themeColor="text1"/>
        </w:rPr>
        <w:t xml:space="preserve">Keywords </w:t>
      </w:r>
      <w:r w:rsidRPr="009672FC">
        <w:rPr>
          <w:rFonts w:ascii="Garamond" w:hAnsi="Garamond"/>
          <w:color w:val="000000" w:themeColor="text1"/>
          <w:shd w:val="clear" w:color="auto" w:fill="FFFFFF"/>
        </w:rPr>
        <w:t>–Trust-building, inter-firm relationship, SMEs, institution-based trust, Gambia, innovation performance.</w:t>
      </w:r>
    </w:p>
    <w:p w14:paraId="1736EDFB" w14:textId="77777777" w:rsidR="003D5DE8" w:rsidRPr="009672FC" w:rsidRDefault="003D5DE8">
      <w:pPr>
        <w:spacing w:line="360" w:lineRule="auto"/>
        <w:jc w:val="both"/>
        <w:rPr>
          <w:rFonts w:ascii="Garamond" w:hAnsi="Garamond"/>
          <w:b/>
          <w:bCs/>
          <w:color w:val="000000" w:themeColor="text1"/>
        </w:rPr>
      </w:pPr>
    </w:p>
    <w:p w14:paraId="315486E2" w14:textId="37446E14" w:rsidR="003D5DE8" w:rsidRPr="009672FC" w:rsidRDefault="007549AA">
      <w:pPr>
        <w:pStyle w:val="Title"/>
        <w:numPr>
          <w:ilvl w:val="1"/>
          <w:numId w:val="10"/>
        </w:numPr>
        <w:spacing w:line="360" w:lineRule="auto"/>
        <w:jc w:val="both"/>
        <w:outlineLvl w:val="1"/>
        <w:rPr>
          <w:rFonts w:ascii="Garamond" w:hAnsi="Garamond" w:cs="Times New Roman"/>
          <w:b/>
          <w:bCs/>
          <w:color w:val="000000" w:themeColor="text1"/>
          <w:sz w:val="24"/>
          <w:szCs w:val="24"/>
        </w:rPr>
      </w:pPr>
      <w:r w:rsidRPr="009672FC">
        <w:rPr>
          <w:rFonts w:ascii="Garamond" w:hAnsi="Garamond" w:cs="Times New Roman"/>
          <w:b/>
          <w:bCs/>
          <w:color w:val="000000" w:themeColor="text1"/>
          <w:sz w:val="24"/>
          <w:szCs w:val="24"/>
        </w:rPr>
        <w:t xml:space="preserve"> </w:t>
      </w:r>
      <w:bookmarkStart w:id="140" w:name="_Toc85708740"/>
      <w:bookmarkStart w:id="141" w:name="_Toc85709754"/>
      <w:r w:rsidRPr="009672FC">
        <w:rPr>
          <w:rFonts w:ascii="Garamond" w:hAnsi="Garamond" w:cs="Times New Roman"/>
          <w:b/>
          <w:bCs/>
          <w:color w:val="000000" w:themeColor="text1"/>
          <w:sz w:val="24"/>
          <w:szCs w:val="24"/>
        </w:rPr>
        <w:t>Introduction</w:t>
      </w:r>
      <w:bookmarkEnd w:id="140"/>
      <w:bookmarkEnd w:id="141"/>
    </w:p>
    <w:p w14:paraId="705D5530" w14:textId="368BD63F" w:rsidR="00890FB2" w:rsidRPr="009672FC" w:rsidRDefault="007549AA" w:rsidP="00890FB2">
      <w:pPr>
        <w:spacing w:line="360" w:lineRule="auto"/>
        <w:jc w:val="both"/>
        <w:rPr>
          <w:rFonts w:ascii="Garamond" w:hAnsi="Garamond"/>
          <w:color w:val="000000" w:themeColor="text1"/>
        </w:rPr>
      </w:pPr>
      <w:r w:rsidRPr="009672FC">
        <w:rPr>
          <w:rFonts w:ascii="Garamond" w:hAnsi="Garamond"/>
          <w:color w:val="000000" w:themeColor="text1"/>
        </w:rPr>
        <w:t xml:space="preserve">The increasing behavioural uncertainties (opportunism) in business relationships intensify the importance of trust between economic actors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{"citationItems":[{"id":"ITEM-1","itemData":{"DOI":"10.1007/s11846-014-0127-7","ISSN":"18636691","abstract":"In this study we investigate the impact of trust on the performance of cooperating firms, taking into account two core aspects: First, we look at environmental uncertainty, which shows in the degree of change there is in business freedom. Second, we account for behavioral uncertainty—captured as the average level of freedom from corruption in a country. Based on survey data from 791 firms engaged in national cooperation in Austria, the Czech Republic, Finland, Hungary, Slovakia and Slovenia, we find that behavioral coordination based on trust impacts on cooperating firms’ performance positively in dynamic and negatively in stable contexts. Freedom from corruption enhances firm performance in dynamic contexts but is not a significant predictor in stable contexts. Further, we find the trust–performance relationship to be moderated by freedom from corruption in dynamic but not in stable contexts. The findings contribute to a more contextualized research on trust and interorganizational cooperation, as has been called for recently.","author":[{"dropping-particle":"","family":"Hatak","given":"Isabella","non-dropping-particle":"","parse-names":false,"suffix":""},{"dropping-particle":"","family":"Fink","given":"Matthias","non-dropping-particle":"","parse-names":false,"suffix":""},{"dropping-particle":"","family":"Frank","given":"Hermann","non-dropping-particle":"","parse-names":false,"suffix":""}],"container-title":"Review of Managerial Science","id":"ITEM-1","issue":"3","issued":{"date-parts":[["2015"]]},"page":"523-547","publisher":"Springer Berlin Heidelberg","title":"Business freedom, corruption and the performance of trusting cooperation partners: empirical findings from six European countries","type":"article-journal","volume":"9"},"uris":["http://www.mendeley.com/documents/?uuid=c8adb13d-5d68-4824-933f-767141c4e869"]}],"mendeley":{"formattedCitation":"(Hatak, Fink, &amp; Frank, 2015)","plainTextFormattedCitation":"(Hatak, Fink, &amp; Frank, 2015)","previouslyFormattedCitation":"(Hatak et al., 2015)"},"properties":{"noteIndex":0},"schema":"https://github.com/citation-style-language/schema/raw/master/csl-citation.json"}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iCs/>
          <w:noProof/>
          <w:color w:val="000000" w:themeColor="text1"/>
        </w:rPr>
        <w:t>(Hatak, Fink, &amp; Frank, 2015)</w:t>
      </w:r>
      <w:r w:rsidRPr="009672FC">
        <w:rPr>
          <w:rFonts w:ascii="Garamond" w:hAnsi="Garamond"/>
          <w:color w:val="000000"/>
        </w:rPr>
        <w:fldChar w:fldCharType="end"/>
      </w:r>
      <w:r w:rsidRPr="009672FC">
        <w:rPr>
          <w:rFonts w:ascii="Garamond" w:hAnsi="Garamond"/>
          <w:color w:val="000000" w:themeColor="text1"/>
        </w:rPr>
        <w:t xml:space="preserve">. Scholars have recognized the importance of trust on performance in various contexts, such as interpersonal relationships in an organization </w:t>
      </w:r>
      <w:r w:rsidRPr="009672FC">
        <w:rPr>
          <w:rFonts w:ascii="Garamond" w:hAnsi="Garamond"/>
        </w:rPr>
        <w:fldChar w:fldCharType="begin" w:fldLock="1"/>
      </w:r>
      <w:r w:rsidR="00813D37" w:rsidRPr="009672FC">
        <w:rPr>
          <w:rFonts w:ascii="Garamond" w:hAnsi="Garamond"/>
          <w:color w:val="000000"/>
        </w:rPr>
        <w:instrText>ADDIN CSL_CITATION {"citationItems":[{"id":"ITEM-1","itemData":{"author":[{"dropping-particle":"","family":"Shockey-Zalabak","given":"Pamela","non-dropping-particle":"","parse-names":false,"suffix":""},{"dropping-particle":"","family":"Ellis","given":"Kathleen","non-dropping-particle":"","parse-names":false,"suffix":""},{"dropping-particle":"","family":"Winograd","given":"Gaynelle","non-dropping-particle":"","parse-names":false,"suffix":""}],"container-title":"Orgaization Development Journal.","id":"ITEM-1","issue":"4","issued":{"date-parts":[["2000"]]},"page":"35","title":"Organizational Trust: What It Means, Why It Matters?","type":"article-journal","volume":"18"},"uris":["http://www.mendeley.com/documents/?uuid=142d9ee3-5fdc-49bb-9018-c45daf229e22"]}],"mendeley":{"formattedCitation":"(Shockey-Zalabak, Ellis, &amp; Winograd, 2000)","manualFormatting":"(Guinot et al., 2013; Gilbert and Tang, 1998; Shockey-Zalabak et al., 2000;","plainTextFormattedCitation":"(Shockey-Zalabak, Ellis, &amp; Winograd, 2000)","previouslyFormattedCitation":"(Shockey-Zalabak et al.,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t>
      </w:r>
      <w:r w:rsidRPr="009672FC">
        <w:rPr>
          <w:rFonts w:ascii="Garamond" w:hAnsi="Garamond"/>
          <w:noProof/>
        </w:rPr>
        <w:fldChar w:fldCharType="begin" w:fldLock="1"/>
      </w:r>
      <w:r w:rsidR="00813D37" w:rsidRPr="009672FC">
        <w:rPr>
          <w:rFonts w:ascii="Garamond" w:hAnsi="Garamond"/>
          <w:noProof/>
          <w:color w:val="000000"/>
        </w:rPr>
        <w:instrText>ADDIN CSL_CITATION {"citationItems":[{"id":"ITEM-1","itemData":{"DOI":"10.1017/jmo.2014.3","ISSN":"18333672","abstract":"Despite the fact that the majority of studies have suggested that it is beneficial for organizational performance, some empirical evidence has generated contradictory results concerning these variables. For this reason, this research attempts to look in-depth at the relationships between trust and organizational performance, using organizational learning capability as an explanatory variable. To confirm the hypotheses, the structural equation technique was used on data from a survey carried out in Spanish firms with recognized excellence in human resources management. The results obtained show that, in these firms, organizational learning capability mediates in the relationship between trust and organizational performance. Copyright © 2013 Cambridge University Press and Australian and New Zealand Academy of Management.","author":[{"dropping-particle":"","family":"Guinot","given":"Jacob","non-dropping-particle":"","parse-names":false,"suffix":""},{"dropping-particle":"","family":"Chiva","given":"Ricardo","non-dropping-particle":"","parse-names":false,"suffix":""},{"dropping-particle":"","family":"Mallén","given":"Fermín","non-dropping-particle":"","parse-names":false,"suffix":""}],"container-title":"Journal of Management and Organization","id":"ITEM-1","issue":"5","issued":{"date-parts":[["2013"]]},"page":"559-582","title":"Organizational trust and performance: Is organizational learning capability a missing link?","type":"article-journal","volume":"19"},"uris":["http://www.mendeley.com/documents/?uuid=e1112632-9fc0-4a8e-a7bc-4c5eb860990f"]}],"mendeley":{"formattedCitation":"(Guinot, Chiva, &amp; Mallén, 2013)","manualFormatting":"Guinot et al., 2013;","plainTextFormattedCitation":"(Guinot, Chiva, &amp; Mallén, 2013)","previouslyFormattedCitation":"(Guinot et al., 2013)"},"properties":{"noteIndex":0},"schema":"https://github.com/citation-style-language/schema/raw/master/csl-citation.json"}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Guinot et al., 2013;</w:t>
      </w:r>
      <w:r w:rsidRPr="009672FC">
        <w:rPr>
          <w:rFonts w:ascii="Garamond" w:hAnsi="Garamond"/>
          <w:noProof/>
          <w:color w:val="000000"/>
        </w:rPr>
        <w:fldChar w:fldCharType="end"/>
      </w:r>
      <w:r w:rsidRPr="009672FC">
        <w:rPr>
          <w:rFonts w:ascii="Garamond" w:hAnsi="Garamond"/>
          <w:noProof/>
          <w:color w:val="000000" w:themeColor="text1"/>
        </w:rPr>
        <w:t xml:space="preserve"> </w:t>
      </w:r>
      <w:r w:rsidRPr="009672FC">
        <w:rPr>
          <w:rFonts w:ascii="Garamond" w:hAnsi="Garamond"/>
          <w:noProof/>
        </w:rPr>
        <w:fldChar w:fldCharType="begin" w:fldLock="1"/>
      </w:r>
      <w:r w:rsidRPr="009672FC">
        <w:rPr>
          <w:rFonts w:ascii="Garamond" w:hAnsi="Garamond"/>
          <w:noProof/>
          <w:color w:val="000000"/>
        </w:rPr>
        <w:instrText>ADDIN CSL_CITATION {"citationItems":[{"id":"ITEM-1","itemData":{"DOI":"10.1177/009102609802700303","ISSN":"00910260","abstract":"The objective of this research is to empirically assess antecedents of organizational trust. To accomplish this objective, 83 managerial employees were surveyed in a branch of a federal governmental agency located in a large metropolitan city in the Southwestern United States. Multiple regression analysis showed that age, marital status, and work group cohesion were positively associated with organizational trust. Organizational trust did not differ by either race or gender. Results are discussed in light of competitive challenges facing human resource managers.","author":[{"dropping-particle":"","family":"Gilbert","given":"Jacqueline A.","non-dropping-particle":"","parse-names":false,"suffix":""},{"dropping-particle":"","family":"Tang","given":"Thomas Li Ping","non-dropping-particle":"","parse-names":false,"suffix":""}],"container-title":"Public Personnel Management","id":"ITEM-1","issue":"3","issued":{"date-parts":[["1998"]]},"page":"321-335","title":"An examination of organizational trust antecedents","type":"article-journal","volume":"27"},"uris":["http://www.mendeley.com/documents/?uuid=65e21396-80d4-460f-ae89-fbae942ce3cd"]}],"mendeley":{"formattedCitation":"(Gilbert &amp; Tang, 1998)","manualFormatting":"Gilbert and Tang, 1998","plainTextFormattedCitation":"(Gilbert &amp; Tang, 1998)","previouslyFormattedCitation":"(Gilbert &amp; Tang, 1998)"},"properties":{"noteIndex":0},"schema":"https://github.com/citation-style-language/schema/raw/master/csl-citation.json"}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Gilbert and Tang, 1998</w:t>
      </w:r>
      <w:r w:rsidRPr="009672FC">
        <w:rPr>
          <w:rFonts w:ascii="Garamond" w:hAnsi="Garamond"/>
          <w:noProof/>
          <w:color w:val="000000"/>
        </w:rPr>
        <w:fldChar w:fldCharType="end"/>
      </w:r>
      <w:r w:rsidRPr="009672FC">
        <w:rPr>
          <w:rFonts w:ascii="Garamond" w:hAnsi="Garamond"/>
          <w:noProof/>
          <w:color w:val="000000" w:themeColor="text1"/>
        </w:rPr>
        <w:t>; Shockey-Zalabak et al., 2000;</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{"citationItems":[{"id":"ITEM-1","itemData":{"ISSN":"1554-3145","abstract":"This study investigated the effects of supervisors' trust of their subordinates and their organization on job satisfaction and organizational commitment. Using survey data collected from 117 district sales managers in one large pharmaceutical company, the study found a significant relationship between supervisors' trust of their subordinates and supervisors' job satisfaction. Further, supervisors' trust of the organization was found to have a greater effect on job satisfaction than that of supervisors' trust of their subordinates. examined the trust relationship between supervisors and subordinates from the standpoint of the subordinate. These studies failed to investigate trust from the perspective of the supervisor. The purpose of this study was to investigate how supervisors' trust of their subordinates and their organization affect job satisfaction and affective organizational commitment. The study examined this question in a sample of 117 district sales managers within a pharmaceutical company. Background","author":[{"dropping-particle":"","family":"Straiter","given":"Kristin L","non-dropping-particle":"","parse-names":false,"suffix":""}],"container-title":"International Journal of Leadership Studies Previous studies","id":"ITEM-1","issue":"1","issued":{"date-parts":[["2005"]]},"page":"86-101","title":"The Effects of Supervisors' Trust of Subordinates and their Organization on Job Satisfaction and Organizational Commitment","type":"article-journal","volume":"1"},"uris":["http://www.mendeley.com/documents/?uuid=630764ce-e117-4dc8-a350-624350a2d567"]}],"mendeley":{"formattedCitation":"(Straiter, 2005)","manualFormatting":" Straiter, 2005;","plainTextFormattedCitation":"(Straiter, 2005)","previouslyFormattedCitation":"(Straiter, 2005)"},"properties":{"noteIndex":0},"schema":"https://github.com/citation-style-language/schema/raw/master/csl-citation.json"}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Straiter, 2005;</w:t>
      </w:r>
      <w:r w:rsidRPr="009672FC">
        <w:rPr>
          <w:rFonts w:ascii="Garamond" w:hAnsi="Garamond"/>
          <w:color w:val="000000"/>
        </w:rPr>
        <w:fldChar w:fldCharType="end"/>
      </w:r>
      <w:r w:rsidRPr="009672FC">
        <w:rPr>
          <w:rFonts w:ascii="Garamond" w:hAnsi="Garamond"/>
        </w:rPr>
        <w:fldChar w:fldCharType="begin" w:fldLock="1"/>
      </w:r>
      <w:r w:rsidR="00813D37" w:rsidRPr="009672FC">
        <w:rPr>
          <w:rFonts w:ascii="Garamond" w:hAnsi="Garamond"/>
          <w:color w:val="000000"/>
        </w:rPr>
        <w:instrText>ADDIN CSL_CITATION {"citationItems":[{"id":"ITEM-1","itemData":{"DOI":"10.1111/1467-8551.12305","ISSN":"14678551","abstract":"Building on theories of social exchange, enactment and trust, we provide a theorization of innovative work behaviour at the individual (IB) and team (IBT) levels and explain how desirable performance returns occur for individuals and teams. We further propose that horizontal (between team members) and vertical (between teams and their supervisor) team trust moderate the relationship between IBT and team performance. The results, based on surveys conducted at two points in time in a large insurance company in the Netherlands, show that employees’ IB is positively associated with perceived workplace performance at the individual and team levels and that the effects vary based on the forms of trust at play. Our findings offer important new knowledge about the consequences of entrepreneurship and innovation in the workplace and the significant role that trust plays in enabling such behaviour to promote perceived workplace performance, particularly in the vital financial services sector.","author":[{"dropping-particle":"","family":"Hughes","given":"Mathew","non-dropping-particle":"","parse-names":false,"suffix":""},{"dropping-particle":"","family":"Rigtering","given":"J. P.Coen","non-dropping-particle":"","parse-names":false,"suffix":""},{"dropping-particle":"","family":"Covin","given":"Jeffrey G.","non-dropping-particle":"","parse-names":false,"suffix":""},{"dropping-particle":"","family":"Bouncken","given":"Ricarda B.","non-dropping-particle":"","parse-names":false,"suffix":""},{"dropping-particle":"","family":"Kraus","given":"Sascha","non-dropping-particle":"","parse-names":false,"suffix":""}],"container-title":"British Journal of Management","id":"ITEM-1","issue":"4","issued":{"date-parts":[["2018"]]},"page":"750-768","title":"Innovative Behaviour, Trust and Perceived Workplace Performance","type":"article-journal","volume":"29"},"uris":["http://www.mendeley.com/documents/?uuid=10afa6f9-39ac-46da-9dc2-203fe21855cc"]}],"mendeley":{"formattedCitation":"(Hughes, Rigtering, Covin, Bouncken, &amp; Kraus, 2018)","manualFormatting":" Hughes et al., 2018)","plainTextFormattedCitation":"(Hughes, Rigtering, Covin, Bouncken, &amp; Kraus, 2018)","previouslyFormattedCitation":"(Hughes et al., 2018)"},"properties":{"noteIndex":0},"schema":"https://github.com/citation-style-language/schema/raw/master/csl-citation.json"}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Hughes et al., 2018)</w:t>
      </w:r>
      <w:r w:rsidRPr="009672FC">
        <w:rPr>
          <w:rFonts w:ascii="Garamond" w:hAnsi="Garamond"/>
          <w:color w:val="000000"/>
        </w:rPr>
        <w:fldChar w:fldCharType="end"/>
      </w:r>
      <w:r w:rsidRPr="009672FC">
        <w:rPr>
          <w:rFonts w:ascii="Garamond" w:hAnsi="Garamond"/>
          <w:color w:val="000000" w:themeColor="text1"/>
        </w:rPr>
        <w:t xml:space="preserve">, in inter-organizational relationships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{"citationItems":[{"id":"ITEM-1","itemData":{"DOI":"10.1177/0149206315596813","ISSN":"15571211","abstract":"Trust is an important factor for managing transaction costs within interorganizational relationships (IORs). Research on trust indicates that separate dimensions of trust arise from a partner’s competence (i.e., technical skills, experience, and reliability) and integrity (i.e., motives, honesty, and character), and that these dimensions have potentially unique effects. Because scholars rarely apply this distinction within IOR research, past studies may have masked important relationships involving competence- and integrity-based trust. In response, we build and test theory that explains how competence- and integrity-based trust have asymmetric effects on different kinds of transaction costs. In particular, we build on theory that describes how parties process positive and negative information about others’ behavior to predict that integrity-based trust in IORs is more potent for reducing transaction costs than is competence-based trust. We also theorize that building strong IORs requires more up-front investment with competence-based but not with integrity-based trust. By applying meta-analytic structural equation modeling to data on 37,366 IORs drawn from 150 samples, we find that integrity-based trust is about 10 times more effective at reducing these costs. A key implication is that managers seeking to improve the efficiency of their IORs may do well by performing competently, but they can do even better by building perceptions of integrity.","author":[{"dropping-particle":"","family":"Connelly","given":"Brian L.","non-dropping-particle":"","parse-names":false,"suffix":""},{"dropping-particle":"","family":"Crook","given":"T. Russell","non-dropping-particle":"","parse-names":false,"suffix":""},{"dropping-particle":"","family":"Combs","given":"James G.","non-dropping-particle":"","parse-names":false,"suffix":""},{"dropping-particle":"","family":"Ketchen","given":"David J.","non-dropping-particle":"","parse-names":false,"suffix":""},{"dropping-particle":"","family":"Aguinis","given":"Herman","non-dropping-particle":"","parse-names":false,"suffix":""}],"container-title":"Journal of Management","id":"ITEM-1","issue":"3","issued":{"date-parts":[["2018"]]},"page":"919-945","title":"Competence- and Integrity-Based Trust in Interorganizational Relationships: Which Matters More?","type":"article-journal","volume":"44"},"uris":["http://www.mendeley.com/documents/?uuid=3d66014e-e338-4b18-a506-9351e27f03fe"]}],"mendeley":{"formattedCitation":"(Connelly, Crook, Combs, Ketchen, &amp; Aguinis, 2018)","manualFormatting":"(Connelly et al., 2018;","plainTextFormattedCitation":"(Connelly, Crook, Combs, Ketchen, &amp; Aguinis, 2018)","previouslyFormattedCitation":"(Connelly et al., 2018)"},"properties":{"noteIndex":0},"schema":"https://github.com/citation-style-language/schema/raw/master/csl-citation.json"}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(Connelly et al., 2018;</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Kroeger, 2012;</w:t>
      </w:r>
      <w:r w:rsidRPr="009672FC">
        <w:rPr>
          <w:rFonts w:ascii="Garamond" w:hAnsi="Garamond"/>
          <w:color w:val="000000"/>
        </w:rPr>
        <w:fldChar w:fldCharType="end"/>
      </w:r>
      <w:r w:rsidRPr="009672FC">
        <w:rPr>
          <w:rFonts w:ascii="Garamond" w:hAnsi="Garamond"/>
        </w:rPr>
        <w:fldChar w:fldCharType="begin" w:fldLock="1"/>
      </w:r>
      <w:r w:rsidR="00813D37" w:rsidRPr="009672FC">
        <w:rPr>
          <w:rFonts w:ascii="Garamond" w:hAnsi="Garamond"/>
          <w:color w:val="000000"/>
        </w:rPr>
        <w:instrText>ADDIN CSL_CITATION {"citationItems":[{"id":"ITEM-1","itemData":{"DOI":"10.1177/0149206314546373","ISSN":"15571211","abstract":"Prior research on interorganizational trust (IOT) has drawn on multiple theories across disciplines, resulting in mixed findings. This meta-analysis combines the three major theories of IOT, namely, transaction cost economics, social embeddedness theory, and resource dependence theory, to retheorize about these IOT relationships. Specifically, we consolidate 168 tests of IOT across theories and corroborate the additive predictive validity of each of the three theories and their combined explanations on IOT development. In particular, by combining IOT theories, we find an inverted U-shaped relationship between relationship duration and IOT; we also find an intertemporal link among the three IOT theories, and relationship duration as the spanning factor functions to moderate the IOT relationships across theories. These findings serve to reconcile prior conflicting findings and shed new light on IOT development. We conclude our meta-analysis by providing directions for future research.","author":[{"dropping-particle":"","family":"Zhong","given":"Weiguo","non-dropping-particle":"","parse-names":false,"suffix":""},{"dropping-particle":"","family":"Su","given":"Chenting","non-dropping-particle":"","parse-names":false,"suffix":""},{"dropping-particle":"","family":"Peng","given":"Jisheng","non-dropping-particle":"","parse-names":false,"suffix":""},{"dropping-particle":"","family":"Yang","given":"Zhilin","non-dropping-particle":"","parse-names":false,"suffix":""}],"container-title":"Journal of Management","id":"ITEM-1","issue":"4","issued":{"date-parts":[["2017"]]},"page":"1050-1075","title":"Trust in Interorganizational Relationships: A Meta-Analytic Integration","type":"article-journal","volume":"43"},"uris":["http://www.mendeley.com/documents/?uuid=40afde51-7781-476a-9ee3-a5ad596c05a0"]}],"mendeley":{"formattedCitation":"(Zhong, Su, Peng, &amp; Yang, 2017)","manualFormatting":" Zhong et al., 2017; Pavlou et al., 2003; Pavlou, 2002)","plainTextFormattedCitation":"(Zhong, Su, Peng, &amp; Yang, 2017)","previouslyFormattedCitation":"(Zhong et al., 2017)"},"properties":{"noteIndex":0},"schema":"https://github.com/citation-style-language/schema/raw/master/csl-citation.json"}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Zhong et al., 2017; </w:t>
      </w:r>
      <w:r w:rsidRPr="009672FC">
        <w:rPr>
          <w:rFonts w:ascii="Garamond" w:hAnsi="Garamond"/>
          <w:noProof/>
        </w:rPr>
        <w:fldChar w:fldCharType="begin" w:fldLock="1"/>
      </w:r>
      <w:r w:rsidR="00813D37" w:rsidRPr="009672FC">
        <w:rPr>
          <w:rFonts w:ascii="Garamond" w:hAnsi="Garamond"/>
          <w:noProof/>
          <w:color w:val="000000"/>
        </w:rPr>
        <w:instrText>ADDIN CSL_CITATION {"citationItems":[{"id":"ITEM-1","itemData":{"DOI":"10.1109/HICSS.2003.1174574","ISBN":"0769518745","abstract":"Given the uncertainty of the online environment, institutional trust is fundamental in building and retaining online interorganizational relationships. The authors propose two types of institutional trust (a) third-party institution-based trust, which deals with intermediary driven structures, such as those in online B2B marketplaces, and (b) bilateral institutionalized trust, which deals with dyadic interorganizational processes, standards, and norms. We examine how institutional trust develops through their underlying dimensions (i) structural assurances, (ii) facilitating conditions, and (in) situational normality to engender trust and influence relationship continuity. This study focuses on the time-dependent nature of institutional trust from the exploratory to the maturity phase by describing (a) the role of bilateral relative to third-party institutional trust on buyer-supplier trust, and (b) the transition of the three underlying institutional dimensions on trust over the relationship's life cycle. This research has implications for (I) the longitudinal role of institutional trust in online relationship building, (2) the design of trust-building mechanisms in online B2B marketplaces, (3) the safe and cost-effective building of online interorganizational relationships, and (4) the literature on initial trust formation.","author":[{"dropping-particle":"","family":"Pavlou","given":"P. A.","non-dropping-particle":"","parse-names":false,"suffix":""},{"dropping-particle":"","family":"Tan","given":"Yao Hua","non-dropping-particle":"","parse-names":false,"suffix":""},{"dropping-particle":"","family":"Gefen","given":"D.","non-dropping-particle":"","parse-names":false,"suffix":""}],"container-title":"Proceedings of the 36th Annual Hawaii International Conference on System Sciences, HICSS 2003","id":"ITEM-1","issued":{"date-parts":[["2003"]]},"publisher":"IEEE","title":"The transitional role of institutional trust in online interorganizational relationships","type":"paper-conference"},"uris":["http://www.mendeley.com/documents/?uuid=96d91081-3f9f-412d-b8db-c10e28551021"]}],"mendeley":{"formattedCitation":"(P. A. Pavlou, Tan, &amp; Gefen, 2003)","manualFormatting":"Pavlou et al., 2003;","plainTextFormattedCitation":"(P. A. Pavlou, Tan, &amp; Gefen, 2003)","previouslyFormattedCitation":"(P. A. Pavlou et al., 2003)"},"properties":{"noteIndex":0},"schema":"https://github.com/citation-style-language/schema/raw/master/csl-citation.json"}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Pavlou et al., 2003;</w:t>
      </w:r>
      <w:r w:rsidRPr="009672FC">
        <w:rPr>
          <w:rFonts w:ascii="Garamond" w:hAnsi="Garamond"/>
          <w:noProof/>
          <w:color w:val="000000"/>
        </w:rPr>
        <w:fldChar w:fldCharType="end"/>
      </w:r>
      <w:r w:rsidRPr="009672FC">
        <w:rPr>
          <w:rFonts w:ascii="Garamond" w:hAnsi="Garamond"/>
          <w:noProof/>
        </w:rPr>
        <w:fldChar w:fldCharType="begin" w:fldLock="1"/>
      </w:r>
      <w:r w:rsidRPr="009672FC">
        <w:rPr>
          <w:rFonts w:ascii="Garamond" w:hAnsi="Garamond"/>
          <w:noProof/>
          <w:color w:val="000000"/>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 Pavlou, 2002","plainTextFormattedCitation":"(Paul A Pavlou, 2002)","previouslyFormattedCitation":"(Paul A Pavlou, 2002)"},"properties":{"noteIndex":0},"schema":"https://github.com/citation-style-language/schema/raw/master/csl-citation.json"}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 xml:space="preserve"> Pavlou, 2002</w:t>
      </w:r>
      <w:r w:rsidRPr="009672FC">
        <w:rPr>
          <w:rFonts w:ascii="Garamond" w:hAnsi="Garamond"/>
          <w:noProof/>
          <w:color w:val="000000"/>
        </w:rPr>
        <w:fldChar w:fldCharType="end"/>
      </w:r>
      <w:r w:rsidRPr="009672FC">
        <w:rPr>
          <w:rFonts w:ascii="Garamond" w:hAnsi="Garamond"/>
          <w:noProof/>
          <w:color w:val="000000" w:themeColor="text1"/>
        </w:rPr>
        <w:t>)</w:t>
      </w:r>
      <w:r w:rsidRPr="009672FC">
        <w:rPr>
          <w:rFonts w:ascii="Garamond" w:hAnsi="Garamond"/>
          <w:color w:val="000000"/>
        </w:rPr>
        <w:fldChar w:fldCharType="end"/>
      </w:r>
      <w:r w:rsidRPr="009672FC">
        <w:rPr>
          <w:rFonts w:ascii="Garamond" w:hAnsi="Garamond"/>
          <w:color w:val="000000" w:themeColor="text1"/>
        </w:rPr>
        <w:t xml:space="preserve"> and marketing and customer relationship domains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{"citationItems":[{"id":"ITEM-1","itemData":{"DOI":"10.1177/0092070302250902","ISBN":"0092070302","author":[{"dropping-particle":"","family":"Brashear","given":"Thomas G","non-dropping-particle":"","parse-names":false,"suffix":""},{"dropping-particle":"","family":"Boles","given":"James S","non-dropping-particle":"","parse-names":false,"suffix":""},{"dropping-particle":"","family":"Bellenger","given":"Danny N","non-dropping-particle":"","parse-names":false,"suffix":""},{"dropping-particle":"","family":"Brooks","given":"Charles M","non-dropping-particle":"","parse-names":false,"suffix":""}],"container-title":"Journal of the Academy of Marketing Science","id":"ITEM-1","issue":"2","issued":{"date-parts":[["2003"]]},"page":"189-200","title":"An Empirical Test of Trust-Building Processes and Outcomes in Sales Manager-Salesperson Relationships","type":"article-journal","volume":"31"},"uris":["http://www.mendeley.com/documents/?uuid=faeaba67-ae3f-4211-9a51-c11590eee5ba"]}],"mendeley":{"formattedCitation":"(Brashear, Boles, Bellenger, &amp; Brooks, 2003)","manualFormatting":"(Brashear et al., 2003;","plainTextFormattedCitation":"(Brashear, Boles, Bellenger, &amp; Brooks, 2003)","previouslyFormattedCitation":"(Brashear et al.,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(Brashear et al., 2003;</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{"citationItems":[{"id":"ITEM-1","itemData":{"author":[{"dropping-particle":"","family":"Morgan","given":"Robert M","non-dropping-particle":"","parse-names":false,"suffix":""},{"dropping-particle":"","family":"Hunt","given":"Shelby D","non-dropping-particle":"","parse-names":false,"suffix":""}],"container-title":"Journal of Marketing","id":"ITEM-1","issue":"July","issued":{"date-parts":[["1994"]]},"page":"20-38","title":"The Commitment-Trust Theory of Relationship Marketing","type":"article-journal","volume":"58"},"uris":["http://www.mendeley.com/documents/?uuid=9eeefcfd-0b80-493d-9661-8d8d26ace0af"]}],"mendeley":{"formattedCitation":"(Morgan &amp; Hunt, 1994)","manualFormatting":"Morgan and Hunt, 1994)","plainTextFormattedCitation":"(Morgan &amp; Hunt, 1994)","previouslyFormattedCitation":"(Morgan &amp; Hunt, 1994)"},"properties":{"noteIndex":0},"schema":"https://github.com/citation-style-language/schema/raw/master/csl-citation.json"}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Morgan and Hunt, 1994)</w:t>
      </w:r>
      <w:r w:rsidRPr="009672FC">
        <w:rPr>
          <w:rFonts w:ascii="Garamond" w:hAnsi="Garamond"/>
          <w:color w:val="000000"/>
        </w:rPr>
        <w:fldChar w:fldCharType="end"/>
      </w:r>
      <w:r w:rsidRPr="009672FC">
        <w:rPr>
          <w:rFonts w:ascii="Garamond" w:hAnsi="Garamond"/>
          <w:color w:val="000000" w:themeColor="text1"/>
        </w:rPr>
        <w:t xml:space="preserve">. Interfirm alliances enable the exchange of critical know-how and shared innovation practice between partners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&amp; Kraus, 2013)</w:t>
      </w:r>
      <w:r w:rsidRPr="009672FC">
        <w:rPr>
          <w:rFonts w:ascii="Garamond" w:hAnsi="Garamond"/>
          <w:color w:val="000000"/>
        </w:rPr>
        <w:fldChar w:fldCharType="end"/>
      </w:r>
      <w:r w:rsidRPr="009672FC">
        <w:rPr>
          <w:rFonts w:ascii="Garamond" w:hAnsi="Garamond"/>
          <w:color w:val="000000" w:themeColor="text1"/>
        </w:rPr>
        <w:t xml:space="preserve"> and entrepreneurial sensemaking in business relationships </w:t>
      </w:r>
      <w:r w:rsidRPr="009672FC">
        <w:rPr>
          <w:rFonts w:ascii="Garamond" w:hAnsi="Garamond"/>
        </w:rPr>
        <w:fldChar w:fldCharType="begin" w:fldLock="1"/>
      </w:r>
      <w:r w:rsidRPr="009672FC">
        <w:rPr>
          <w:rFonts w:ascii="Garamond" w:hAnsi="Garamond"/>
          <w:color w:val="000000"/>
        </w:rPr>
        <w:instrText>ADDIN CSL_CITATION {"citationItems":[{"id":"ITEM-1","itemData":{"DOI":"10.1016/j.jbusres.2013.11.023","ISSN":"01482963","abstract":"This paper summarizes the best papers of the Global Innovation and Knowledge Academy (GIKA) conference, which took place in July 2013 in Valencia, Spain. The Journal of Business Research has published a special issue entitled \"Developmental management: Theories, methods, and applications in entrepreneurship, innovation, and sensemaking\". All of them went through many rounds of double-blind reviews and revisions. Theories, methods, and applications are the three pillars to solve the issues in entrepreneurship, innovation, and sensemaking. Entrepreneurship contributes to the quality and future hopes of a sector, economy or even a country. The role of the entrepreneurs is crucial in creating value. Innovation has become important as the global economy seeks to escape from a period of major recession. In organizations, sensemaking consists of cognitive strategies for interpreting reality. It is interesting to examine how these three issues interacting with each other. And these papers contribute to various perspectives of these interactions in different countries. © 2013 Elsevier Inc.","author":[{"dropping-particle":"","family":"Huarng","given":"Kun Huang","non-dropping-particle":"","parse-names":false,"suffix":""},{"dropping-particle":"","family":"Ribeiro-Soriano","given":"Domingo Enrique","non-dropping-particle":"","parse-names":false,"suffix":""}],"container-title":"Journal of Business Research","id":"ITEM-1","issue":"5","issued":{"date-parts":[["2014"]]},"page":"657-662","publisher":"Elsevier Inc.","title":"Developmental management: Theories, methods, and applications in entrepreneurship, innovation, and sensemaking","type":"article-journal","volume":"67"},"uris":["http://www.mendeley.com/documents/?uuid=970cbb26-0335-48a5-99fc-3f4935ce1661"]}],"mendeley":{"formattedCitation":"(Huarng &amp; Ribeiro-Soriano, 2014)","plainTextFormattedCitation":"(Huarng &amp; Ribeiro-Soriano, 2014)","previouslyFormattedCitation":"(Huarng &amp; Ribeiro-Soriano, 2014)"},"properties":{"noteIndex":0},"schema":"https://github.com/citation-style-language/schema/raw/master/csl-citation.json"}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(Huarng &amp; Ribeiro-Soriano, 2014)</w:t>
      </w:r>
      <w:r w:rsidRPr="009672FC">
        <w:rPr>
          <w:rFonts w:ascii="Garamond" w:hAnsi="Garamond"/>
          <w:color w:val="000000"/>
        </w:rPr>
        <w:fldChar w:fldCharType="end"/>
      </w:r>
      <w:r w:rsidRPr="009672FC">
        <w:rPr>
          <w:rFonts w:ascii="Garamond" w:hAnsi="Garamond"/>
          <w:color w:val="000000" w:themeColor="text1"/>
        </w:rPr>
        <w:t xml:space="preserve">. Such collaborative practices are particularly important for small and medium-sized enterprises (henceforth, SMEs) to achieve technological innovation and improved </w:t>
      </w:r>
      <w:r w:rsidRPr="009672FC">
        <w:rPr>
          <w:rFonts w:ascii="Garamond" w:hAnsi="Garamond"/>
          <w:color w:val="000000" w:themeColor="text1"/>
        </w:rPr>
        <w:lastRenderedPageBreak/>
        <w:t xml:space="preserve">business model innovation </w:t>
      </w:r>
      <w:r w:rsidRPr="009672FC">
        <w:rPr>
          <w:rFonts w:ascii="Garamond" w:hAnsi="Garamond"/>
        </w:rPr>
        <w:fldChar w:fldCharType="begin" w:fldLock="1"/>
      </w:r>
      <w:r w:rsidRPr="009672FC">
        <w:rPr>
          <w:rFonts w:ascii="Garamond" w:hAnsi="Garamond"/>
          <w:color w:val="000000"/>
        </w:rPr>
        <w:instrText>ADDIN CSL_CITATION {"citationItems":[{"id":"ITEM-1","itemData":{"ISBN":"9783319533506","author":[{"dropping-particle":"","family":"Andreini","given":"Daniela","non-dropping-particle":"","parse-names":false,"suffix":""},{"dropping-particle":"","family":"Bettinelli","given":"Cristina","non-dropping-particle":"","parse-names":false,"suffix":""}],"id":"ITEM-1","issued":{"date-parts":[["2017"]]},"number-of-pages":"1-185","title":"Business Model Innovation: From Systematic Literature Review to Future Research Directions","type":"book"},"uris":["http://www.mendeley.com/documents/?uuid=9a89ea9c-9992-4cd8-9155-7410fc858ca3"]}],"mendeley":{"formattedCitation":"(Andreini &amp; Bettinelli, 2017)","manualFormatting":"(Andreini and Bettinelli, 2017;","plainTextFormattedCitation":"(Andreini &amp; Bettinelli, 2017)","previouslyFormattedCitation":"(Andreini &amp; Bettinelli, 2017)"},"properties":{"noteIndex":0},"schema":"https://github.com/citation-style-language/schema/raw/master/csl-citation.json"}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(Andreini and Bettinelli, 2017;</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{"citationItems":[{"id":"ITEM-1","itemData":{"DOI":"10.1016/j.jbusres.2016.01.004","ISSN":"01482963","abstract":"Managers and researchers discuss the high potentials of business model innovation (BMI) that may bank upon alliances' value creation potentials. Yet, which circumstances allow best capture value from BMI? This paper's study investigates how firm size and age, the firm's alliance experience, and the alliance duration influence value capture from BMI. BMI has a positive effect on return on equity (ROE), even stronger for firms with greater alliance experience. Besides hypotheses testing, the study delivers insights about configurations of BMI, ROE, firm size and age as well as the firm's previous alliance experience and the alliance duration. FsQCA shows configurations to low, medium, and high ROE.","author":[{"dropping-particle":"","family":"Bouncken","given":"Ricarda B.","non-dropping-particle":"","parse-names":false,"suffix":""},{"dropping-particle":"","family":"Fredrich","given":"Viktor","non-dropping-particle":"","parse-names":false,"suffix":""}],"container-title":"Journal of Business Research","id":"ITEM-1","issue":"9","issued":{"date-parts":[["2016"]]},"page":"3584-3590","publisher":"Elsevier Inc.","title":"Business model innovation in alliances: Successful configurations","type":"article-journal","volume":"69"},"uris":["http://www.mendeley.com/documents/?uuid=ac20ffa8-4c12-4776-b307-39d94bfa2e49"]}],"mendeley":{"formattedCitation":"(Bouncken &amp; Fredrich, 2016)","manualFormatting":"Bouncken and Fredrich, 2016;","plainTextFormattedCitation":"(Bouncken &amp; Fredrich, 2016)","previouslyFormattedCitation":"(Bouncken &amp; Fredrich,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and Fredrich, 2016;</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{"citationItems":[{"id":"ITEM-1","itemData":{"DOI":"10.1016/j.jbusres.2016.04.154","ISSN":"01482963","abstract":"Firm performance in turbulent business environments strongly depends on the adaptive (re)generation of the firm's business model. However, studies on the enablers of business model innovation are sparse. This study leverages the literature on dynamic capabilities, on organizational ambidexterity/vacillation, and Lewis's view of organizational paradoxes to build an integrated model of organizational dynamism that includes seven dimensions: three pairs of paradoxical constructs (cooperation–competition, exploration–exploitation, and conformity–agency) and dynamic capabilities. The study posits that these seven dimensions of organizational dynamism describe the key enablers of adaptive business model innovation (ABMI). The results of applying a fuzzy set qualitative comparative analysis (fsQCA) to 35 selected cases confirm that the paradoxical dimensions of organizational dynamism, although logically opposed, strongly intertwine in enabling the adaptive (re)generation of a firm's business model. Further, this article highlights fsQCA's suitability to test models that include paradoxical constructs.","author":[{"dropping-particle":"","family":"Ricciardi","given":"Francesca","non-dropping-particle":"","parse-names":false,"suffix":""},{"dropping-particle":"","family":"Zardini","given":"Alessandro","non-dropping-particle":"","parse-names":false,"suffix":""},{"dropping-particle":"","family":"Rossignoli","given":"Cecilia","non-dropping-particle":"","parse-names":false,"suffix":""}],"container-title":"Journal of Business Research","id":"ITEM-1","issue":"11","issued":{"date-parts":[["2016"]]},"page":"5487-5493","publisher":"Elsevier Inc.","title":"Organizational dynamism and adaptive business model innovation: The triple paradox configuration","type":"article-journal","volume":"69"},"uris":["http://www.mendeley.com/documents/?uuid=8acf2015-3e04-469b-b520-98e47f048fc4"]}],"mendeley":{"formattedCitation":"(Ricciardi et al., 2016)","manualFormatting":" Ricciardi et al., 2016)","plainTextFormattedCitation":"(Ricciardi et al., 2016)","previouslyFormattedCitation":"(Ricciardi et al.,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Ricciardi et al., 2016)</w:t>
      </w:r>
      <w:r w:rsidRPr="009672FC">
        <w:rPr>
          <w:rFonts w:ascii="Garamond" w:hAnsi="Garamond"/>
          <w:color w:val="000000"/>
        </w:rPr>
        <w:fldChar w:fldCharType="end"/>
      </w:r>
      <w:r w:rsidRPr="009672FC">
        <w:rPr>
          <w:rFonts w:ascii="Garamond" w:hAnsi="Garamond"/>
          <w:color w:val="000000" w:themeColor="text1"/>
        </w:rPr>
        <w:t>.</w:t>
      </w:r>
    </w:p>
    <w:p w14:paraId="5C840336" w14:textId="117DD77D"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The collaborative relationships involving the local SMEs may enjoy several benefits associated with inter-firm trust development. For instance, local SMEs can attract export partnerships as “local-host partners” through their trust reputation, dependability, and performance quality </w:t>
      </w:r>
      <w:r w:rsidRPr="009672FC">
        <w:rPr>
          <w:rFonts w:ascii="Garamond" w:hAnsi="Garamond"/>
        </w:rPr>
        <w:fldChar w:fldCharType="begin" w:fldLock="1"/>
      </w:r>
      <w:r w:rsidR="00813D37" w:rsidRPr="009672FC">
        <w:rPr>
          <w:rFonts w:ascii="Garamond" w:hAnsi="Garamond"/>
          <w:color w:val="000000"/>
        </w:rPr>
        <w:instrText>ADDIN CSL_CITATION {"citationItems":[{"id":"ITEM-1","itemData":{"DOI":"10.1300/J130v05n04_03","ISSN":"10686061","abstract":"This paper focuses on the export performance of US environmental technology (EnviroTech) firms, which are predominantly small and medium enterprises (SMEs). We conceptualize and empirically test a model of perceived export performance contingent upon the perceived effectiveness of host country partner (HCP) alliances, dependence, and trust in the HCP. We find that US SME EnviroTech firms contemplating exports need two critical ingredients for success. First, they must forge close, cooperative, long-term strategic alliances with HCPs for mutual benefit. And second, they must pay specific attention to building trust in the HCP in order to achieve greater success with the strategic alliance and exports. Though dependence on a host country partner increases the vulnerability of the exporter and detracts from an effective alliance, trust is the antidote that can neutralize the negative impact of dependence. © 2000 Taylor &amp; Francis Group, LLC.","author":[{"dropping-particle":"","family":"Sengupta","given":"Sanjit","non-dropping-particle":"","parse-names":false,"suffix":""},{"dropping-particle":"","family":"Castaldi","given":"Richard M.","non-dropping-particle":"","parse-names":false,"suffix":""},{"dropping-particle":"","family":"Silverman","given":"Murray","non-dropping-particle":"","parse-names":false,"suffix":""}],"container-title":"Journal of Transnational Management Development","id":"ITEM-1","issue":"4","issued":{"date-parts":[["2000"]]},"page":"25-40","title":"A dependence-trust modelm of export alliance performance in small and medium enterprises (SMEs)","type":"article-journal","volume":"5"},"uris":["http://www.mendeley.com/documents/?uuid=e58c9e98-4e29-418c-a984-51c9f2451d08"]}],"mendeley":{"formattedCitation":"(Sengupta, Castaldi, &amp; Silverman, 2000)","manualFormatting":"(Sengupta et al., 2000)","plainTextFormattedCitation":"(Sengupta, Castaldi, &amp; Silverman, 2000)","previouslyFormattedCitation":"(Sengupta et al.,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(Sengupta et al., 2000)</w:t>
      </w:r>
      <w:r w:rsidRPr="009672FC">
        <w:rPr>
          <w:rFonts w:ascii="Garamond" w:hAnsi="Garamond"/>
          <w:color w:val="000000"/>
        </w:rPr>
        <w:fldChar w:fldCharType="end"/>
      </w:r>
      <w:r w:rsidRPr="009672FC">
        <w:rPr>
          <w:rFonts w:ascii="Garamond" w:hAnsi="Garamond"/>
          <w:color w:val="000000" w:themeColor="text1"/>
        </w:rPr>
        <w:t xml:space="preserve"> and leverage the specialized knowledge and innovation practices from external partners </w:t>
      </w:r>
      <w:r w:rsidRPr="009672FC">
        <w:rPr>
          <w:rFonts w:ascii="Garamond" w:hAnsi="Garamond"/>
        </w:rPr>
        <w:fldChar w:fldCharType="begin" w:fldLock="1"/>
      </w:r>
      <w:r w:rsidRPr="009672FC">
        <w:rPr>
          <w:rFonts w:ascii="Garamond" w:hAnsi="Garamond"/>
          <w:color w:val="000000"/>
        </w:rPr>
        <w:instrText>ADDIN CSL_CITATION {"citationItems":[{"id":"ITEM-1","itemData":{"DOI":"10.1109/HICSS.2006.512","ISBN":"0769525075","ISSN":"15301605","abstract":"Previous research has emphasized the importance of dependence and trust on interorganizational systems. This paper focuses on how dependence and trust impact various types of investments in IOS related resources and how these investments produce benefits within a global context. A conceptual model is constructed combining transaction-cost economics, resources-based view, trust and dependence. Four explorative case studies are conducted on interorganizational systems employed within a global context. Dependent organizations are found to conduct the needed investments and to use different types of resources depending on the requirements of the powerful organization. Competence-based trust is found to influence human-based resources and resources that enable domain-knowledge transfer. Reliability-based trust is found to influence human-based resources and resources that enable interlinking processes. Combinations of human-based resources and resources that enable domain-knowledge transfer or business-process linkage are found to produce strategic benefits. The lack of human-based resources is found to produce only operational benefits. © 2006 IEEE.","author":[{"dropping-particle":"","family":"Ibrahim","given":"Mohammed","non-dropping-particle":"","parse-names":false,"suffix":""},{"dropping-particle":"","family":"Ribbers","given":"Pieter","non-dropping-particle":"","parse-names":false,"suffix":""}],"container-title":"Proceedings of the Annual Hawaii International Conference on System Sciences","id":"ITEM-1","issue":"C","issued":{"date-parts":[["2006"]]},"page":"1-8","title":"Trust, dependence and global interorganizational systems","type":"paper-conference","volume":"8"},"uris":["http://www.mendeley.com/documents/?uuid=40144c46-62d0-4763-ae3b-e811e7793eb3"]}],"mendeley":{"formattedCitation":"(Ibrahim &amp; Ribbers, 2006)","manualFormatting":"(Ibrahim and Ribbers, 2006;","plainTextFormattedCitation":"(Ibrahim &amp; Ribbers, 2006)","previouslyFormattedCitation":"(Ibrahim &amp; Ribbers,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2006;</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2013)","manualFormatting":"Bouncken and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and Kraus, 2013)</w:t>
      </w:r>
      <w:r w:rsidRPr="009672FC">
        <w:rPr>
          <w:rFonts w:ascii="Garamond" w:hAnsi="Garamond"/>
          <w:color w:val="000000"/>
        </w:rPr>
        <w:fldChar w:fldCharType="end"/>
      </w:r>
      <w:r w:rsidRPr="009672FC">
        <w:rPr>
          <w:rFonts w:ascii="Garamond" w:hAnsi="Garamond"/>
          <w:color w:val="000000" w:themeColor="text1"/>
        </w:rPr>
        <w:t xml:space="preserve"> which are often problematic for  SMEs to access due their size, newness, and resource position constraints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{"citationItems":[{"id":"ITEM-1","itemData":{"DOI":"10.1002/joe","ISBN":"15311864","ISSN":"15311864","PMID":"18059372","abstract":"Reviews several books. \"The Behavioral Advantage: What the Smartest, Most Successful Companies Do Differently to Win in the B2B Arena,\" by Terry R. Bacon and David G. Pugh; \"Outsourcing America: What's Behind Our National Crisis and How We Can Reclaim American Jobs,\" by Ron Hira and Anil Hira; \"Corporate MVPs: Managing Your Company's Most Valuable Performers,\" by Margaret Butteriss and Bill Roiter; \"Seeing Is Believing: How the New Art of Visual Management Can Boost Performance Throughout Your Organization,\" by Stewart Liff and Pamela A. Posey.","author":[{"dropping-particle":"","family":"Zardini","given":"Alessandro","non-dropping-particle":"","parse-names":false,"suffix":""},{"dropping-particle":"","family":"Rossignoli","given":"Cecilia","non-dropping-particle":"","parse-names":false,"suffix":""},{"dropping-particle":"","family":"Soliman","given":"Marco","non-dropping-particle":"","parse-names":false,"suffix":""}],"container-title":"Journal of Organizational Excellence","id":"ITEM-1","issue":"4","issued":{"date-parts":[["2013"]]},"page":"97-102","title":"Overcoming the barriers to effective collaboration","type":"article-journal","volume":"24"},"uris":["http://www.mendeley.com/documents/?uuid=3f3d011f-dfe9-40e3-b3d6-74c02a1d712a"]}],"mendeley":{"formattedCitation":"(Zardini, Rossignoli, &amp; Soliman, 2013)","plainTextFormattedCitation":"(Zardini, Rossignoli, &amp; Soliman, 2013)","previouslyFormattedCitation":"(Zardini et al., 2013)"},"properties":{"noteIndex":0},"schema":"https://github.com/citation-style-language/schema/raw/master/csl-citation.json"}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(Zardini, Rossignoli, &amp; Soliman, 2013)</w:t>
      </w:r>
      <w:r w:rsidRPr="009672FC">
        <w:rPr>
          <w:rFonts w:ascii="Garamond" w:hAnsi="Garamond"/>
          <w:color w:val="000000"/>
        </w:rPr>
        <w:fldChar w:fldCharType="end"/>
      </w:r>
      <w:r w:rsidRPr="009672FC">
        <w:rPr>
          <w:rFonts w:ascii="Garamond" w:hAnsi="Garamond"/>
          <w:color w:val="000000" w:themeColor="text1"/>
        </w:rPr>
        <w:t xml:space="preserve">. Literature in the traditional </w:t>
      </w:r>
      <w:r w:rsidRPr="009672FC">
        <w:rPr>
          <w:rFonts w:ascii="Garamond" w:hAnsi="Garamond"/>
          <w:color w:val="000000" w:themeColor="text1"/>
          <w:shd w:val="clear" w:color="auto" w:fill="FFFFFF"/>
        </w:rPr>
        <w:t>alliance</w:t>
      </w:r>
      <w:r w:rsidRPr="009672FC">
        <w:rPr>
          <w:rFonts w:ascii="Garamond" w:hAnsi="Garamond"/>
          <w:color w:val="000000" w:themeColor="text1"/>
        </w:rPr>
        <w:t xml:space="preserve"> recognized that firms with stronger ties </w:t>
      </w:r>
      <w:r w:rsidRPr="009672FC">
        <w:rPr>
          <w:rFonts w:ascii="Garamond" w:hAnsi="Garamond"/>
          <w:color w:val="000000" w:themeColor="text1"/>
          <w:shd w:val="clear" w:color="auto" w:fill="FFFFFF"/>
        </w:rPr>
        <w:t xml:space="preserve">are more likely to enjoy expected relational performance in terms of increased organizational learning capabilities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{"citationItems":[{"id":"ITEM-1","itemData":{"DOI":"10.1017/jmo.2014.3","ISSN":"18333672","abstract":"Despite the fact that the majority of studies have suggested that it is beneficial for organizational performance, some empirical evidence has generated contradictory results concerning these variables. For this reason, this research attempts to look in-depth at the relationships between trust and organizational performance, using organizational learning capability as an explanatory variable. To confirm the hypotheses, the structural equation technique was used on data from a survey carried out in Spanish firms with recognized excellence in human resources management. The results obtained show that, in these firms, organizational learning capability mediates in the relationship between trust and organizational performance. Copyright © 2013 Cambridge University Press and Australian and New Zealand Academy of Management.","author":[{"dropping-particle":"","family":"Guinot","given":"Jacob","non-dropping-particle":"","parse-names":false,"suffix":""},{"dropping-particle":"","family":"Chiva","given":"Ricardo","non-dropping-particle":"","parse-names":false,"suffix":""},{"dropping-particle":"","family":"Mallén","given":"Fermín","non-dropping-particle":"","parse-names":false,"suffix":""}],"container-title":"Journal of Management and Organization","id":"ITEM-1","issue":"5","issued":{"date-parts":[["2013"]]},"page":"559-582","title":"Organizational trust and performance: Is organizational learning capability a missing link?","type":"article-journal","volume":"19"},"uris":["http://www.mendeley.com/documents/?uuid=e1112632-9fc0-4a8e-a7bc-4c5eb860990f"]}],"mendeley":{"formattedCitation":"(Guinot et al., 2013)","plainTextFormattedCitation":"(Guinot et al., 2013)","previouslyFormattedCitation":"(Guinot et al., 2013)"},"properties":{"noteIndex":0},"schema":"https://github.com/citation-style-language/schema/raw/master/csl-citation.json"}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(Guinot et al., 2013)</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shared knowledge performance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et al., 2018)","manualFormatting":"(Dyer et al., 2018;","plainTextFormattedCitation":"(Dyer et al., 2018)","previouslyFormattedCitation":"(Dyer et al., 2018)"},"properties":{"noteIndex":0},"schema":"https://github.com/citation-style-language/schema/raw/master/csl-citation.json"}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(Dyer et al., 2018;</w:t>
      </w:r>
      <w:r w:rsidRPr="009672FC">
        <w:rPr>
          <w:rFonts w:ascii="Garamond" w:hAnsi="Garamond"/>
          <w:color w:val="000000"/>
          <w:shd w:val="clear" w:color="auto" w:fill="FFFFFF"/>
        </w:rPr>
        <w:fldChar w:fldCharType="end"/>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 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 xml:space="preserve"> Ibrahim and Ribbers, 2009)</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and just-in-time performances </w:t>
      </w:r>
      <w:r w:rsidRPr="009672FC">
        <w:rPr>
          <w:rFonts w:ascii="Garamond" w:hAnsi="Garamond"/>
        </w:rPr>
        <w:fldChar w:fldCharType="begin" w:fldLock="1"/>
      </w:r>
      <w:r w:rsidR="00813D37" w:rsidRPr="009672FC">
        <w:rPr>
          <w:rFonts w:ascii="Garamond" w:hAnsi="Garamond"/>
          <w:color w:val="000000"/>
          <w:shd w:val="clear" w:color="auto" w:fill="FFFFFF"/>
        </w:rPr>
        <w:instrText>ADDIN CSL_CITATION {"citationItems":[{"id":"ITEM-1","itemData":{"DOI":"10.1016/j.ijpe.2016.05.004","ISSN":"09255273","abstract":"Quality management has received increasing attention in supply chain management. The concept of supply chain quality integration (SCQI) is used to explain how a focal manufacturer integrates with its upstream suppliers and downstream customers for quality improvement. Although the contingent effects of SCQI on quality-related performance have been studied, SCQI patterns and their relationships with performance remain unknown. Using data collected from 317 manufacturers across 10 countries, this study adopts a configuration approach to identify SCQI patterns and their relationships with quality-related performance. Five SCQI patterns composed of different levels of supplier, internal, and customer quality integration are identified. We describe these SCQI patterns in terms of the strength and balance of manufacturers’ quality integration. The ANOVA results show that quality-related performance varies according to different SCQI patterns. Interestingly, product quality is not distinguishable across SCQI patterns. Delivery performance is improved in patterns with a high level of balance of quality integration. The cost of quality is lower in patterns with a high level of customer quality integration. Flexibility is achieved in patterns with high balance and strength of quality integration. This study contributes to the supply chain management and quality management literature, and provides suggestions for managers to adopt different SCQI configurations to improve different types of quality-related performance.","author":[{"dropping-particle":"","family":"Huo","given":"Baofeng","non-dropping-particle":"","parse-names":false,"suffix":""},{"dropping-particle":"","family":"Ye","given":"Yuxiao","non-dropping-particle":"","parse-names":false,"suffix":""},{"dropping-particle":"","family":"Zhao","given":"Xiande","non-dropping-particle":"","parse-names":false,"suffix":""},{"dropping-particle":"","family":"Zhu","given":"Kaihang","non-dropping-particle":"","parse-names":false,"suffix":""}],"container-title":"International Journal of Production Economics","id":"ITEM-1","issued":{"date-parts":[["2019"]]},"page":"236-246","publisher":"Elsevier B.V.","title":"Supply chain quality integration: A taxonomy perspective","type":"article-journal","volume":"207"},"uris":["http://www.mendeley.com/documents/?uuid=9590f49d-2cb5-4667-8846-e99604049c9e"]}],"mendeley":{"formattedCitation":"(Huo, Ye, Zhao, &amp; Zhu, 2019)","manualFormatting":"(Huo et al., 2019;","plainTextFormattedCitation":"(Huo, Ye, Zhao, &amp; Zhu, 2019)","previouslyFormattedCitation":"(Huo et al., 2019)"},"properties":{"noteIndex":0},"schema":"https://github.com/citation-style-language/schema/raw/master/csl-citation.json"}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(Huo et al., 2019;</w:t>
      </w:r>
      <w:r w:rsidRPr="009672FC">
        <w:rPr>
          <w:rFonts w:ascii="Garamond" w:hAnsi="Garamond"/>
          <w:color w:val="000000"/>
          <w:shd w:val="clear" w:color="auto" w:fill="FFFFFF"/>
        </w:rPr>
        <w:fldChar w:fldCharType="end"/>
      </w:r>
      <w:r w:rsidRPr="009672FC">
        <w:rPr>
          <w:rFonts w:ascii="Garamond" w:hAnsi="Garamond"/>
        </w:rPr>
        <w:fldChar w:fldCharType="begin" w:fldLock="1"/>
      </w:r>
      <w:r w:rsidR="00813D37" w:rsidRPr="009672FC">
        <w:rPr>
          <w:rFonts w:ascii="Garamond" w:hAnsi="Garamond"/>
          <w:color w:val="000000"/>
          <w:shd w:val="clear" w:color="auto" w:fill="FFFFFF"/>
        </w:rPr>
        <w:instrText>ADDIN CSL_CITATION {"citationItems":[{"id":"ITEM-1","itemData":{"DOI":"10.1016/j.ijpe.2013.08.026","ISSN":"09255273","abstract":"Total JIT (T-JIT) is defined as an integrated supply chain strategy incorporating previously defined elements of JIT-production, JIT-purchasing, JIT-selling, with the addition of an important new element, JIT-information. It would be interesting and informative to discover the extended concept's effect on supply chain competency and organizational performance. Here we examine the impact of a T-JIT strategy within a supply chain context, and analyze a model incorporating T-JIT as the focal construct with supply chain management strategy (SCMS) as an antecedent and supply chain competency (SCC) and organizational performance as consequences. Data from manufacturing managers were collected and the model assessed using a structural equation modeling methodology. Study results indicate significant, positive relationships between a supply chain management strategy and T-JIT, T-JIT and supply chain competency, and supply chain competency and organizational performance. The hypothesized relationship between T-JIT and organizational performance was not supported; however. This research is among the first to examine the impact of a T-JIT strategy within a supply chain context. The results of this study support T-JIT as a viable supply chain strategy that influences overall supply chain competency, contributing to organizational performance. In addition the definition of total system JIT and a scale for its measure is developed. © 2013 Elsevier B.V.","author":[{"dropping-particle":"","family":"Green","given":"Kenneth W.","non-dropping-particle":"","parse-names":false,"suffix":""},{"dropping-particle":"","family":"Inman","given":"R. Anthony","non-dropping-particle":"","parse-names":false,"suffix":""},{"dropping-particle":"","family":"Birou","given":"Laura M.","non-dropping-particle":"","parse-names":false,"suffix":""},{"dropping-particle":"","family":"Whitten","given":"Dwayne","non-dropping-particle":"","parse-names":false,"suffix":""}],"container-title":"International Journal of Production Economics","id":"ITEM-1","issue":"PART A","issued":{"date-parts":[["2014"]]},"page":"125-135","publisher":"Elsevier","title":"Total JIT (T-JIT) and its impact on supply chain competency and organizational performance","type":"article-journal","volume":"147"},"uris":["http://www.mendeley.com/documents/?uuid=a648ace0-9875-47ed-8cd8-0b360a587cee"]}],"mendeley":{"formattedCitation":"(Green, Inman, Birou, &amp; Whitten, 2014)","manualFormatting":" Green et al., 2014)","plainTextFormattedCitation":"(Green, Inman, Birou, &amp; Whitten, 2014)","previouslyFormattedCitation":"(Green et al., 2014)"},"properties":{"noteIndex":0},"schema":"https://github.com/citation-style-language/schema/raw/master/csl-citation.json"}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 xml:space="preserve"> Green et al., 2014)</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w:t>
      </w:r>
      <w:r w:rsidRPr="009672FC">
        <w:rPr>
          <w:rFonts w:ascii="Garamond" w:hAnsi="Garamond"/>
          <w:color w:val="000000" w:themeColor="text1"/>
        </w:rPr>
        <w:t xml:space="preserve">To achieve these, firms must engage in trust-building interventions that reinforce mutual commitment, sincerity and shared community of practice </w:t>
      </w:r>
      <w:r w:rsidRPr="009672FC">
        <w:rPr>
          <w:rFonts w:ascii="Garamond" w:hAnsi="Garamond"/>
        </w:rPr>
        <w:fldChar w:fldCharType="begin" w:fldLock="1"/>
      </w:r>
      <w:r w:rsidRPr="009672FC">
        <w:rPr>
          <w:rFonts w:ascii="Garamond" w:hAnsi="Garamond"/>
          <w:color w:val="000000"/>
        </w:rPr>
        <w:instrText>ADDIN CSL_CITATION {"citationItems":[{"id":"ITEM-1","itemData":{"DOI":"10.4337/9781784716042","ISBN":"9781784716042","abstract":"We draw on theories of persistence to develop a model of alliance managers' decisions towards persisting in underperforming alliances based on their concomitant consideration of the control and trust in those alliances. We test the model using experimental data based on 2,816 decisions nested within 88 alliance managers. We find that output, behavioural and social control, competence and goodwill trust, and interactions between trust and control variables significantly explain alliance managers' decisions to persist in underperforming alliances. We discuss the implications of these findings for the control, trust and strategic alliance literatures.","author":[{"dropping-particle":"","family":"Patzelt","given":"Holger","non-dropping-particle":"","parse-names":false,"suffix":""},{"dropping-particle":"","family":"Shepherd","given":"Dean A.","non-dropping-particle":"","parse-names":false,"suffix":""}],"container-title":"Decision Making in Entrepreneurship: Selected Joint Papers of Dean A. Shepherd","id":"ITEM-1","issue":"November","issued":{"date-parts":[["2016"]]},"page":"386-412","title":"The decision to persist with underperforming alliances: The role of trust and control","type":"article-journal"},"uris":["http://www.mendeley.com/documents/?uuid=953bdc63-339b-4efc-bedb-554c09bb143a"]}],"mendeley":{"formattedCitation":"(Patzelt &amp; Shepherd, 2016)","plainTextFormattedCitation":"(Patzelt &amp; Shepherd, 2016)","previouslyFormattedCitation":"(Patzelt &amp; Shepherd,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(Patzelt &amp; Shepherd, 2016)</w:t>
      </w:r>
      <w:r w:rsidRPr="009672FC">
        <w:rPr>
          <w:rFonts w:ascii="Garamond" w:hAnsi="Garamond"/>
          <w:color w:val="000000"/>
        </w:rPr>
        <w:fldChar w:fldCharType="end"/>
      </w:r>
      <w:r w:rsidRPr="009672FC">
        <w:rPr>
          <w:rFonts w:ascii="Garamond" w:hAnsi="Garamond"/>
          <w:color w:val="000000" w:themeColor="text1"/>
        </w:rPr>
        <w:t xml:space="preserve">, thus reducing the risks associated with partners’ cultural and idiosyncratic differences </w:t>
      </w:r>
      <w:r w:rsidRPr="009672FC">
        <w:rPr>
          <w:rFonts w:ascii="Garamond" w:hAnsi="Garamond"/>
        </w:rPr>
        <w:fldChar w:fldCharType="begin" w:fldLock="1"/>
      </w:r>
      <w:r w:rsidR="00813D37"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Cannon, &amp; Mullen, 1998)","manualFormatting":"(Cook et al., 2005; Doney et al., 1998)","plainTextFormattedCitation":"(Doney, Cannon, &amp; Mullen,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t>
      </w:r>
      <w:r w:rsidRPr="009672FC">
        <w:rPr>
          <w:rFonts w:ascii="Garamond" w:hAnsi="Garamond"/>
          <w:noProof/>
        </w:rPr>
        <w:fldChar w:fldCharType="begin" w:fldLock="1"/>
      </w:r>
      <w:r w:rsidRPr="009672FC">
        <w:rPr>
          <w:rFonts w:ascii="Garamond" w:hAnsi="Garamond"/>
          <w:noProof/>
          <w:color w:val="000000"/>
        </w:rPr>
        <w:instrText>ADDIN CSL_CITATION {"citationItems":[{"id":"ITEM-1","itemData":{"author":[{"dropping-particle":"","family":"Cook","given":"Karen S.","non-dropping-particle":"","parse-names":false,"suffix":""},{"dropping-particle":"","family":"Yamagishi","given":"Toshio","non-dropping-particle":"","parse-names":false,"suffix":""},{"dropping-particle":"","family":"Cheshire","given":"Coye","non-dropping-particle":"","parse-names":false,"suffix":""},{"dropping-particle":"","family":"Cooper","given":"Robin","non-dropping-particle":"","parse-names":false,"suffix":""},{"dropping-particle":"","family":"Matsuda","given":"Masafumi","non-dropping-particle":"","parse-names":false,"suffix":""},{"dropping-particle":"","family":"Mashima","given":"Rie","non-dropping-particle":"","parse-names":false,"suffix":""}],"container-title":"Social Psychology Quarterly","id":"ITEM-1","issue":"2","issued":{"date-parts":[["2005"]]},"page":"121-142","title":"Trust Building via Risk Taking : A Cross-Societal Experiment","type":"article-journal","volume":"68"},"uris":["http://www.mendeley.com/documents/?uuid=a4c515e3-522d-4e00-b3b2-b3241c4ad7fd"]}],"mendeley":{"formattedCitation":"(Cook et al., 2005)","manualFormatting":"Cook et al., 2005;","plainTextFormattedCitation":"(Cook et al., 2005)","previouslyFormattedCitation":"(Cook et al., 2005)"},"properties":{"noteIndex":0},"schema":"https://github.com/citation-style-language/schema/raw/master/csl-citation.json"}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Cook et al., 2005;</w:t>
      </w:r>
      <w:r w:rsidRPr="009672FC">
        <w:rPr>
          <w:rFonts w:ascii="Garamond" w:hAnsi="Garamond"/>
          <w:noProof/>
          <w:color w:val="000000"/>
        </w:rPr>
        <w:fldChar w:fldCharType="end"/>
      </w:r>
      <w:r w:rsidRPr="009672FC">
        <w:rPr>
          <w:rFonts w:ascii="Garamond" w:hAnsi="Garamond"/>
          <w:noProof/>
          <w:color w:val="000000" w:themeColor="text1"/>
        </w:rPr>
        <w:t xml:space="preserve"> Doney et al., 1998)</w:t>
      </w:r>
      <w:r w:rsidRPr="009672FC">
        <w:rPr>
          <w:rFonts w:ascii="Garamond" w:hAnsi="Garamond"/>
          <w:color w:val="000000"/>
        </w:rPr>
        <w:fldChar w:fldCharType="end"/>
      </w:r>
      <w:r w:rsidRPr="009672FC">
        <w:rPr>
          <w:rFonts w:ascii="Garamond" w:hAnsi="Garamond"/>
          <w:color w:val="000000" w:themeColor="text1"/>
        </w:rPr>
        <w:t xml:space="preserve">. Because most SMEs are embedded in social ties of managers and entrepreneurs, alliances involving SMEs are susceptible to conflict of interest, and distrust behaviour </w:t>
      </w:r>
      <w:r w:rsidRPr="009672FC">
        <w:rPr>
          <w:rFonts w:ascii="Garamond" w:hAnsi="Garamond"/>
        </w:rPr>
        <w:fldChar w:fldCharType="begin" w:fldLock="1"/>
      </w:r>
      <w:r w:rsidRPr="009672FC">
        <w:rPr>
          <w:rFonts w:ascii="Garamond" w:hAnsi="Garamond"/>
          <w:color w:val="000000"/>
        </w:rPr>
        <w:instrText>ADDIN CSL_CITATION {"citationItems":[{"id":"ITEM-1","itemData":{"DOI":"10.4337/9781784716042","ISBN":"9781784716042","abstract":"We draw on theories of persistence to develop a model of alliance managers' decisions towards persisting in underperforming alliances based on their concomitant consideration of the control and trust in those alliances. We test the model using experimental data based on 2,816 decisions nested within 88 alliance managers. We find that output, behavioural and social control, competence and goodwill trust, and interactions between trust and control variables significantly explain alliance managers' decisions to persist in underperforming alliances. We discuss the implications of these findings for the control, trust and strategic alliance literatures.","author":[{"dropping-particle":"","family":"Patzelt","given":"Holger","non-dropping-particle":"","parse-names":false,"suffix":""},{"dropping-particle":"","family":"Shepherd","given":"Dean A.","non-dropping-particle":"","parse-names":false,"suffix":""}],"container-title":"Decision Making in Entrepreneurship: Selected Joint Papers of Dean A. Shepherd","id":"ITEM-1","issue":"November","issued":{"date-parts":[["2016"]]},"page":"386-412","title":"The decision to persist with underperforming alliances: The role of trust and control","type":"article-journal"},"uris":["http://www.mendeley.com/documents/?uuid=953bdc63-339b-4efc-bedb-554c09bb143a"]}],"mendeley":{"formattedCitation":"(Patzelt &amp; Shepherd, 2016)","plainTextFormattedCitation":"(Patzelt &amp; Shepherd, 2016)","previouslyFormattedCitation":"(Patzelt &amp; Shepherd,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(Patzelt &amp; Shepherd, 2016)</w:t>
      </w:r>
      <w:r w:rsidRPr="009672FC">
        <w:rPr>
          <w:rFonts w:ascii="Garamond" w:hAnsi="Garamond"/>
          <w:color w:val="000000"/>
        </w:rPr>
        <w:fldChar w:fldCharType="end"/>
      </w:r>
      <w:r w:rsidRPr="009672FC">
        <w:rPr>
          <w:rFonts w:ascii="Garamond" w:hAnsi="Garamond"/>
          <w:color w:val="000000" w:themeColor="text1"/>
        </w:rPr>
        <w:t xml:space="preserve">. </w:t>
      </w:r>
    </w:p>
    <w:p w14:paraId="47EC82FB" w14:textId="6FBEC9C2"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Moreover, the literature on interfirm trust-building has been predominantly conceptual papers (e.g., </w:t>
      </w:r>
      <w:r w:rsidRPr="009672FC">
        <w:rPr>
          <w:rFonts w:ascii="Garamond" w:hAnsi="Garamond"/>
        </w:rPr>
        <w:fldChar w:fldCharType="begin" w:fldLock="1"/>
      </w:r>
      <w:r w:rsidRPr="009672FC">
        <w:rPr>
          <w:rFonts w:ascii="Garamond" w:hAnsi="Garamond"/>
          <w:color w:val="000000"/>
        </w:rPr>
        <w:instrText>ADDIN CSL_CITATION {"citationItems":[{"id":"ITEM-1","itemData":{"DOI":"10.1109/HICSS.2003.1174574","ISBN":"0769518745","abstract":"Given the uncertainty of the online environment, institutional trust is fundamental in building and retaining online interorganizational relationships. The authors propose two types of institutional trust (a) third-party institution-based trust, which deals with intermediary driven structures, such as those in online B2B marketplaces, and (b) bilateral institutionalized trust, which deals with dyadic interorganizational processes, standards, and norms. We examine how institutional trust develops through their underlying dimensions (i) structural assurances, (ii) facilitating conditions, and (in) situational normality to engender trust and influence relationship continuity. This study focuses on the time-dependent nature of institutional trust from the exploratory to the maturity phase by describing (a) the role of bilateral relative to third-party institutional trust on buyer-supplier trust, and (b) the transition of the three underlying institutional dimensions on trust over the relationship's life cycle. This research has implications for (I) the longitudinal role of institutional trust in online relationship building, (2) the design of trust-building mechanisms in online B2B marketplaces, (3) the safe and cost-effective building of online interorganizational relationships, and (4) the literature on initial trust formation.","author":[{"dropping-particle":"","family":"Pavlou","given":"P. A.","non-dropping-particle":"","parse-names":false,"suffix":""},{"dropping-particle":"","family":"Tan","given":"Yao Hua","non-dropping-particle":"","parse-names":false,"suffix":""},{"dropping-particle":"","family":"Gefen","given":"D.","non-dropping-particle":"","parse-names":false,"suffix":""}],"container-title":"Proceedings of the 36th Annual Hawaii International Conference on System Sciences, HICSS 2003","id":"ITEM-1","issued":{"date-parts":[["2003"]]},"publisher":"IEEE","title":"The transitional role of institutional trust in online interorganizational relationships","type":"paper-conference"},"uris":["http://www.mendeley.com/documents/?uuid=96d91081-3f9f-412d-b8db-c10e28551021"]}],"mendeley":{"formattedCitation":"(P. A. Pavlou et al., 2003)","manualFormatting":"Pavlou et al., 2003;","plainTextFormattedCitation":"(P. A. Pavlou et al., 2003)","previouslyFormattedCitation":"(P. A. Pavlou et al.,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Pavlou et al., 2003;</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00813D37" w:rsidRPr="009672FC">
        <w:rPr>
          <w:rFonts w:ascii="Garamond" w:hAnsi="Garamond"/>
          <w:color w:val="000000"/>
        </w:rPr>
        <w:instrText>ADDIN CSL_CITATION {"citationItems":[{"id":"ITEM-1","itemData":{"DOI":"10.1016/j.im.2013.06.003","ISSN":"03787206","abstract":"Lack of trust has been shown to be a major obstacle to the adoption of online shopping. However, there has been little investigation of the effectiveness of various trust building mechanisms and their interactions. In our study, three trust building mechanisms (third-party certification, reputation, and return policy), were examined. A scenario survey method was used for data collection. 463 usable questionnaires were collected from respondents with diverse backgrounds. Regression results showed that all three trust building mechanisms had significant positive effect on trust of the online vendor. However, their effects were not simple; they interacted to produce a different overall effect on the level of trust. These results have both theoretical and practical implications. © 2013 Elsevier B.V.","author":[{"dropping-particle":"","family":"Chang","given":"Man Kit","non-dropping-particle":"","parse-names":false,"suffix":""},{"dropping-particle":"","family":"Cheung","given":"Waiman","non-dropping-particle":"","parse-names":false,"suffix":""},{"dropping-particle":"","family":"Tang","given":"Mincong","non-dropping-particle":"","parse-names":false,"suffix":""}],"container-title":"Information and Management","id":"ITEM-1","issue":"7","issued":{"date-parts":[["2013"]]},"page":"439-445","publisher":"Elsevier B.V.","title":"Building trust online: Interactions among trust building mechanisms","type":"article-journal","volume":"50"},"uris":["http://www.mendeley.com/documents/?uuid=9d6c2ff6-0494-4192-ba1c-8d03fa0a7916"]}],"mendeley":{"formattedCitation":"(Chang, Cheung, &amp; Tang, 2013)","manualFormatting":"Chang et al., 2013;","plainTextFormattedCitation":"(Chang, Cheung, &amp; Tang, 2013)","previouslyFormattedCitation":"(Chang et al.,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Chang et al., 2013;</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2002)","manualFormatting":"Pavlou, 2002;","plainTextFormattedCitation":"(Paul A Pavlou, 2002)","previouslyFormattedCitation":"(Paul A Pavlou, 2002)"},"properties":{"noteIndex":0},"schema":"https://github.com/citation-style-language/schema/raw/master/csl-citation.json"}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Pavlou, 2002;</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Bachmann and Inkpen, 2011)</w:t>
      </w:r>
      <w:r w:rsidRPr="009672FC">
        <w:rPr>
          <w:rFonts w:ascii="Garamond" w:hAnsi="Garamond"/>
          <w:color w:val="000000"/>
        </w:rPr>
        <w:fldChar w:fldCharType="end"/>
      </w:r>
      <w:r w:rsidRPr="009672FC">
        <w:rPr>
          <w:rFonts w:ascii="Garamond" w:hAnsi="Garamond"/>
          <w:color w:val="000000" w:themeColor="text1"/>
        </w:rPr>
        <w:t xml:space="preserve"> with fewer empirical studies of bigger corporations and trust-building in the context of a single organizational boundary (e.g.,</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 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Six, 2007</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2008)","manualFormatting":"Six and Sorge, 2008;","plainTextFormattedCitation":"(F. Six &amp; Sorge, 2008)","previouslyFormattedCitation":"(F. Six &amp; Sorge,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and Sorge, 2008;</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{"citationItems":[{"id":"ITEM-1","itemData":{"DOI":"10.1177/0092070302250902","ISBN":"0092070302","author":[{"dropping-particle":"","family":"Brashear","given":"Thomas G","non-dropping-particle":"","parse-names":false,"suffix":""},{"dropping-particle":"","family":"Boles","given":"James S","non-dropping-particle":"","parse-names":false,"suffix":""},{"dropping-particle":"","family":"Bellenger","given":"Danny N","non-dropping-particle":"","parse-names":false,"suffix":""},{"dropping-particle":"","family":"Brooks","given":"Charles M","non-dropping-particle":"","parse-names":false,"suffix":""}],"container-title":"Journal of the Academy of Marketing Science","id":"ITEM-1","issue":"2","issued":{"date-parts":[["2003"]]},"page":"189-200","title":"An Empirical Test of Trust-Building Processes and Outcomes in Sales Manager-Salesperson Relationships","type":"article-journal","volume":"31"},"uris":["http://www.mendeley.com/documents/?uuid=faeaba67-ae3f-4211-9a51-c11590eee5ba"]}],"mendeley":{"formattedCitation":"(Brashear et al., 2003)","manualFormatting":"Brashear et al., 2003)","plainTextFormattedCitation":"(Brashear et al., 2003)","previouslyFormattedCitation":"(Brashear et al.,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Brashear et al., 2003)</w:t>
      </w:r>
      <w:r w:rsidRPr="009672FC">
        <w:rPr>
          <w:rFonts w:ascii="Garamond" w:hAnsi="Garamond"/>
          <w:color w:val="000000"/>
        </w:rPr>
        <w:fldChar w:fldCharType="end"/>
      </w:r>
      <w:r w:rsidRPr="009672FC">
        <w:rPr>
          <w:rFonts w:ascii="Garamond" w:hAnsi="Garamond"/>
          <w:color w:val="000000" w:themeColor="text1"/>
        </w:rPr>
        <w:t xml:space="preserve">, leaving SMEs interfirm alliance highly underexplored. </w:t>
      </w:r>
    </w:p>
    <w:p w14:paraId="27127111" w14:textId="548AF888" w:rsidR="00890FB2" w:rsidRPr="009672FC" w:rsidRDefault="007549AA" w:rsidP="004A6AF2">
      <w:pPr>
        <w:spacing w:before="240" w:line="360" w:lineRule="auto"/>
        <w:jc w:val="both"/>
        <w:rPr>
          <w:rFonts w:ascii="Garamond" w:hAnsi="Garamond"/>
          <w:color w:val="000000" w:themeColor="text1"/>
        </w:rPr>
      </w:pPr>
      <w:r w:rsidRPr="009672FC">
        <w:rPr>
          <w:rFonts w:ascii="Garamond" w:hAnsi="Garamond"/>
          <w:color w:val="000000" w:themeColor="text1"/>
          <w:shd w:val="clear" w:color="auto" w:fill="FFFFFF"/>
        </w:rPr>
        <w:t xml:space="preserve">Because trust is an integral aspect of a successful business relationship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{"citationItems":[{"id":"ITEM-1","itemData":{"DOI":"10.1016/j.jbusres.2013.11.023","ISSN":"01482963","abstract":"This paper summarizes the best papers of the Global Innovation and Knowledge Academy (GIKA) conference, which took place in July 2013 in Valencia, Spain. The Journal of Business Research has published a special issue entitled \"Developmental management: Theories, methods, and applications in entrepreneurship, innovation, and sensemaking\". All of them went through many rounds of double-blind reviews and revisions. Theories, methods, and applications are the three pillars to solve the issues in entrepreneurship, innovation, and sensemaking. Entrepreneurship contributes to the quality and future hopes of a sector, economy or even a country. The role of the entrepreneurs is crucial in creating value. Innovation has become important as the global economy seeks to escape from a period of major recession. In organizations, sensemaking consists of cognitive strategies for interpreting reality. It is interesting to examine how these three issues interacting with each other. And these papers contribute to various perspectives of these interactions in different countries. © 2013 Elsevier Inc.","author":[{"dropping-particle":"","family":"Huarng","given":"Kun Huang","non-dropping-particle":"","parse-names":false,"suffix":""},{"dropping-particle":"","family":"Ribeiro-Soriano","given":"Domingo Enrique","non-dropping-particle":"","parse-names":false,"suffix":""}],"container-title":"Journal of Business Research","id":"ITEM-1","issue":"5","issued":{"date-parts":[["2014"]]},"page":"657-662","publisher":"Elsevier Inc.","title":"Developmental management: Theories, methods, and applications in entrepreneurship, innovation, and sensemaking","type":"article-journal","volume":"67"},"uris":["http://www.mendeley.com/documents/?uuid=970cbb26-0335-48a5-99fc-3f4935ce1661"]}],"mendeley":{"formattedCitation":"(Huarng &amp; Ribeiro-Soriano, 2014)","plainTextFormattedCitation":"(Huarng &amp; Ribeiro-Soriano, 2014)","previouslyFormattedCitation":"(Huarng &amp; Ribeiro-Soriano, 2014)"},"properties":{"noteIndex":0},"schema":"https://github.com/citation-style-language/schema/raw/master/csl-citation.json"}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rPr>
        <w:t>(Huarng &amp; Ribeiro-Soriano, 2014)</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w:t>
      </w:r>
      <w:r w:rsidRPr="009672FC">
        <w:rPr>
          <w:rFonts w:ascii="Garamond" w:hAnsi="Garamond"/>
          <w:color w:val="000000" w:themeColor="text1"/>
        </w:rPr>
        <w:t xml:space="preserve">it is useful to determine which institutional practices must be strengthened to promote inter-firm trust and performance. In fact, a recent study found the critical role of </w:t>
      </w:r>
      <w:r w:rsidRPr="009672FC">
        <w:rPr>
          <w:rFonts w:ascii="Garamond" w:hAnsi="Garamond"/>
          <w:color w:val="000000" w:themeColor="text1"/>
          <w:shd w:val="clear" w:color="auto" w:fill="FFFFFF"/>
        </w:rPr>
        <w:t xml:space="preserve">institutional practices in inter-organizational trust-building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2011)","manualFormatting":"(e.g., Bachmann and Inkpen, 2011; Kroeger, 2012)","plainTextFormattedCitation":"(Bachmann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(e.g., Bachmann and Inkpen, 2011;</w:t>
      </w:r>
      <w:r w:rsidRPr="009672FC">
        <w:rPr>
          <w:rFonts w:ascii="Garamond" w:hAnsi="Garamond"/>
          <w:noProof/>
          <w:color w:val="000000" w:themeColor="text1"/>
        </w:rPr>
        <w:t xml:space="preserve"> </w:t>
      </w:r>
      <w:r w:rsidRPr="009672FC">
        <w:rPr>
          <w:rFonts w:ascii="Garamond" w:hAnsi="Garamond"/>
          <w:noProof/>
        </w:rPr>
        <w:fldChar w:fldCharType="begin" w:fldLock="1"/>
      </w:r>
      <w:r w:rsidRPr="009672FC">
        <w:rPr>
          <w:rFonts w:ascii="Garamond" w:hAnsi="Garamond"/>
          <w:noProof/>
          <w:color w:val="000000"/>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Kroeger, 2012)</w:t>
      </w:r>
      <w:r w:rsidRPr="009672FC">
        <w:rPr>
          <w:rFonts w:ascii="Garamond" w:hAnsi="Garamond"/>
          <w:noProof/>
          <w:color w:val="000000"/>
        </w:rPr>
        <w:fldChar w:fldCharType="end"/>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For example,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rPr>
        <w:t>Kroeger (2012)</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argue that i</w:t>
      </w:r>
      <w:r w:rsidRPr="009672FC">
        <w:rPr>
          <w:rFonts w:ascii="Garamond" w:hAnsi="Garamond"/>
          <w:color w:val="000000" w:themeColor="text1"/>
        </w:rPr>
        <w:t xml:space="preserve">nstitutionalizing trust-building in the inter-organizational relationship enables a path-dependent history of trust, enabling business reputation, and attracting </w:t>
      </w:r>
      <w:r w:rsidRPr="009672FC">
        <w:rPr>
          <w:rFonts w:ascii="Garamond" w:hAnsi="Garamond"/>
          <w:color w:val="000000" w:themeColor="text1"/>
        </w:rPr>
        <w:lastRenderedPageBreak/>
        <w:t xml:space="preserve">new inter-organizational relationships. </w:t>
      </w:r>
      <w:r w:rsidRPr="009672FC">
        <w:rPr>
          <w:rFonts w:ascii="Garamond" w:hAnsi="Garamond"/>
          <w:color w:val="000000" w:themeColor="text1"/>
          <w:shd w:val="clear" w:color="auto" w:fill="FFFFFF"/>
        </w:rPr>
        <w:t>Despite the high potential of institutional practices in alliance trust-building, there is a relative paucity in research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rPr>
        <w:t>Kroeger, 2012)</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w:t>
      </w:r>
      <w:r w:rsidRPr="009672FC">
        <w:rPr>
          <w:rFonts w:ascii="Garamond" w:hAnsi="Garamond"/>
          <w:color w:val="000000" w:themeColor="text1"/>
        </w:rPr>
        <w:t xml:space="preserve">In that sense, we leverage from relevant literature (e.g.,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shd w:val="clear" w:color="auto" w:fill="FFFFFF"/>
        </w:rPr>
        <w:t>Shockley-Zalabak and Morreale, 2011;</w:t>
      </w:r>
      <w:r w:rsidRPr="009672FC">
        <w:rPr>
          <w:rFonts w:ascii="Garamond" w:hAnsi="Garamond"/>
          <w:color w:val="000000"/>
        </w:rPr>
        <w:fldChar w:fldCharType="end"/>
      </w:r>
      <w:r w:rsidRPr="009672FC">
        <w:rPr>
          <w:rFonts w:ascii="Garamond" w:hAnsi="Garamond"/>
          <w:color w:val="000000" w:themeColor="text1"/>
          <w:shd w:val="clear" w:color="auto" w:fill="FFFFFF"/>
        </w:rPr>
        <w:t xml:space="preserv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Lewicki and Wiethoff, 2000)</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institution-based trust </w:t>
      </w:r>
      <w:r w:rsidR="00813D37" w:rsidRPr="009672FC">
        <w:rPr>
          <w:rFonts w:ascii="Garamond" w:hAnsi="Garamond"/>
          <w:color w:val="000000" w:themeColor="text1"/>
          <w:shd w:val="clear" w:color="auto" w:fill="FFFFFF"/>
        </w:rPr>
        <w:t>dimensions</w:t>
      </w:r>
      <w:r w:rsidRPr="009672FC">
        <w:rPr>
          <w:rFonts w:ascii="Garamond" w:hAnsi="Garamond"/>
          <w:color w:val="000000" w:themeColor="text1"/>
          <w:shd w:val="clear" w:color="auto" w:fill="FFFFFF"/>
        </w:rPr>
        <w:t xml:space="preserve"> (competence, reliability, identification, and openness), arguing that institutional practices are critical in developing trust in interfirm relationships. </w:t>
      </w:r>
    </w:p>
    <w:p w14:paraId="30004166" w14:textId="29F1A7E6"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We draw our sample from the SMEs in The Gambia.  The inter-firm relationships in this country are characteri</w:t>
      </w:r>
      <w:r w:rsidR="004A6AF2" w:rsidRPr="009672FC">
        <w:rPr>
          <w:rFonts w:ascii="Garamond" w:hAnsi="Garamond"/>
          <w:color w:val="000000" w:themeColor="text1"/>
        </w:rPr>
        <w:t>z</w:t>
      </w:r>
      <w:r w:rsidRPr="009672FC">
        <w:rPr>
          <w:rFonts w:ascii="Garamond" w:hAnsi="Garamond"/>
          <w:color w:val="000000" w:themeColor="text1"/>
        </w:rPr>
        <w:t xml:space="preserve">ed by SMEs engage in not only the buying and selling of goods/services, but also associated with numerous collaborative activities including the investment in relationship-specific resources, exchange of information and proprietary knowledge, and innovation practices </w:t>
      </w:r>
      <w:r w:rsidRPr="009672FC">
        <w:rPr>
          <w:rFonts w:ascii="Garamond" w:hAnsi="Garamond"/>
        </w:rPr>
        <w:fldChar w:fldCharType="begin" w:fldLock="1"/>
      </w:r>
      <w:r w:rsidR="00813D37" w:rsidRPr="009672FC">
        <w:rPr>
          <w:rFonts w:ascii="Garamond" w:hAnsi="Garamond"/>
          <w:color w:val="000000"/>
        </w:rPr>
        <w:instrText>ADDIN CSL_CITATION {"citationItems":[{"id":"ITEM-1","itemData":{"author":[{"dropping-particle":"","family":"MSMEs Policy","given":"Gambia","non-dropping-particle":"","parse-names":false,"suffix":""}],"id":"ITEM-1","issued":{"date-parts":[["2019"]]},"page":"1-35","title":"The Gambia National Policy for MSMEs for 2019-2024","type":"legal_case","volume":"7"},"uris":["http://www.mendeley.com/documents/?uuid=c34e7063-a35f-4682-b9ec-e673f4bfd52c"]}],"mendeley":{"formattedCitation":"(MSMEs Policy, 2019)","plainTextFormattedCitation":"(MSMEs Policy, 2019)","previouslyFormattedCitation":"(&lt;i&gt;The Gambia National Policy for MSMEs for 2019-2024&lt;/i&gt;, 2019)"},"properties":{"noteIndex":0},"schema":"https://github.com/citation-style-language/schema/raw/master/csl-citation.json"}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(MSMEs Policy, 2019)</w:t>
      </w:r>
      <w:r w:rsidRPr="009672FC">
        <w:rPr>
          <w:rFonts w:ascii="Garamond" w:hAnsi="Garamond"/>
          <w:color w:val="000000"/>
        </w:rPr>
        <w:fldChar w:fldCharType="end"/>
      </w:r>
      <w:r w:rsidRPr="009672FC">
        <w:rPr>
          <w:rFonts w:ascii="Garamond" w:hAnsi="Garamond"/>
          <w:color w:val="000000" w:themeColor="text1"/>
        </w:rPr>
        <w:t>. As the first study of its kind in The Gambian SMEs sector, this study tries to evaluate how institutional-based practices trust-building influence interfirm knowledge sharing and innovation performance. To do this, we sought the diverse perceptions of managers and entrepreneurs of local SMEs whose firms are engaged in alliance relationships. W</w:t>
      </w:r>
      <w:r w:rsidRPr="009672FC">
        <w:rPr>
          <w:rFonts w:ascii="Garamond" w:hAnsi="Garamond"/>
          <w:color w:val="000000" w:themeColor="text1"/>
          <w:shd w:val="clear" w:color="auto" w:fill="FFFFFF"/>
        </w:rPr>
        <w:t xml:space="preserve">e anticipate that our results will provide unique implications to a culturally diverse SMEs alliance literature, and further advance our understanding of institutional interventions in interfirm trust-building practices. These outcomes will help alliance management practitioners to enhance the innovation performance of inter-firm relationships. </w:t>
      </w:r>
    </w:p>
    <w:p w14:paraId="255465FD" w14:textId="30BF2521"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shd w:val="clear" w:color="auto" w:fill="FFFFFF"/>
        </w:rPr>
        <w:t xml:space="preserve">The paper is organized as follows: first is the brief introduction of the paper as highlighted above, the second section is the theoretical background and hypothesis of the study, and section three is the research methodology. </w:t>
      </w:r>
    </w:p>
    <w:p w14:paraId="31D96F48" w14:textId="298B715A" w:rsidR="003D5DE8" w:rsidRPr="009672FC" w:rsidRDefault="007549AA">
      <w:pPr>
        <w:pStyle w:val="Title"/>
        <w:numPr>
          <w:ilvl w:val="1"/>
          <w:numId w:val="10"/>
        </w:numPr>
        <w:spacing w:before="240" w:line="360" w:lineRule="auto"/>
        <w:jc w:val="both"/>
        <w:outlineLvl w:val="1"/>
        <w:rPr>
          <w:rFonts w:ascii="Garamond" w:hAnsi="Garamond" w:cs="Times New Roman"/>
          <w:b/>
          <w:bCs/>
          <w:i/>
          <w:iCs/>
          <w:color w:val="000000" w:themeColor="text1"/>
          <w:sz w:val="24"/>
          <w:szCs w:val="24"/>
        </w:rPr>
      </w:pPr>
      <w:r w:rsidRPr="009672FC">
        <w:rPr>
          <w:rFonts w:ascii="Garamond" w:hAnsi="Garamond" w:cs="Times New Roman"/>
          <w:b/>
          <w:bCs/>
          <w:color w:val="000000" w:themeColor="text1"/>
        </w:rPr>
        <w:t xml:space="preserve"> </w:t>
      </w:r>
      <w:bookmarkStart w:id="142" w:name="_Toc85708741"/>
      <w:bookmarkStart w:id="143" w:name="_Toc85709755"/>
      <w:r w:rsidRPr="009672FC">
        <w:rPr>
          <w:rFonts w:ascii="Garamond" w:hAnsi="Garamond" w:cs="Times New Roman"/>
          <w:b/>
          <w:bCs/>
          <w:color w:val="000000" w:themeColor="text1"/>
          <w:sz w:val="24"/>
          <w:szCs w:val="24"/>
        </w:rPr>
        <w:t>Theoretical Background</w:t>
      </w:r>
      <w:bookmarkEnd w:id="142"/>
      <w:bookmarkEnd w:id="143"/>
      <w:r w:rsidRPr="009672FC">
        <w:rPr>
          <w:rFonts w:ascii="Garamond" w:hAnsi="Garamond" w:cs="Times New Roman"/>
          <w:b/>
          <w:bCs/>
          <w:color w:val="000000" w:themeColor="text1"/>
          <w:sz w:val="24"/>
          <w:szCs w:val="24"/>
        </w:rPr>
        <w:t xml:space="preserve"> </w:t>
      </w:r>
    </w:p>
    <w:p w14:paraId="7D8EE4DC" w14:textId="130C0AD8"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rPr>
      </w:pPr>
      <w:bookmarkStart w:id="144" w:name="_Toc85708742"/>
      <w:bookmarkStart w:id="145" w:name="_Toc85709756"/>
      <w:r w:rsidRPr="009672FC">
        <w:rPr>
          <w:rFonts w:ascii="Garamond" w:hAnsi="Garamond" w:cs="Times New Roman"/>
          <w:b/>
          <w:bCs/>
          <w:i/>
          <w:iCs/>
          <w:color w:val="000000" w:themeColor="text1"/>
          <w:sz w:val="24"/>
          <w:szCs w:val="24"/>
        </w:rPr>
        <w:t>Trust and Trust-Building</w:t>
      </w:r>
      <w:bookmarkEnd w:id="144"/>
      <w:bookmarkEnd w:id="145"/>
      <w:r w:rsidRPr="009672FC">
        <w:rPr>
          <w:rFonts w:ascii="Garamond" w:hAnsi="Garamond" w:cs="Times New Roman"/>
          <w:b/>
          <w:bCs/>
          <w:i/>
          <w:iCs/>
          <w:color w:val="000000" w:themeColor="text1"/>
        </w:rPr>
        <w:t xml:space="preserve"> </w:t>
      </w:r>
    </w:p>
    <w:p w14:paraId="6DEEC59A" w14:textId="5BFC16A8"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Many scholars define trust as a psychological state and an expectation that a person will act according to his/her word. For, example, </w:t>
      </w:r>
      <w:r w:rsidRPr="009672FC">
        <w:rPr>
          <w:rFonts w:ascii="Garamond" w:hAnsi="Garamond"/>
        </w:rPr>
        <w:fldChar w:fldCharType="begin" w:fldLock="1"/>
      </w:r>
      <w:r w:rsidR="00813D37" w:rsidRPr="009672FC">
        <w:rPr>
          <w:rFonts w:ascii="Garamond" w:hAnsi="Garamond"/>
          <w:color w:val="000000"/>
        </w:rPr>
        <w:instrText>ADDIN CSL_CITATION {"citationItems":[{"id":"ITEM-1","itemData":{"author":[{"dropping-particle":"","family":"Mayer","given":"Roger C.","non-dropping-particle":"","parse-names":false,"suffix":""},{"dropping-particle":"","family":"Davis","given":"James H.","non-dropping-particle":"","parse-names":false,"suffix":""},{"dropping-particle":"","family":"Schoorman","given":"David F","non-dropping-particle":"","parse-names":false,"suffix":""}],"container-title":"The Academy of Management Review","id":"ITEM-1","issue":"3","issued":{"date-parts":[["1995"]]},"page":"709-734","title":"An Integrative Model of Organizational Trust","type":"article-journal","volume":"20"},"uris":["http://www.mendeley.com/documents/?uuid=28c80cd0-70b9-452f-a720-9bd9ae54f4b2"]}],"mendeley":{"formattedCitation":"(Mayer, Davis, &amp; Schoorman, 1995)","manualFormatting":"Mayer et al. (1995, p.712)","plainTextFormattedCitation":"(Mayer, Davis, &amp; Schoorman, 1995)","previouslyFormattedCitation":"(Mayer et al., 1995)"},"properties":{"noteIndex":0},"schema":"https://github.com/citation-style-language/schema/raw/master/csl-citation.json"}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Mayer et al. (1995, p.712)</w:t>
      </w:r>
      <w:r w:rsidRPr="009672FC">
        <w:rPr>
          <w:rFonts w:ascii="Garamond" w:hAnsi="Garamond"/>
          <w:color w:val="000000"/>
        </w:rPr>
        <w:fldChar w:fldCharType="end"/>
      </w:r>
      <w:r w:rsidRPr="009672FC">
        <w:rPr>
          <w:rFonts w:ascii="Garamond" w:hAnsi="Garamond"/>
          <w:color w:val="000000" w:themeColor="text1"/>
        </w:rPr>
        <w:t xml:space="preserve"> define trust as “the willingness of a party to be vulnerable to the actions of another party based on the expectation that the other will perform a particular action important to the trustor, irrespective of the ability to monitor or control that other party”. </w:t>
      </w:r>
      <w:r w:rsidRPr="009672FC">
        <w:rPr>
          <w:rFonts w:ascii="Garamond" w:hAnsi="Garamond"/>
        </w:rPr>
        <w:fldChar w:fldCharType="begin" w:fldLock="1"/>
      </w:r>
      <w:r w:rsidRPr="009672FC">
        <w:rPr>
          <w:rFonts w:ascii="Garamond" w:hAnsi="Garamond"/>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Lewicki and Wiethoff (2000)</w:t>
      </w:r>
      <w:r w:rsidRPr="009672FC">
        <w:rPr>
          <w:rFonts w:ascii="Garamond" w:hAnsi="Garamond"/>
          <w:color w:val="000000"/>
        </w:rPr>
        <w:fldChar w:fldCharType="end"/>
      </w:r>
      <w:r w:rsidRPr="009672FC">
        <w:rPr>
          <w:rFonts w:ascii="Garamond" w:hAnsi="Garamond"/>
          <w:color w:val="000000" w:themeColor="text1"/>
        </w:rPr>
        <w:t xml:space="preserve"> described trust as “an individual’s belief of, and willingness to act based on, the words, actions, and decisions of another" (p. 87). Moreover, </w:t>
      </w:r>
      <w:r w:rsidRPr="009672FC">
        <w:rPr>
          <w:rFonts w:ascii="Garamond" w:hAnsi="Garamond"/>
        </w:rPr>
        <w:lastRenderedPageBreak/>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1998)","manualFormatting":"Doney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illustrate two major themes of trust: (1) trust as a set of beliefs or expectations, and (2) as a willingness to act on those beliefs such as the trusting </w:t>
      </w:r>
      <w:proofErr w:type="spellStart"/>
      <w:r w:rsidRPr="009672FC">
        <w:rPr>
          <w:rFonts w:ascii="Garamond" w:hAnsi="Garamond"/>
          <w:color w:val="000000" w:themeColor="text1"/>
        </w:rPr>
        <w:t>behaviours</w:t>
      </w:r>
      <w:proofErr w:type="spellEnd"/>
      <w:r w:rsidRPr="009672FC">
        <w:rPr>
          <w:rFonts w:ascii="Garamond" w:hAnsi="Garamond"/>
          <w:color w:val="000000" w:themeColor="text1"/>
        </w:rPr>
        <w:t>. In an organizational context, these expectations are built based on organizational roles, relationships, and experiences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ey-Zalabak","given":"Pamela","non-dropping-particle":"","parse-names":false,"suffix":""},{"dropping-particle":"","family":"Ellis","given":"Kathleen","non-dropping-particle":"","parse-names":false,"suffix":""},{"dropping-particle":"","family":"Winograd","given":"Gaynelle","non-dropping-particle":"","parse-names":false,"suffix":""}],"container-title":"Orgaization Development Journal.","id":"ITEM-1","issue":"4","issued":{"date-parts":[["2000"]]},"page":"35","title":"Organizational Trust: What It Means, Why It Matters?","type":"article-journal","volume":"18"},"uris":["http://www.mendeley.com/documents/?uuid=142d9ee3-5fdc-49bb-9018-c45daf229e22"]}],"mendeley":{"formattedCitation":"(Shockey-Zalabak et al., 2000)","manualFormatting":"Shockey-Zalabak et al. 2000)","plainTextFormattedCitation":"(Shockey-Zalabak et al., 2000)","previouslyFormattedCitation":"(Shockey-Zalabak et al.,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Shockey-Zalabak et al. 2000)</w:t>
      </w:r>
      <w:r w:rsidRPr="009672FC">
        <w:rPr>
          <w:rFonts w:ascii="Garamond" w:hAnsi="Garamond"/>
          <w:color w:val="000000"/>
        </w:rPr>
        <w:fldChar w:fldCharType="end"/>
      </w:r>
      <w:r w:rsidRPr="009672FC">
        <w:rPr>
          <w:rFonts w:ascii="Garamond" w:hAnsi="Garamond"/>
          <w:color w:val="000000" w:themeColor="text1"/>
        </w:rPr>
        <w:t>. When trust is built, a trustee accepts his/her vulnerability on the words and actions of the trustor. However scholars argue that trust and risk are not the same, but it’s about the willingness to take the risk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{"citationItems":[{"id":"ITEM-1","itemData":{"author":[{"dropping-particle":"","family":"Mayer","given":"Roger C.","non-dropping-particle":"","parse-names":false,"suffix":""},{"dropping-particle":"","family":"Davis","given":"James H.","non-dropping-particle":"","parse-names":false,"suffix":""},{"dropping-particle":"","family":"Schoorman","given":"David F","non-dropping-particle":"","parse-names":false,"suffix":""}],"container-title":"The Academy of Management Review","id":"ITEM-1","issue":"3","issued":{"date-parts":[["1995"]]},"page":"709-734","title":"An Integrative Model of Organizational Trust","type":"article-journal","volume":"20"},"uris":["http://www.mendeley.com/documents/?uuid=28c80cd0-70b9-452f-a720-9bd9ae54f4b2"]}],"mendeley":{"formattedCitation":"(Mayer et al., 1995)","manualFormatting":"Mayer et al., 1995;","plainTextFormattedCitation":"(Mayer et al., 1995)","previouslyFormattedCitation":"(Mayer et al., 1995)"},"properties":{"noteIndex":0},"schema":"https://github.com/citation-style-language/schema/raw/master/csl-citation.json"}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Mayer et al., 1995;</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{"citationItems":[{"id":"ITEM-1","itemData":{"author":[{"dropping-particle":"","family":"Williamson","given":"Oliver E.","non-dropping-particle":"","parse-names":false,"suffix":""}],"container-title":"Journal of Law &amp; Economics","id":"ITEM-1","issue":"August","issued":{"date-parts":[["1993"]]},"page":"117-125","title":"Calculativeness, Trust, and Economic Organization*","type":"article-journal","volume":"1"},"uris":["http://www.mendeley.com/documents/?uuid=093a9007-2749-45da-ac54-50b71dfdc2dc"]}],"mendeley":{"formattedCitation":"(Williamson, 1993)","manualFormatting":"Williamson, 1993)","plainTextFormattedCitation":"(Williamson, 1993)","previouslyFormattedCitation":"(Williamson, 1993)"},"properties":{"noteIndex":0},"schema":"https://github.com/citation-style-language/schema/raw/master/csl-citation.json"}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Williamson, 1993)</w:t>
      </w:r>
      <w:r w:rsidRPr="009672FC">
        <w:rPr>
          <w:rFonts w:ascii="Garamond" w:hAnsi="Garamond"/>
          <w:color w:val="000000"/>
        </w:rPr>
        <w:fldChar w:fldCharType="end"/>
      </w:r>
      <w:r w:rsidRPr="009672FC">
        <w:rPr>
          <w:rFonts w:ascii="Garamond" w:hAnsi="Garamond"/>
          <w:color w:val="000000" w:themeColor="text1"/>
        </w:rPr>
        <w:t xml:space="preserve">.  </w:t>
      </w:r>
    </w:p>
    <w:p w14:paraId="7C1FA48B" w14:textId="3A9B9488"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Trust-building literature has a long-standing history discussed by researchers under different terms, including trust production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{"citationItems":[{"id":"ITEM-1","itemData":{"author":[{"dropping-particle":"","family":"Sheppard","given":"Blair H","non-dropping-particle":"","parse-names":false,"suffix":""},{"dropping-particle":"","family":"Sherman","given":"Dana M","non-dropping-particle":"","parse-names":false,"suffix":""}],"container-title":"The Academy of Management Review","id":"ITEM-1","issue":"3","issued":{"date-parts":[["1998"]]},"page":"422-437","title":"The Grammars of Trust : A Model and General Implications","type":"article-journal","volume":"23"},"uris":["http://www.mendeley.com/documents/?uuid=90f1cc3d-4c99-48ee-a47d-f0fec1dd93e2"]}],"mendeley":{"formattedCitation":"(Sheppard &amp; Sherman, 1998a)","plainTextFormattedCitation":"(Sheppard &amp; Sherman, 1998a)","previouslyFormattedCitation":"(Sheppard &amp; Sherman, 1998a)"},"properties":{"noteIndex":0},"schema":"https://github.com/citation-style-language/schema/raw/master/csl-citation.json"}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(Sheppard &amp; Sherman, 1998a)</w:t>
      </w:r>
      <w:r w:rsidRPr="009672FC">
        <w:rPr>
          <w:rFonts w:ascii="Garamond" w:hAnsi="Garamond"/>
          <w:color w:val="000000"/>
        </w:rPr>
        <w:fldChar w:fldCharType="end"/>
      </w:r>
      <w:r w:rsidRPr="009672FC">
        <w:rPr>
          <w:rFonts w:ascii="Garamond" w:hAnsi="Garamond"/>
          <w:color w:val="000000" w:themeColor="text1"/>
        </w:rPr>
        <w:t xml:space="preserve">, trust inducement </w:t>
      </w:r>
      <w:r w:rsidRPr="009672FC">
        <w:rPr>
          <w:rFonts w:ascii="Garamond" w:hAnsi="Garamond"/>
        </w:rPr>
        <w:fldChar w:fldCharType="begin" w:fldLock="1"/>
      </w:r>
      <w:r w:rsidR="00813D37" w:rsidRPr="009672FC">
        <w:rPr>
          <w:rFonts w:ascii="Garamond" w:hAnsi="Garamond"/>
          <w:color w:val="000000"/>
        </w:rPr>
        <w:instrText>ADDIN CSL_CITATION {"citationItems":[{"id":"ITEM-1","itemData":{"author":[{"dropping-particle":"","family":"Bhattacharya","given":"Rajeev","non-dropping-particle":"","parse-names":false,"suffix":""},{"dropping-particle":"","family":"Devinney","given":"Timothy M.","non-dropping-particle":"","parse-names":false,"suffix":""},{"dropping-particle":"","family":"Pillutla","given":"Madan M.","non-dropping-particle":"","parse-names":false,"suffix":""}],"container-title":"Academy of Management Review","id":"ITEM-1","issue":"3","issued":{"date-parts":[["1998"]]},"page":"459-472","title":"A Formal Model of Trust Based on Outcomes","type":"article-journal","volume":"23"},"uris":["http://www.mendeley.com/documents/?uuid=f54475f1-1222-4a52-b88e-4485004af04f"]}],"mendeley":{"formattedCitation":"(Bhattacharya, Devinney, &amp; Pillutla, 1998)","plainTextFormattedCitation":"(Bhattacharya, Devinney, &amp; Pillutla, 1998)","previouslyFormattedCitation":"(Bhattacharya et al., 1998)"},"properties":{"noteIndex":0},"schema":"https://github.com/citation-style-language/schema/raw/master/csl-citation.json"}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(Bhattacharya, Devinney, &amp; Pillutla, 1998)</w:t>
      </w:r>
      <w:r w:rsidRPr="009672FC">
        <w:rPr>
          <w:rFonts w:ascii="Garamond" w:hAnsi="Garamond"/>
          <w:color w:val="000000"/>
        </w:rPr>
        <w:fldChar w:fldCharType="end"/>
      </w:r>
      <w:r w:rsidRPr="009672FC">
        <w:rPr>
          <w:rFonts w:ascii="Garamond" w:hAnsi="Garamond"/>
          <w:color w:val="000000" w:themeColor="text1"/>
        </w:rPr>
        <w:t xml:space="preserve">, and trust development </w:t>
      </w:r>
      <w:r w:rsidRPr="009672FC">
        <w:rPr>
          <w:rFonts w:ascii="Garamond" w:hAnsi="Garamond"/>
        </w:rPr>
        <w:fldChar w:fldCharType="begin" w:fldLock="1"/>
      </w:r>
      <w:r w:rsidRPr="009672FC">
        <w:rPr>
          <w:rFonts w:ascii="Garamond" w:hAnsi="Garamond"/>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 Blomqvist and Ståhle,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(Lewicki and Wiethoff, 2000; Blomqvist and Ståhle, 2000)</w:t>
      </w:r>
      <w:r w:rsidRPr="009672FC">
        <w:rPr>
          <w:rFonts w:ascii="Garamond" w:hAnsi="Garamond"/>
          <w:color w:val="000000"/>
        </w:rPr>
        <w:fldChar w:fldCharType="end"/>
      </w:r>
      <w:r w:rsidRPr="009672FC">
        <w:rPr>
          <w:rFonts w:ascii="Garamond" w:hAnsi="Garamond"/>
          <w:color w:val="000000" w:themeColor="text1"/>
        </w:rPr>
        <w:t xml:space="preserve">. Trust-building within the context of inter-organizational relationships or alliances is even especially relevant as a result of the idiosyncratic and cultural differences between firms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1998)","manualFormatting":"(Cook et al., 2005; 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t>
      </w:r>
      <w:r w:rsidRPr="009672FC">
        <w:rPr>
          <w:rFonts w:ascii="Garamond" w:hAnsi="Garamond"/>
          <w:noProof/>
        </w:rPr>
        <w:fldChar w:fldCharType="begin" w:fldLock="1"/>
      </w:r>
      <w:r w:rsidRPr="009672FC">
        <w:rPr>
          <w:rFonts w:ascii="Garamond" w:hAnsi="Garamond"/>
          <w:noProof/>
          <w:color w:val="000000"/>
        </w:rPr>
        <w:instrText>ADDIN CSL_CITATION {"citationItems":[{"id":"ITEM-1","itemData":{"author":[{"dropping-particle":"","family":"Cook","given":"Karen S.","non-dropping-particle":"","parse-names":false,"suffix":""},{"dropping-particle":"","family":"Yamagishi","given":"Toshio","non-dropping-particle":"","parse-names":false,"suffix":""},{"dropping-particle":"","family":"Cheshire","given":"Coye","non-dropping-particle":"","parse-names":false,"suffix":""},{"dropping-particle":"","family":"Cooper","given":"Robin","non-dropping-particle":"","parse-names":false,"suffix":""},{"dropping-particle":"","family":"Matsuda","given":"Masafumi","non-dropping-particle":"","parse-names":false,"suffix":""},{"dropping-particle":"","family":"Mashima","given":"Rie","non-dropping-particle":"","parse-names":false,"suffix":""}],"container-title":"Social Psychology Quarterly","id":"ITEM-1","issue":"2","issued":{"date-parts":[["2005"]]},"page":"121-142","title":"Trust Building via Risk Taking : A Cross-Societal Experiment","type":"article-journal","volume":"68"},"uris":["http://www.mendeley.com/documents/?uuid=a4c515e3-522d-4e00-b3b2-b3241c4ad7fd"]}],"mendeley":{"formattedCitation":"(Cook et al., 2005)","manualFormatting":"Cook et al., 2005;","plainTextFormattedCitation":"(Cook et al., 2005)","previouslyFormattedCitation":"(Cook et al., 2005)"},"properties":{"noteIndex":0},"schema":"https://github.com/citation-style-language/schema/raw/master/csl-citation.json"}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Cook et al., 2005;</w:t>
      </w:r>
      <w:r w:rsidRPr="009672FC">
        <w:rPr>
          <w:rFonts w:ascii="Garamond" w:hAnsi="Garamond"/>
          <w:noProof/>
          <w:color w:val="000000"/>
        </w:rPr>
        <w:fldChar w:fldCharType="end"/>
      </w:r>
      <w:r w:rsidRPr="009672FC">
        <w:rPr>
          <w:rFonts w:ascii="Garamond" w:hAnsi="Garamond"/>
          <w:noProof/>
          <w:color w:val="000000" w:themeColor="text1"/>
        </w:rPr>
        <w:t xml:space="preserve"> Doney et al., 1998)</w:t>
      </w:r>
      <w:r w:rsidRPr="009672FC">
        <w:rPr>
          <w:rFonts w:ascii="Garamond" w:hAnsi="Garamond"/>
          <w:color w:val="000000"/>
        </w:rPr>
        <w:fldChar w:fldCharType="end"/>
      </w:r>
      <w:r w:rsidRPr="009672FC">
        <w:rPr>
          <w:rFonts w:ascii="Garamond" w:hAnsi="Garamond"/>
          <w:color w:val="000000" w:themeColor="text1"/>
        </w:rPr>
        <w:t xml:space="preserve">. </w:t>
      </w:r>
      <w:r w:rsidR="002663FA" w:rsidRPr="009672FC">
        <w:rPr>
          <w:rFonts w:ascii="Garamond" w:hAnsi="Garamond"/>
          <w:color w:val="000000" w:themeColor="text1"/>
        </w:rPr>
        <w:t>The i</w:t>
      </w:r>
      <w:r w:rsidRPr="009672FC">
        <w:rPr>
          <w:rFonts w:ascii="Garamond" w:hAnsi="Garamond"/>
          <w:color w:val="000000" w:themeColor="text1"/>
        </w:rPr>
        <w:t>nter</w:t>
      </w:r>
      <w:r w:rsidR="002663FA" w:rsidRPr="009672FC">
        <w:rPr>
          <w:rFonts w:ascii="Garamond" w:hAnsi="Garamond"/>
          <w:color w:val="000000" w:themeColor="text1"/>
        </w:rPr>
        <w:t>-</w:t>
      </w:r>
      <w:r w:rsidRPr="009672FC">
        <w:rPr>
          <w:rFonts w:ascii="Garamond" w:hAnsi="Garamond"/>
          <w:color w:val="000000" w:themeColor="text1"/>
        </w:rPr>
        <w:t xml:space="preserve">firm trust-building program has the potential to create a more collaborative behaviour, and thus minimizes partners opportunism. </w:t>
      </w:r>
    </w:p>
    <w:p w14:paraId="64F87596" w14:textId="15922E3A" w:rsidR="003D5DE8" w:rsidRPr="009672FC" w:rsidRDefault="007549AA" w:rsidP="00890FB2">
      <w:pPr>
        <w:spacing w:before="240" w:line="360" w:lineRule="auto"/>
        <w:jc w:val="both"/>
        <w:rPr>
          <w:rFonts w:ascii="Garamond" w:hAnsi="Garamond"/>
          <w:b/>
          <w:bCs/>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Six (2007)</w:t>
      </w:r>
      <w:r w:rsidRPr="009672FC">
        <w:rPr>
          <w:rFonts w:ascii="Garamond" w:hAnsi="Garamond"/>
        </w:rPr>
        <w:fldChar w:fldCharType="end"/>
      </w:r>
      <w:r w:rsidRPr="009672FC">
        <w:rPr>
          <w:rFonts w:ascii="Garamond" w:hAnsi="Garamond"/>
          <w:color w:val="000000" w:themeColor="text1"/>
        </w:rPr>
        <w:t xml:space="preserve"> identifies three central institutional policies that facilitate the trust-building process, such as creating a relationships-based culture, promoting a normative rather than a bureaucratic control, and building explicit socialization among members. Following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Blomqvist and Ståhle (2000)</w:t>
      </w:r>
      <w:r w:rsidRPr="009672FC">
        <w:rPr>
          <w:rFonts w:ascii="Garamond" w:hAnsi="Garamond"/>
          <w:color w:val="000000"/>
        </w:rPr>
        <w:fldChar w:fldCharType="end"/>
      </w:r>
      <w:r w:rsidRPr="009672FC">
        <w:rPr>
          <w:rFonts w:ascii="Garamond" w:hAnsi="Garamond"/>
          <w:color w:val="000000" w:themeColor="text1"/>
        </w:rPr>
        <w:t xml:space="preserve"> and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(2007)</w:t>
      </w:r>
      <w:r w:rsidRPr="009672FC">
        <w:rPr>
          <w:rFonts w:ascii="Garamond" w:hAnsi="Garamond"/>
          <w:color w:val="000000"/>
        </w:rPr>
        <w:fldChar w:fldCharType="end"/>
      </w:r>
      <w:r w:rsidRPr="009672FC">
        <w:rPr>
          <w:rFonts w:ascii="Garamond" w:hAnsi="Garamond"/>
          <w:color w:val="000000" w:themeColor="text1"/>
        </w:rPr>
        <w:t xml:space="preserve">, we describe trust-building as an interactive process in which members of the organization demonstrate the willingness to learn, develop and maintain trustworthiness over time. Furthermore,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1998)","manualFormatting":"Doney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mention the various trust-building processes based on calculation, prediction, intentionality, capability, and transference. These processes are based on a trustor’s willingness to act based on trustees expectations to develop through a pattern of cognitive analysis, influence by certain underlying behavioural assumptions.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{"citationItems":[{"id":"ITEM-1","itemData":{"author":[{"dropping-particle":"","family":"Bhattacharya","given":"Rajeev","non-dropping-particle":"","parse-names":false,"suffix":""},{"dropping-particle":"","family":"Devinney","given":"Timothy M.","non-dropping-particle":"","parse-names":false,"suffix":""},{"dropping-particle":"","family":"Pillutla","given":"Madan M.","non-dropping-particle":"","parse-names":false,"suffix":""}],"container-title":"Academy of Management Review","id":"ITEM-1","issue":"3","issued":{"date-parts":[["1998"]]},"page":"459-472","title":"A Formal Model of Trust Based on Outcomes","type":"article-journal","volume":"23"},"uris":["http://www.mendeley.com/documents/?uuid=f54475f1-1222-4a52-b88e-4485004af04f"]}],"mendeley":{"formattedCitation":"(Bhattacharya et al., 1998)","manualFormatting":"Bhattacharya et al. (1998)","plainTextFormattedCitation":"(Bhattacharya et al., 1998)","previouslyFormattedCitation":"(Bhattacharya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Bhattacharya et al. (1998)</w:t>
      </w:r>
      <w:r w:rsidRPr="009672FC">
        <w:rPr>
          <w:rFonts w:ascii="Garamond" w:hAnsi="Garamond"/>
          <w:color w:val="000000"/>
        </w:rPr>
        <w:fldChar w:fldCharType="end"/>
      </w:r>
      <w:r w:rsidRPr="009672FC">
        <w:rPr>
          <w:rFonts w:ascii="Garamond" w:hAnsi="Garamond"/>
          <w:color w:val="000000" w:themeColor="text1"/>
        </w:rPr>
        <w:t xml:space="preserve"> suggest four trust-inducing mechanisms in an inter-organizational context such as the alignment of interests, value alteration, selectivity in transactions, and research or information revelation. These interventions are critical to how</w:t>
      </w:r>
      <w:r w:rsidRPr="009672FC">
        <w:rPr>
          <w:rFonts w:ascii="Garamond" w:hAnsi="Garamond"/>
          <w:i/>
          <w:iCs/>
          <w:color w:val="000000" w:themeColor="text1"/>
        </w:rPr>
        <w:t xml:space="preserve"> </w:t>
      </w:r>
      <w:r w:rsidRPr="009672FC">
        <w:rPr>
          <w:rFonts w:ascii="Garamond" w:hAnsi="Garamond"/>
          <w:color w:val="000000" w:themeColor="text1"/>
        </w:rPr>
        <w:t>trust is created and maintained in an inter</w:t>
      </w:r>
      <w:r w:rsidR="002663FA" w:rsidRPr="009672FC">
        <w:rPr>
          <w:rFonts w:ascii="Garamond" w:hAnsi="Garamond"/>
          <w:color w:val="000000" w:themeColor="text1"/>
        </w:rPr>
        <w:t>-</w:t>
      </w:r>
      <w:r w:rsidRPr="009672FC">
        <w:rPr>
          <w:rFonts w:ascii="Garamond" w:hAnsi="Garamond"/>
          <w:color w:val="000000" w:themeColor="text1"/>
        </w:rPr>
        <w:t xml:space="preserve">organizational relationship. </w:t>
      </w:r>
    </w:p>
    <w:p w14:paraId="2AC3D688" w14:textId="0D5042FD"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46" w:name="_Toc85708743"/>
      <w:bookmarkStart w:id="147" w:name="_Toc85709757"/>
      <w:r w:rsidRPr="009672FC">
        <w:rPr>
          <w:rFonts w:ascii="Garamond" w:hAnsi="Garamond" w:cs="Times New Roman"/>
          <w:b/>
          <w:bCs/>
          <w:i/>
          <w:iCs/>
          <w:color w:val="000000" w:themeColor="text1"/>
          <w:sz w:val="24"/>
          <w:szCs w:val="24"/>
        </w:rPr>
        <w:t>The Interplay Between Institution-Based Trust-Building and Organizational Performance</w:t>
      </w:r>
      <w:bookmarkEnd w:id="146"/>
      <w:bookmarkEnd w:id="147"/>
    </w:p>
    <w:p w14:paraId="3609ED7C" w14:textId="77777777" w:rsidR="003D5DE8" w:rsidRPr="009672FC" w:rsidRDefault="007549AA">
      <w:pPr>
        <w:spacing w:line="360" w:lineRule="auto"/>
        <w:jc w:val="both"/>
        <w:rPr>
          <w:rFonts w:ascii="Garamond" w:hAnsi="Garamond"/>
          <w:color w:val="000000" w:themeColor="text1"/>
          <w:shd w:val="clear" w:color="auto" w:fill="FFFFFF"/>
        </w:rPr>
      </w:pPr>
      <w:r w:rsidRPr="009672FC">
        <w:rPr>
          <w:rFonts w:ascii="Garamond" w:hAnsi="Garamond"/>
          <w:color w:val="000000" w:themeColor="text1"/>
        </w:rPr>
        <w:t xml:space="preserve">Although trust is argued as a personal responsibility, however, the set of norms and rules established by the society or institutional environment influence trust </w:t>
      </w:r>
      <w:r w:rsidRPr="009672FC">
        <w:rPr>
          <w:rFonts w:ascii="Garamond" w:hAnsi="Garamond"/>
        </w:rPr>
        <w:fldChar w:fldCharType="begin" w:fldLock="1"/>
      </w:r>
      <w:r w:rsidRPr="009672FC">
        <w:rPr>
          <w:rFonts w:ascii="Garamond" w:hAnsi="Garamond"/>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(Lewicki &amp; Wiethoff, 2000)</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color w:val="000000" w:themeColor="text1"/>
        </w:rPr>
        <w:lastRenderedPageBreak/>
        <w:t>Recent</w:t>
      </w:r>
      <w:r w:rsidRPr="009672FC">
        <w:rPr>
          <w:rFonts w:ascii="Garamond" w:hAnsi="Garamond"/>
          <w:color w:val="000000" w:themeColor="text1"/>
          <w:shd w:val="clear" w:color="auto" w:fill="FFFFFF"/>
        </w:rPr>
        <w:t xml:space="preserve"> studies examine the role of institutional processes that influence trust-building in a business environment. For example,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{"citationItems":[{"id":"ITEM-1","itemData":{"DOI":"10.1109/HICSS.2003.1174574","ISBN":"0769518745","abstract":"Given the uncertainty of the online environment, institutional trust is fundamental in building and retaining online interorganizational relationships. The authors propose two types of institutional trust (a) third-party institution-based trust, which deals with intermediary driven structures, such as those in online B2B marketplaces, and (b) bilateral institutionalized trust, which deals with dyadic interorganizational processes, standards, and norms. We examine how institutional trust develops through their underlying dimensions (i) structural assurances, (ii) facilitating conditions, and (in) situational normality to engender trust and influence relationship continuity. This study focuses on the time-dependent nature of institutional trust from the exploratory to the maturity phase by describing (a) the role of bilateral relative to third-party institutional trust on buyer-supplier trust, and (b) the transition of the three underlying institutional dimensions on trust over the relationship's life cycle. This research has implications for (I) the longitudinal role of institutional trust in online relationship building, (2) the design of trust-building mechanisms in online B2B marketplaces, (3) the safe and cost-effective building of online interorganizational relationships, and (4) the literature on initial trust formation.","author":[{"dropping-particle":"","family":"Pavlou","given":"P. A.","non-dropping-particle":"","parse-names":false,"suffix":""},{"dropping-particle":"","family":"Tan","given":"Yao Hua","non-dropping-particle":"","parse-names":false,"suffix":""},{"dropping-particle":"","family":"Gefen","given":"D.","non-dropping-particle":"","parse-names":false,"suffix":""}],"container-title":"Proceedings of the 36th Annual Hawaii International Conference on System Sciences, HICSS 2003","id":"ITEM-1","issued":{"date-parts":[["2003"]]},"publisher":"IEEE","title":"The transitional role of institutional trust in online interorganizational relationships","type":"paper-conference"},"uris":["http://www.mendeley.com/documents/?uuid=96d91081-3f9f-412d-b8db-c10e28551021"]}],"mendeley":{"formattedCitation":"(P. A. Pavlou et al., 2003)","manualFormatting":"Pavlou et al. (2003)","plainTextFormattedCitation":"(P. A. Pavlou et al., 2003)","previouslyFormattedCitation":"(P. A. Pavlou et al., 2003)"},"properties":{"noteIndex":0},"schema":"https://github.com/citation-style-language/schema/raw/master/csl-citation.json"}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Pavlou et al. (2003)</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examine the role of institutional practices in developing and sustaining trust in an online inter-organizational marketplace.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Bachmann and Inkpen (2011)</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conceptualized the mechanism for the development of institutional-based trust in an inter-organizational relationship.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2002)","manualFormatting":"Pavlou (2002)","plainTextFormattedCitation":"(Paul A Pavlou, 2002)","previouslyFormattedCitation":"(Paul A Pavlou, 2002)"},"properties":{"noteIndex":0},"schema":"https://github.com/citation-style-language/schema/raw/master/csl-citation.json"}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Pavlou (2002)</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investigates how specific institutional mechanisms build trust in online B2B marketplaces. </w:t>
      </w:r>
    </w:p>
    <w:p w14:paraId="28DF5822" w14:textId="1D1A4A0A" w:rsidR="00890FB2" w:rsidRPr="009672FC" w:rsidRDefault="007549AA" w:rsidP="00890FB2">
      <w:pPr>
        <w:spacing w:before="240" w:line="360" w:lineRule="auto"/>
        <w:jc w:val="both"/>
        <w:rPr>
          <w:rFonts w:ascii="Garamond" w:hAnsi="Garamond"/>
          <w:color w:val="000000" w:themeColor="text1"/>
          <w:shd w:val="clear" w:color="auto" w:fill="FFFFFF"/>
        </w:rPr>
      </w:pPr>
      <w:r w:rsidRPr="009672FC">
        <w:rPr>
          <w:rFonts w:ascii="Garamond" w:hAnsi="Garamond"/>
          <w:color w:val="000000" w:themeColor="text1"/>
          <w:shd w:val="clear" w:color="auto" w:fill="FFFFFF"/>
        </w:rPr>
        <w:t xml:space="preserve">According to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{"citationItems":[{"id":"ITEM-1","itemData":{"DOI":"10.1080/00472778.2019.1661682","ISSN":"1540627X","abstract":"Trust critically affects the perceived probability of receiving expected returns on investment. Crowdfunding differs in many ways from traditional forms of investing. We have to ask what builds trust in this particular context. Based on literature regarding the formation of initial trust, we developed a model to explain which factors lead to crowdfunders’ trust in a crowdfunding project. We tested it on data collected from actual investors in a real project on a crowdlending platform. Our results show that trust in the crowdfunding platform and the information quality are more important factors of project trust than trust in the creator.","author":[{"dropping-particle":"","family":"Moysidou","given":"Krystallia","non-dropping-particle":"","parse-names":false,"suffix":""},{"dropping-particle":"","family":"Hausberg","given":"J. Piet","non-dropping-particle":"","parse-names":false,"suffix":""}],"container-title":"Journal of Small Business Management","id":"ITEM-1","issue":"3","issued":{"date-parts":[["2019"]]},"page":"511-543","publisher":"Routledge","title":"In crowdfunding we trust: A trust-building model in lending crowdfunding","type":"article-journal","volume":"58"},"uris":["http://www.mendeley.com/documents/?uuid=45645c0c-b34f-4fcf-941f-21661a7a06e5"]}],"mendeley":{"formattedCitation":"(Moysidou &amp; Hausberg, 2019)","manualFormatting":"Moysidou and Hausberg (2019)","plainTextFormattedCitation":"(Moysidou &amp; Hausberg, 2019)","previouslyFormattedCitation":"(Moysidou &amp; Hausberg, 2019)"},"properties":{"noteIndex":0},"schema":"https://github.com/citation-style-language/schema/raw/master/csl-citation.json"}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Moysidou and Hausberg (2019)</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institution-based trust is an "individual belief that the necessary impersonal structures and structural safeguards are in place to enhance the probability of achieving a successful outcome in a future transaction or </w:t>
      </w:r>
      <w:proofErr w:type="spellStart"/>
      <w:r w:rsidRPr="009672FC">
        <w:rPr>
          <w:rFonts w:ascii="Garamond" w:hAnsi="Garamond"/>
          <w:color w:val="000000" w:themeColor="text1"/>
          <w:shd w:val="clear" w:color="auto" w:fill="FFFFFF"/>
        </w:rPr>
        <w:t>endeavour</w:t>
      </w:r>
      <w:proofErr w:type="spellEnd"/>
      <w:r w:rsidRPr="009672FC">
        <w:rPr>
          <w:rFonts w:ascii="Garamond" w:hAnsi="Garamond"/>
          <w:color w:val="000000" w:themeColor="text1"/>
          <w:shd w:val="clear" w:color="auto" w:fill="FFFFFF"/>
        </w:rPr>
        <w:t xml:space="preserve">" (p. 10). These impersonal structures are “macro-level socio-economic systems” as well as the “institutional safeguards” that enhance trust formation without relying on either face-to-face interaction or prior personal experiences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 p. 282)","plainTextFormattedCitation":"(Bachmann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(Bachmann and Inkpen, 2011, p. 282)</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In this sense, the institutional structures (such as the contractual, </w:t>
      </w:r>
      <w:proofErr w:type="gramStart"/>
      <w:r w:rsidRPr="009672FC">
        <w:rPr>
          <w:rFonts w:ascii="Garamond" w:hAnsi="Garamond"/>
          <w:color w:val="000000" w:themeColor="text1"/>
          <w:shd w:val="clear" w:color="auto" w:fill="FFFFFF"/>
        </w:rPr>
        <w:t>legal</w:t>
      </w:r>
      <w:proofErr w:type="gramEnd"/>
      <w:r w:rsidRPr="009672FC">
        <w:rPr>
          <w:rFonts w:ascii="Garamond" w:hAnsi="Garamond"/>
          <w:color w:val="000000" w:themeColor="text1"/>
          <w:shd w:val="clear" w:color="auto" w:fill="FFFFFF"/>
        </w:rPr>
        <w:t xml:space="preserve"> and regulatory policies) ensure </w:t>
      </w:r>
      <w:r w:rsidR="002663FA" w:rsidRPr="009672FC">
        <w:rPr>
          <w:rFonts w:ascii="Garamond" w:hAnsi="Garamond"/>
          <w:color w:val="000000" w:themeColor="text1"/>
          <w:shd w:val="clear" w:color="auto" w:fill="FFFFFF"/>
        </w:rPr>
        <w:t>a</w:t>
      </w:r>
      <w:r w:rsidRPr="009672FC">
        <w:rPr>
          <w:rFonts w:ascii="Garamond" w:hAnsi="Garamond"/>
          <w:color w:val="000000" w:themeColor="text1"/>
          <w:shd w:val="clear" w:color="auto" w:fill="FFFFFF"/>
        </w:rPr>
        <w:t xml:space="preserve"> safer relational environment for participants, promote cooperation between them, and penalize against </w:t>
      </w:r>
      <w:proofErr w:type="spellStart"/>
      <w:r w:rsidRPr="009672FC">
        <w:rPr>
          <w:rFonts w:ascii="Garamond" w:hAnsi="Garamond"/>
          <w:color w:val="000000" w:themeColor="text1"/>
          <w:shd w:val="clear" w:color="auto" w:fill="FFFFFF"/>
        </w:rPr>
        <w:t>misbehaviour</w:t>
      </w:r>
      <w:proofErr w:type="spellEnd"/>
      <w:r w:rsidRPr="009672FC">
        <w:rPr>
          <w:rFonts w:ascii="Garamond" w:hAnsi="Garamond"/>
          <w:color w:val="000000" w:themeColor="text1"/>
          <w:shd w:val="clear" w:color="auto" w:fill="FFFFFF"/>
        </w:rPr>
        <w:t xml:space="preserve"> (</w:t>
      </w:r>
      <w:r w:rsidR="004A6AF2" w:rsidRPr="009672FC">
        <w:rPr>
          <w:rFonts w:ascii="Garamond" w:hAnsi="Garamond"/>
          <w:color w:val="000000" w:themeColor="text1"/>
          <w:shd w:val="clear" w:color="auto" w:fill="FFFFFF"/>
        </w:rPr>
        <w:t>i.e., misappropriation</w:t>
      </w:r>
      <w:r w:rsidRPr="009672FC">
        <w:rPr>
          <w:rFonts w:ascii="Garamond" w:hAnsi="Garamond"/>
          <w:color w:val="000000" w:themeColor="text1"/>
          <w:shd w:val="clear" w:color="auto" w:fill="FFFFFF"/>
        </w:rPr>
        <w:t xml:space="preserve">). Despite the high potential of an institutional process in trust-building, very little research is done in the area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(Bachmann &amp; Inkpen, 2011)</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particularly in the context of interfirm SMEs relationship. </w:t>
      </w:r>
    </w:p>
    <w:p w14:paraId="2069F8A4" w14:textId="20B2CED9" w:rsidR="00890FB2" w:rsidRPr="009672FC" w:rsidRDefault="00890FB2" w:rsidP="00890FB2">
      <w:pPr>
        <w:spacing w:before="240" w:line="360" w:lineRule="auto"/>
        <w:jc w:val="both"/>
        <w:rPr>
          <w:rFonts w:ascii="Garamond" w:hAnsi="Garamond"/>
          <w:color w:val="000000" w:themeColor="text1"/>
          <w:shd w:val="clear" w:color="auto" w:fill="FFFFFF"/>
        </w:rPr>
      </w:pPr>
      <w:r w:rsidRPr="009672FC">
        <w:rPr>
          <w:rFonts w:ascii="Garamond" w:hAnsi="Garamond"/>
          <w:color w:val="000000" w:themeColor="text1"/>
          <w:shd w:val="clear" w:color="auto" w:fill="FFFFFF"/>
        </w:rPr>
        <w:t>Since</w:t>
      </w:r>
      <w:r w:rsidR="007549AA" w:rsidRPr="009672FC">
        <w:rPr>
          <w:rFonts w:ascii="Garamond" w:hAnsi="Garamond"/>
          <w:color w:val="000000" w:themeColor="text1"/>
          <w:shd w:val="clear" w:color="auto" w:fill="FFFFFF"/>
        </w:rPr>
        <w:t xml:space="preserve"> institutional structures characterized the set of rules, standards, and codes of conduct </w:t>
      </w:r>
      <w:r w:rsidR="007549AA" w:rsidRPr="009672FC">
        <w:rPr>
          <w:rFonts w:ascii="Garamond" w:hAnsi="Garamond"/>
        </w:rPr>
        <w:fldChar w:fldCharType="begin" w:fldLock="1"/>
      </w:r>
      <w:r w:rsidR="007549AA" w:rsidRPr="009672FC">
        <w:rPr>
          <w:rFonts w:ascii="Garamond" w:hAnsi="Garamond"/>
          <w:color w:val="000000"/>
          <w:shd w:val="clear" w:color="auto" w:fill="FFFFFF"/>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2002)","manualFormatting":"(Lewicki and Wiethoff, 2000; Pavlou, 2002;","plainTextFormattedCitation":"(Paul A Pavlou, 2002)","previouslyFormattedCitation":"(Paul A Pavlou, 2002)"},"properties":{"noteIndex":0},"schema":"https://github.com/citation-style-language/schema/raw/master/csl-citation.json"}</w:instrText>
      </w:r>
      <w:r w:rsidR="007549AA" w:rsidRPr="009672FC">
        <w:rPr>
          <w:rFonts w:ascii="Garamond" w:hAnsi="Garamond"/>
          <w:color w:val="000000"/>
          <w:shd w:val="clear" w:color="auto" w:fill="FFFFFF"/>
        </w:rPr>
        <w:fldChar w:fldCharType="separate"/>
      </w:r>
      <w:r w:rsidR="007549AA" w:rsidRPr="009672FC">
        <w:rPr>
          <w:rFonts w:ascii="Garamond" w:hAnsi="Garamond"/>
          <w:noProof/>
        </w:rPr>
        <w:fldChar w:fldCharType="begin" w:fldLock="1"/>
      </w:r>
      <w:r w:rsidR="007549AA" w:rsidRPr="009672FC">
        <w:rPr>
          <w:rFonts w:ascii="Garamond" w:hAnsi="Garamond"/>
          <w:noProof/>
          <w:color w:val="000000"/>
          <w:shd w:val="clear" w:color="auto" w:fill="FFFFFF"/>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007549AA" w:rsidRPr="009672FC">
        <w:rPr>
          <w:rFonts w:ascii="Garamond" w:hAnsi="Garamond"/>
          <w:noProof/>
          <w:color w:val="000000"/>
          <w:shd w:val="clear" w:color="auto" w:fill="FFFFFF"/>
        </w:rPr>
        <w:fldChar w:fldCharType="separate"/>
      </w:r>
      <w:r w:rsidR="007549AA" w:rsidRPr="009672FC">
        <w:rPr>
          <w:rFonts w:ascii="Garamond" w:hAnsi="Garamond"/>
          <w:noProof/>
          <w:color w:val="000000" w:themeColor="text1"/>
        </w:rPr>
        <w:t>(Lewicki and Wiethoff, 2000;</w:t>
      </w:r>
      <w:r w:rsidR="007549AA" w:rsidRPr="009672FC">
        <w:rPr>
          <w:rFonts w:ascii="Garamond" w:hAnsi="Garamond"/>
          <w:noProof/>
          <w:color w:val="000000"/>
          <w:shd w:val="clear" w:color="auto" w:fill="FFFFFF"/>
        </w:rPr>
        <w:fldChar w:fldCharType="end"/>
      </w:r>
      <w:r w:rsidR="007549AA" w:rsidRPr="009672FC">
        <w:rPr>
          <w:rFonts w:ascii="Garamond" w:hAnsi="Garamond"/>
          <w:noProof/>
          <w:color w:val="000000" w:themeColor="text1"/>
        </w:rPr>
        <w:t xml:space="preserve"> </w:t>
      </w:r>
      <w:r w:rsidR="007549AA" w:rsidRPr="009672FC">
        <w:rPr>
          <w:rFonts w:ascii="Garamond" w:hAnsi="Garamond"/>
          <w:noProof/>
          <w:color w:val="000000" w:themeColor="text1"/>
          <w:shd w:val="clear" w:color="auto" w:fill="FFFFFF"/>
        </w:rPr>
        <w:t>Pavlou, 2002;</w:t>
      </w:r>
      <w:r w:rsidR="007549AA" w:rsidRPr="009672FC">
        <w:rPr>
          <w:rFonts w:ascii="Garamond" w:hAnsi="Garamond"/>
          <w:color w:val="000000"/>
          <w:shd w:val="clear" w:color="auto" w:fill="FFFFFF"/>
        </w:rPr>
        <w:fldChar w:fldCharType="end"/>
      </w:r>
      <w:r w:rsidR="007549AA" w:rsidRPr="009672FC">
        <w:rPr>
          <w:rFonts w:ascii="Garamond" w:hAnsi="Garamond"/>
        </w:rPr>
        <w:fldChar w:fldCharType="begin" w:fldLock="1"/>
      </w:r>
      <w:r w:rsidR="007549AA" w:rsidRPr="009672FC">
        <w:rPr>
          <w:rFonts w:ascii="Garamond" w:hAnsi="Garamond"/>
          <w:color w:val="000000"/>
          <w:shd w:val="clear" w:color="auto" w:fill="FFFFFF"/>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 Bachmann and Inkpen, 2011)","plainTextFormattedCitation":"(Bachmann &amp; Inkpen, 2011)","previouslyFormattedCitation":"(Bachmann &amp; Inkpen, 2011)"},"properties":{"noteIndex":0},"schema":"https://github.com/citation-style-language/schema/raw/master/csl-citation.json"}</w:instrText>
      </w:r>
      <w:r w:rsidR="007549AA" w:rsidRPr="009672FC">
        <w:rPr>
          <w:rFonts w:ascii="Garamond" w:hAnsi="Garamond"/>
          <w:color w:val="000000"/>
          <w:shd w:val="clear" w:color="auto" w:fill="FFFFFF"/>
        </w:rPr>
        <w:fldChar w:fldCharType="separate"/>
      </w:r>
      <w:r w:rsidR="007549AA" w:rsidRPr="009672FC">
        <w:rPr>
          <w:rFonts w:ascii="Garamond" w:hAnsi="Garamond"/>
          <w:noProof/>
          <w:color w:val="000000" w:themeColor="text1"/>
          <w:shd w:val="clear" w:color="auto" w:fill="FFFFFF"/>
        </w:rPr>
        <w:t xml:space="preserve"> Bachmann and Inkpen, 2011)</w:t>
      </w:r>
      <w:r w:rsidR="007549AA" w:rsidRPr="009672FC">
        <w:rPr>
          <w:rFonts w:ascii="Garamond" w:hAnsi="Garamond"/>
          <w:color w:val="000000"/>
          <w:shd w:val="clear" w:color="auto" w:fill="FFFFFF"/>
        </w:rPr>
        <w:fldChar w:fldCharType="end"/>
      </w:r>
      <w:r w:rsidR="007549AA" w:rsidRPr="009672FC">
        <w:rPr>
          <w:rFonts w:ascii="Garamond" w:hAnsi="Garamond"/>
          <w:color w:val="000000" w:themeColor="text1"/>
          <w:shd w:val="clear" w:color="auto" w:fill="FFFFFF"/>
        </w:rPr>
        <w:t xml:space="preserve">, it is useful to build a connection between the institutional perspective in the facilitation of interfirm trust. The perception of the actors about the institutional effectiveness in trust-building is reflected in the degree of collaborative practices such as knowledge sharing and innovation performance. For example, the management commitment to trust </w:t>
      </w:r>
      <w:r w:rsidR="007549AA" w:rsidRPr="009672FC">
        <w:rPr>
          <w:rFonts w:ascii="Garamond" w:hAnsi="Garamond"/>
        </w:rPr>
        <w:fldChar w:fldCharType="begin" w:fldLock="1"/>
      </w:r>
      <w:r w:rsidR="00813D37" w:rsidRPr="009672FC">
        <w:rPr>
          <w:rFonts w:ascii="Garamond" w:hAnsi="Garamond"/>
          <w:color w:val="000000"/>
          <w:shd w:val="clear" w:color="auto" w:fill="FFFFFF"/>
        </w:rPr>
        <w:instrText>ADDIN CSL_CITATION {"citationItems":[{"id":"ITEM-1","itemData":{"DOI":"10.2478/mper-2014-0005","ISSN":"2080-8208","abstract":"The purpose of this study was to propose a theoretical model and empirically measure whether trust impacts organizational performance. This study focused on three constructs: management trust (MT); organizational trust (OT); and organizational performance (OP). Specifically, the results of this study determined whether management trust (MT) significantly and positively contributes to organizational trust (OT) and whether organizational trust (OT) significantly and positively contributes to organizational performance (OP). Based on the findings, recommendations were made for building and sustaining a culture that will lead to improved organizational performance).","author":[{"dropping-particle":"","family":"Paliszkiewicz","given":"Joanna","non-dropping-particle":"","parse-names":false,"suffix":""},{"dropping-particle":"","family":"Koohang","given":"Alex","non-dropping-particle":"","parse-names":false,"suffix":""},{"dropping-particle":"","family":"Gołuchowski","given":"Jerzy","non-dropping-particle":"","parse-names":false,"suffix":""},{"dropping-particle":"","family":"Horn Nord","given":"Jeretta","non-dropping-particle":"","parse-names":false,"suffix":""}],"container-title":"Management and Production Engineering Review","id":"ITEM-1","issue":"1","issued":{"date-parts":[["2014"]]},"page":"32-41","title":"Management trust, organizational trust, and organizational performance: advancing and measuring a theoretical model","type":"article-journal","volume":"5"},"uris":["http://www.mendeley.com/documents/?uuid=dd9d5aa8-243d-4f33-bf2a-9a17c01c68f3"]}],"mendeley":{"formattedCitation":"(Paliszkiewicz, Koohang, Gołuchowski, &amp; Horn Nord, 2014)","plainTextFormattedCitation":"(Paliszkiewicz, Koohang, Gołuchowski, &amp; Horn Nord, 2014)","previouslyFormattedCitation":"(Paliszkiewicz et al., 2014)"},"properties":{"noteIndex":0},"schema":"https://github.com/citation-style-language/schema/raw/master/csl-citation.json"}</w:instrText>
      </w:r>
      <w:r w:rsidR="007549AA" w:rsidRPr="009672FC">
        <w:rPr>
          <w:rFonts w:ascii="Garamond" w:hAnsi="Garamond"/>
          <w:color w:val="000000"/>
          <w:shd w:val="clear" w:color="auto" w:fill="FFFFFF"/>
        </w:rPr>
        <w:fldChar w:fldCharType="separate"/>
      </w:r>
      <w:r w:rsidR="00813D37" w:rsidRPr="009672FC">
        <w:rPr>
          <w:rFonts w:ascii="Garamond" w:hAnsi="Garamond"/>
          <w:noProof/>
          <w:color w:val="000000" w:themeColor="text1"/>
          <w:shd w:val="clear" w:color="auto" w:fill="FFFFFF"/>
        </w:rPr>
        <w:t>(Paliszkiewicz, Koohang, Gołuchowski, &amp; Horn Nord, 2014)</w:t>
      </w:r>
      <w:r w:rsidR="007549AA" w:rsidRPr="009672FC">
        <w:rPr>
          <w:rFonts w:ascii="Garamond" w:hAnsi="Garamond"/>
          <w:color w:val="000000"/>
          <w:shd w:val="clear" w:color="auto" w:fill="FFFFFF"/>
        </w:rPr>
        <w:fldChar w:fldCharType="end"/>
      </w:r>
      <w:r w:rsidR="007549AA" w:rsidRPr="009672FC">
        <w:rPr>
          <w:rFonts w:ascii="Garamond" w:hAnsi="Garamond"/>
          <w:color w:val="000000" w:themeColor="text1"/>
          <w:shd w:val="clear" w:color="auto" w:fill="FFFFFF"/>
        </w:rPr>
        <w:t xml:space="preserve">, encouraging a stakeholder management practice </w:t>
      </w:r>
      <w:r w:rsidR="007549AA" w:rsidRPr="009672FC">
        <w:rPr>
          <w:rFonts w:ascii="Garamond" w:hAnsi="Garamond"/>
        </w:rPr>
        <w:fldChar w:fldCharType="begin" w:fldLock="1"/>
      </w:r>
      <w:r w:rsidR="007549AA" w:rsidRPr="009672FC">
        <w:rPr>
          <w:rFonts w:ascii="Garamond" w:hAnsi="Garamond"/>
          <w:color w:val="000000"/>
          <w:shd w:val="clear" w:color="auto" w:fill="FFFFFF"/>
        </w:rPr>
        <w:instrText>ADDIN CSL_CITATION {"citationItems":[{"id":"ITEM-1","itemData":{"DOI":"10.1007/s10464-009-9276-2","ISSN":"00910562","abstract":"In response to increasing demands for greater coordination and collaboration among community institutions, interorganizational collaboratives (i. e., coalitions, partnerships, coordinating councils) have emerged as a popular mechanism for strengthening the capacity of a community system to respond to public and social issues. This study adopts a network approach to explore the relative importance of dense networks of cooperative relationships among members of interorganizational collaboratives for two outcomes of effectiveness: improving interorganizational coordination and fostering systems change. Based on survey and social network data collected from 48 different collaboratives, findings indicate that, relative to other key characteristics of collaboratives identified in previous literature, cooperative stakeholder relationships were the strongest predictor of systems change outcomes. However, for coordination outcomes, stakeholder relationships were overshadowed in importance by the leadership and decision making capacity of the collaborative. Collectively, findings suggest key differences in the requisite capacity profiles for coordination and systems change outcomes. © 2009 Society for Community Research and Action.","author":[{"dropping-particle":"","family":"Nowell","given":"Branda","non-dropping-particle":"","parse-names":false,"suffix":""}],"container-title":"American Journal of Community Psychology","id":"ITEM-1","issue":"3","issued":{"date-parts":[["2009"]]},"page":"196-212","title":"Profiling capacity for coordination and systems change: The relative contribution of stakeholder relationships in interorganizational collaboratives","type":"article-journal","volume":"44"},"uris":["http://www.mendeley.com/documents/?uuid=b79d990d-9888-4476-8c93-15eea5388280"]}],"mendeley":{"formattedCitation":"(Nowell, 2009)","plainTextFormattedCitation":"(Nowell, 2009)","previouslyFormattedCitation":"(Nowell, 2009)"},"properties":{"noteIndex":0},"schema":"https://github.com/citation-style-language/schema/raw/master/csl-citation.json"}</w:instrText>
      </w:r>
      <w:r w:rsidR="007549AA" w:rsidRPr="009672FC">
        <w:rPr>
          <w:rFonts w:ascii="Garamond" w:hAnsi="Garamond"/>
          <w:color w:val="000000"/>
          <w:shd w:val="clear" w:color="auto" w:fill="FFFFFF"/>
        </w:rPr>
        <w:fldChar w:fldCharType="separate"/>
      </w:r>
      <w:r w:rsidR="007549AA" w:rsidRPr="009672FC">
        <w:rPr>
          <w:rFonts w:ascii="Garamond" w:hAnsi="Garamond"/>
          <w:noProof/>
          <w:color w:val="000000" w:themeColor="text1"/>
          <w:shd w:val="clear" w:color="auto" w:fill="FFFFFF"/>
        </w:rPr>
        <w:t>(Nowell, 2009)</w:t>
      </w:r>
      <w:r w:rsidR="007549AA" w:rsidRPr="009672FC">
        <w:rPr>
          <w:rFonts w:ascii="Garamond" w:hAnsi="Garamond"/>
          <w:color w:val="000000"/>
          <w:shd w:val="clear" w:color="auto" w:fill="FFFFFF"/>
        </w:rPr>
        <w:fldChar w:fldCharType="end"/>
      </w:r>
      <w:r w:rsidR="007549AA" w:rsidRPr="009672FC">
        <w:rPr>
          <w:rFonts w:ascii="Garamond" w:hAnsi="Garamond"/>
          <w:color w:val="000000" w:themeColor="text1"/>
          <w:shd w:val="clear" w:color="auto" w:fill="FFFFFF"/>
        </w:rPr>
        <w:t xml:space="preserve">, and creating a relationship-oriented culture </w:t>
      </w:r>
      <w:r w:rsidR="007549AA" w:rsidRPr="009672FC">
        <w:rPr>
          <w:rFonts w:ascii="Garamond" w:hAnsi="Garamond"/>
        </w:rPr>
        <w:fldChar w:fldCharType="begin" w:fldLock="1"/>
      </w:r>
      <w:r w:rsidR="007549AA" w:rsidRPr="009672FC">
        <w:rPr>
          <w:rFonts w:ascii="Garamond" w:hAnsi="Garamond"/>
          <w:color w:val="000000"/>
          <w:shd w:val="clear" w:color="auto" w:fill="FFFFFF"/>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 Lewicki and Wiethoff, 2000)","plainTextFormattedCitation":"(Shockley-Zalabak &amp; Morreale, 2011)","previouslyFormattedCitation":"(Shockley-Zalabak &amp; Morreale, 2011)"},"properties":{"noteIndex":0},"schema":"https://github.com/citation-style-language/schema/raw/master/csl-citation.json"}</w:instrText>
      </w:r>
      <w:r w:rsidR="007549AA" w:rsidRPr="009672FC">
        <w:rPr>
          <w:rFonts w:ascii="Garamond" w:hAnsi="Garamond"/>
          <w:color w:val="000000"/>
          <w:shd w:val="clear" w:color="auto" w:fill="FFFFFF"/>
        </w:rPr>
        <w:fldChar w:fldCharType="separate"/>
      </w:r>
      <w:r w:rsidR="007549AA" w:rsidRPr="009672FC">
        <w:rPr>
          <w:rFonts w:ascii="Garamond" w:hAnsi="Garamond"/>
          <w:noProof/>
          <w:color w:val="000000" w:themeColor="text1"/>
          <w:shd w:val="clear" w:color="auto" w:fill="FFFFFF"/>
        </w:rPr>
        <w:t xml:space="preserve">(Shockley-Zalabak and Morreale, 2011; </w:t>
      </w:r>
      <w:r w:rsidR="007549AA" w:rsidRPr="009672FC">
        <w:rPr>
          <w:rFonts w:ascii="Garamond" w:hAnsi="Garamond"/>
          <w:noProof/>
        </w:rPr>
        <w:fldChar w:fldCharType="begin" w:fldLock="1"/>
      </w:r>
      <w:r w:rsidR="007549AA" w:rsidRPr="009672FC">
        <w:rPr>
          <w:rFonts w:ascii="Garamond" w:hAnsi="Garamond"/>
          <w:noProof/>
          <w:color w:val="000000"/>
          <w:shd w:val="clear" w:color="auto" w:fill="FFFFFF"/>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007549AA" w:rsidRPr="009672FC">
        <w:rPr>
          <w:rFonts w:ascii="Garamond" w:hAnsi="Garamond"/>
          <w:noProof/>
          <w:color w:val="000000"/>
          <w:shd w:val="clear" w:color="auto" w:fill="FFFFFF"/>
        </w:rPr>
        <w:fldChar w:fldCharType="separate"/>
      </w:r>
      <w:r w:rsidR="007549AA" w:rsidRPr="009672FC">
        <w:rPr>
          <w:rFonts w:ascii="Garamond" w:hAnsi="Garamond"/>
          <w:noProof/>
          <w:color w:val="000000" w:themeColor="text1"/>
        </w:rPr>
        <w:t>Lewicki and Wiethoff, 2000)</w:t>
      </w:r>
      <w:r w:rsidR="007549AA" w:rsidRPr="009672FC">
        <w:rPr>
          <w:rFonts w:ascii="Garamond" w:hAnsi="Garamond"/>
          <w:noProof/>
          <w:color w:val="000000"/>
          <w:shd w:val="clear" w:color="auto" w:fill="FFFFFF"/>
        </w:rPr>
        <w:fldChar w:fldCharType="end"/>
      </w:r>
      <w:r w:rsidR="007549AA" w:rsidRPr="009672FC">
        <w:rPr>
          <w:rFonts w:ascii="Garamond" w:hAnsi="Garamond"/>
          <w:color w:val="000000"/>
          <w:shd w:val="clear" w:color="auto" w:fill="FFFFFF"/>
        </w:rPr>
        <w:fldChar w:fldCharType="end"/>
      </w:r>
      <w:r w:rsidR="007549AA" w:rsidRPr="009672FC">
        <w:rPr>
          <w:rFonts w:ascii="Garamond" w:hAnsi="Garamond"/>
          <w:color w:val="000000" w:themeColor="text1"/>
          <w:shd w:val="clear" w:color="auto" w:fill="FFFFFF"/>
        </w:rPr>
        <w:t xml:space="preserve"> are important facilitators of institution-based trust. </w:t>
      </w:r>
    </w:p>
    <w:p w14:paraId="6836E004" w14:textId="0365B866" w:rsidR="00890FB2" w:rsidRPr="009672FC" w:rsidRDefault="007549AA" w:rsidP="00890FB2">
      <w:pPr>
        <w:spacing w:before="240" w:line="360" w:lineRule="auto"/>
        <w:jc w:val="both"/>
        <w:rPr>
          <w:rFonts w:ascii="Garamond" w:hAnsi="Garamond"/>
          <w:color w:val="000000" w:themeColor="text1"/>
          <w:shd w:val="clear" w:color="auto" w:fill="FFFFFF"/>
        </w:rPr>
      </w:pPr>
      <w:r w:rsidRPr="009672FC">
        <w:rPr>
          <w:rFonts w:ascii="Garamond" w:hAnsi="Garamond"/>
          <w:color w:val="000000" w:themeColor="text1"/>
          <w:shd w:val="clear" w:color="auto" w:fill="FFFFFF"/>
        </w:rPr>
        <w:t xml:space="preserve">We draw on the work of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Shockley-Zalabak and Morreale (2011)</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and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Lewicki and Wiethoff (2000)</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institution-based trust </w:t>
      </w:r>
      <w:r w:rsidR="00813D37" w:rsidRPr="009672FC">
        <w:rPr>
          <w:rFonts w:ascii="Garamond" w:hAnsi="Garamond"/>
          <w:color w:val="000000" w:themeColor="text1"/>
          <w:shd w:val="clear" w:color="auto" w:fill="FFFFFF"/>
        </w:rPr>
        <w:t>dimensions</w:t>
      </w:r>
      <w:r w:rsidRPr="009672FC">
        <w:rPr>
          <w:rFonts w:ascii="Garamond" w:hAnsi="Garamond"/>
          <w:color w:val="000000" w:themeColor="text1"/>
          <w:shd w:val="clear" w:color="auto" w:fill="FFFFFF"/>
        </w:rPr>
        <w:t xml:space="preserve"> (i.e. competence, reliability, identification, and openness), arguing that institutional practices are critical to the development of trust in the interfirm </w:t>
      </w:r>
      <w:r w:rsidRPr="009672FC">
        <w:rPr>
          <w:rFonts w:ascii="Garamond" w:hAnsi="Garamond"/>
          <w:color w:val="000000" w:themeColor="text1"/>
          <w:shd w:val="clear" w:color="auto" w:fill="FFFFFF"/>
        </w:rPr>
        <w:lastRenderedPageBreak/>
        <w:t xml:space="preserve">relationships and performance. Studies find that organizations that develop high trust among </w:t>
      </w:r>
      <w:r w:rsidR="002663FA" w:rsidRPr="009672FC">
        <w:rPr>
          <w:rFonts w:ascii="Garamond" w:hAnsi="Garamond"/>
          <w:color w:val="000000" w:themeColor="text1"/>
          <w:shd w:val="clear" w:color="auto" w:fill="FFFFFF"/>
        </w:rPr>
        <w:t>their</w:t>
      </w:r>
      <w:r w:rsidRPr="009672FC">
        <w:rPr>
          <w:rFonts w:ascii="Garamond" w:hAnsi="Garamond"/>
          <w:color w:val="000000" w:themeColor="text1"/>
          <w:shd w:val="clear" w:color="auto" w:fill="FFFFFF"/>
        </w:rPr>
        <w:t xml:space="preserve"> members enjoy high expected relational performances, in terms of increased organizational learning capabilities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{"citationItems":[{"id":"ITEM-1","itemData":{"DOI":"10.1017/jmo.2014.3","ISSN":"18333672","abstract":"Despite the fact that the majority of studies have suggested that it is beneficial for organizational performance, some empirical evidence has generated contradictory results concerning these variables. For this reason, this research attempts to look in-depth at the relationships between trust and organizational performance, using organizational learning capability as an explanatory variable. To confirm the hypotheses, the structural equation technique was used on data from a survey carried out in Spanish firms with recognized excellence in human resources management. The results obtained show that, in these firms, organizational learning capability mediates in the relationship between trust and organizational performance. Copyright © 2013 Cambridge University Press and Australian and New Zealand Academy of Management.","author":[{"dropping-particle":"","family":"Guinot","given":"Jacob","non-dropping-particle":"","parse-names":false,"suffix":""},{"dropping-particle":"","family":"Chiva","given":"Ricardo","non-dropping-particle":"","parse-names":false,"suffix":""},{"dropping-particle":"","family":"Mallén","given":"Fermín","non-dropping-particle":"","parse-names":false,"suffix":""}],"container-title":"Journal of Management and Organization","id":"ITEM-1","issue":"5","issued":{"date-parts":[["2013"]]},"page":"559-582","title":"Organizational trust and performance: Is organizational learning capability a missing link?","type":"article-journal","volume":"19"},"uris":["http://www.mendeley.com/documents/?uuid=e1112632-9fc0-4a8e-a7bc-4c5eb860990f"]}],"mendeley":{"formattedCitation":"(Guinot et al., 2013)","plainTextFormattedCitation":"(Guinot et al., 2013)","previouslyFormattedCitation":"(Guinot et al., 2013)"},"properties":{"noteIndex":0},"schema":"https://github.com/citation-style-language/schema/raw/master/csl-citation.json"}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(Guinot et al., 2013)</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knowledge sharing and learning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et al., 2018)","manualFormatting":"(Dyer et al., 2018;","plainTextFormattedCitation":"(Dyer et al., 2018)","previouslyFormattedCitation":"(Dyer et al., 2018)"},"properties":{"noteIndex":0},"schema":"https://github.com/citation-style-language/schema/raw/master/csl-citation.json"}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(Dyer et al., 2018;</w:t>
      </w:r>
      <w:r w:rsidRPr="009672FC">
        <w:rPr>
          <w:rFonts w:ascii="Garamond" w:hAnsi="Garamond"/>
          <w:color w:val="000000"/>
          <w:shd w:val="clear" w:color="auto" w:fill="FFFFFF"/>
        </w:rPr>
        <w:fldChar w:fldCharType="end"/>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 Bouncken and Kraus, 2013; 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 xml:space="preserve"> Bouncken and Kraus, 2013; Ibrahim and Ribbers, 2009)</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 xml:space="preserve">, and just-in-time performance </w:t>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{"citationItems":[{"id":"ITEM-1","itemData":{"DOI":"10.1016/j.ijpe.2016.05.004","ISSN":"09255273","abstract":"Quality management has received increasing attention in supply chain management. The concept of supply chain quality integration (SCQI) is used to explain how a focal manufacturer integrates with its upstream suppliers and downstream customers for quality improvement. Although the contingent effects of SCQI on quality-related performance have been studied, SCQI patterns and their relationships with performance remain unknown. Using data collected from 317 manufacturers across 10 countries, this study adopts a configuration approach to identify SCQI patterns and their relationships with quality-related performance. Five SCQI patterns composed of different levels of supplier, internal, and customer quality integration are identified. We describe these SCQI patterns in terms of the strength and balance of manufacturers’ quality integration. The ANOVA results show that quality-related performance varies according to different SCQI patterns. Interestingly, product quality is not distinguishable across SCQI patterns. Delivery performance is improved in patterns with a high level of balance of quality integration. The cost of quality is lower in patterns with a high level of customer quality integration. Flexibility is achieved in patterns with high balance and strength of quality integration. This study contributes to the supply chain management and quality management literature, and provides suggestions for managers to adopt different SCQI configurations to improve different types of quality-related performance.","author":[{"dropping-particle":"","family":"Huo","given":"Baofeng","non-dropping-particle":"","parse-names":false,"suffix":""},{"dropping-particle":"","family":"Ye","given":"Yuxiao","non-dropping-particle":"","parse-names":false,"suffix":""},{"dropping-particle":"","family":"Zhao","given":"Xiande","non-dropping-particle":"","parse-names":false,"suffix":""},{"dropping-particle":"","family":"Zhu","given":"Kaihang","non-dropping-particle":"","parse-names":false,"suffix":""}],"container-title":"International Journal of Production Economics","id":"ITEM-1","issued":{"date-parts":[["2019"]]},"page":"236-246","publisher":"Elsevier B.V.","title":"Supply chain quality integration: A taxonomy perspective","type":"article-journal","volume":"207"},"uris":["http://www.mendeley.com/documents/?uuid=9590f49d-2cb5-4667-8846-e99604049c9e"]}],"mendeley":{"formattedCitation":"(Huo et al., 2019)","manualFormatting":"(Huo et al., 2019;","plainTextFormattedCitation":"(Huo et al., 2019)","previouslyFormattedCitation":"(Huo et al., 2019)"},"properties":{"noteIndex":0},"schema":"https://github.com/citation-style-language/schema/raw/master/csl-citation.json"}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(Huo et al., 2019;</w:t>
      </w:r>
      <w:r w:rsidRPr="009672FC">
        <w:rPr>
          <w:rFonts w:ascii="Garamond" w:hAnsi="Garamond"/>
          <w:color w:val="000000"/>
          <w:shd w:val="clear" w:color="auto" w:fill="FFFFFF"/>
        </w:rPr>
        <w:fldChar w:fldCharType="end"/>
      </w:r>
      <w:r w:rsidRPr="009672FC">
        <w:rPr>
          <w:rFonts w:ascii="Garamond" w:hAnsi="Garamond"/>
        </w:rPr>
        <w:fldChar w:fldCharType="begin" w:fldLock="1"/>
      </w:r>
      <w:r w:rsidRPr="009672FC">
        <w:rPr>
          <w:rFonts w:ascii="Garamond" w:hAnsi="Garamond"/>
          <w:color w:val="000000"/>
          <w:shd w:val="clear" w:color="auto" w:fill="FFFFFF"/>
        </w:rPr>
        <w:instrText>ADDIN CSL_CITATION {"citationItems":[{"id":"ITEM-1","itemData":{"DOI":"10.1016/j.ijpe.2013.08.026","ISSN":"09255273","abstract":"Total JIT (T-JIT) is defined as an integrated supply chain strategy incorporating previously defined elements of JIT-production, JIT-purchasing, JIT-selling, with the addition of an important new element, JIT-information. It would be interesting and informative to discover the extended concept's effect on supply chain competency and organizational performance. Here we examine the impact of a T-JIT strategy within a supply chain context, and analyze a model incorporating T-JIT as the focal construct with supply chain management strategy (SCMS) as an antecedent and supply chain competency (SCC) and organizational performance as consequences. Data from manufacturing managers were collected and the model assessed using a structural equation modeling methodology. Study results indicate significant, positive relationships between a supply chain management strategy and T-JIT, T-JIT and supply chain competency, and supply chain competency and organizational performance. The hypothesized relationship between T-JIT and organizational performance was not supported; however. This research is among the first to examine the impact of a T-JIT strategy within a supply chain context. The results of this study support T-JIT as a viable supply chain strategy that influences overall supply chain competency, contributing to organizational performance. In addition the definition of total system JIT and a scale for its measure is developed. © 2013 Elsevier B.V.","author":[{"dropping-particle":"","family":"Green","given":"Kenneth W.","non-dropping-particle":"","parse-names":false,"suffix":""},{"dropping-particle":"","family":"Inman","given":"R. Anthony","non-dropping-particle":"","parse-names":false,"suffix":""},{"dropping-particle":"","family":"Birou","given":"Laura M.","non-dropping-particle":"","parse-names":false,"suffix":""},{"dropping-particle":"","family":"Whitten","given":"Dwayne","non-dropping-particle":"","parse-names":false,"suffix":""}],"container-title":"International Journal of Production Economics","id":"ITEM-1","issue":"PART A","issued":{"date-parts":[["2014"]]},"page":"125-135","publisher":"Elsevier","title":"Total JIT (T-JIT) and its impact on supply chain competency and organizational performance","type":"article-journal","volume":"147"},"uris":["http://www.mendeley.com/documents/?uuid=a648ace0-9875-47ed-8cd8-0b360a587cee"]}],"mendeley":{"formattedCitation":"(Green et al., 2014)","manualFormatting":" Green et al., 2014)","plainTextFormattedCitation":"(Green et al., 2014)","previouslyFormattedCitation":"(Green et al., 2014)"},"properties":{"noteIndex":0},"schema":"https://github.com/citation-style-language/schema/raw/master/csl-citation.json"}</w:instrText>
      </w:r>
      <w:r w:rsidRPr="009672FC">
        <w:rPr>
          <w:rFonts w:ascii="Garamond" w:hAnsi="Garamond"/>
          <w:color w:val="000000"/>
          <w:shd w:val="clear" w:color="auto" w:fill="FFFFFF"/>
        </w:rPr>
        <w:fldChar w:fldCharType="separate"/>
      </w:r>
      <w:r w:rsidRPr="009672FC">
        <w:rPr>
          <w:rFonts w:ascii="Garamond" w:hAnsi="Garamond"/>
          <w:noProof/>
          <w:color w:val="000000" w:themeColor="text1"/>
          <w:shd w:val="clear" w:color="auto" w:fill="FFFFFF"/>
        </w:rPr>
        <w:t xml:space="preserve"> Green et al., 2014)</w:t>
      </w:r>
      <w:r w:rsidRPr="009672FC">
        <w:rPr>
          <w:rFonts w:ascii="Garamond" w:hAnsi="Garamond"/>
          <w:color w:val="000000"/>
          <w:shd w:val="clear" w:color="auto" w:fill="FFFFFF"/>
        </w:rPr>
        <w:fldChar w:fldCharType="end"/>
      </w:r>
      <w:r w:rsidRPr="009672FC">
        <w:rPr>
          <w:rFonts w:ascii="Garamond" w:hAnsi="Garamond"/>
          <w:color w:val="000000" w:themeColor="text1"/>
          <w:shd w:val="clear" w:color="auto" w:fill="FFFFFF"/>
        </w:rPr>
        <w:t>.</w:t>
      </w:r>
      <w:r w:rsidRPr="009672FC">
        <w:rPr>
          <w:rFonts w:ascii="Garamond" w:hAnsi="Garamond"/>
          <w:color w:val="000000" w:themeColor="text1"/>
        </w:rPr>
        <w:t xml:space="preserve"> In such an environment, partners are less wary of misappropriation concerns, resulting in interfirm innovation practices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2013)","manualFormatting":"Bouncken and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shd w:val="clear" w:color="auto" w:fill="FFFFFF"/>
        </w:rPr>
        <w:t>Bouncken and Kraus, 2013)</w:t>
      </w:r>
      <w:r w:rsidRPr="009672FC">
        <w:rPr>
          <w:rFonts w:ascii="Garamond" w:hAnsi="Garamond"/>
          <w:color w:val="000000"/>
        </w:rPr>
        <w:fldChar w:fldCharType="end"/>
      </w:r>
      <w:r w:rsidRPr="009672FC">
        <w:rPr>
          <w:rFonts w:ascii="Garamond" w:hAnsi="Garamond"/>
          <w:color w:val="000000" w:themeColor="text1"/>
        </w:rPr>
        <w:t xml:space="preserve">. Shockley-Zalabak and </w:t>
      </w:r>
      <w:proofErr w:type="spellStart"/>
      <w:r w:rsidRPr="009672FC">
        <w:rPr>
          <w:rFonts w:ascii="Garamond" w:hAnsi="Garamond"/>
          <w:color w:val="000000" w:themeColor="text1"/>
        </w:rPr>
        <w:t>Morreale</w:t>
      </w:r>
      <w:proofErr w:type="spellEnd"/>
      <w:r w:rsidRPr="009672FC">
        <w:rPr>
          <w:rFonts w:ascii="Garamond" w:hAnsi="Garamond"/>
          <w:color w:val="000000" w:themeColor="text1"/>
        </w:rPr>
        <w:t xml:space="preserve"> (2011) discuss several institutional practices that enhance trust-building in the context of an organization, namely, (1) by creating trust-oriented leadership, (2) promoting stakeholder engagement in dialogue and communication, and (3) creating a relationships-oriented culture. The scholars add that high performing organizations are reputable for their technical competence; training programs to foster competence trust both intellectual and technical skills, enabling alliance performance.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and Teng (2001)</w:t>
      </w:r>
      <w:r w:rsidRPr="009672FC">
        <w:rPr>
          <w:rFonts w:ascii="Garamond" w:hAnsi="Garamond"/>
          <w:color w:val="000000"/>
        </w:rPr>
        <w:fldChar w:fldCharType="end"/>
      </w:r>
      <w:r w:rsidRPr="009672FC">
        <w:rPr>
          <w:rFonts w:ascii="Garamond" w:hAnsi="Garamond"/>
          <w:color w:val="000000" w:themeColor="text1"/>
        </w:rPr>
        <w:t xml:space="preserve"> argue that institutional practices such as joint-dispute reputation mechanisms and aligning common interests facilitate goodwill trust in an alliance. The top management commitment to trust-building was found to be a strategic tool for attracting competent, professional skills, and expertise, and thus promoting competence trust </w:t>
      </w:r>
      <w:r w:rsidRPr="009672FC">
        <w:rPr>
          <w:rFonts w:ascii="Garamond" w:hAnsi="Garamond"/>
        </w:rPr>
        <w:fldChar w:fldCharType="begin" w:fldLock="1"/>
      </w:r>
      <w:r w:rsidRPr="009672FC">
        <w:rPr>
          <w:rFonts w:ascii="Garamond" w:hAnsi="Garamond"/>
          <w:color w:val="000000"/>
        </w:rPr>
        <w:instrText>ADDIN CSL_CITATION {"citationItems":[{"id":"ITEM-1","itemData":{"DOI":"10.1177/2278682113476164","ISBN":"2278682113","ISSN":"2278-6821","abstract":"Many authors have emphasized the importance of trust for achieving organizational success. The paper will give an overview of major issues in trust research, identifying foundations of building trust in organizations. The paper deals with important issues of connection between managers’ trust, organizational trust and organizational performance. The research connected with this topic was done in polish enterprises from Mazovia Province, This work was supported by Ministry of Science and Higher Education in Poland. Article is connected with realization of research project entitled “Orientation on trust and organizational performance” (No. N N115 549238). The analysis shows the approach to measure managers’ trust, organizational trust and organizational performance. Author checked the correlation between level of trust and organizational performance, which was positive.","author":[{"dropping-particle":"","family":"Paliszkiewicz","given":"Joanna","non-dropping-particle":"","parse-names":false,"suffix":""}],"container-title":"Jindal Journal of Business Research","id":"ITEM-1","issue":"2","issued":{"date-parts":[["2012"]]},"page":"153-161","title":"Managers’ Orientation on Trust and Organizational Performance","type":"article-journal","volume":"1"},"uris":["http://www.mendeley.com/documents/?uuid=3ec7b00b-87c9-4ebc-8f57-66093c3e196c"]}],"mendeley":{"formattedCitation":"(Paliszkiewicz, 2012)","manualFormatting":"(Bakiev, 2013; Paliszkiewicz, 2012; Shockley-Zalabak and Morreale, 2011)","plainTextFormattedCitation":"(Paliszkiewicz, 2012)","previouslyFormattedCitation":"(Paliszkiewicz, 2012)"},"properties":{"noteIndex":0},"schema":"https://github.com/citation-style-language/schema/raw/master/csl-citation.json"}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t>
      </w:r>
      <w:r w:rsidRPr="009672FC">
        <w:rPr>
          <w:rFonts w:ascii="Garamond" w:hAnsi="Garamond"/>
          <w:noProof/>
        </w:rPr>
        <w:fldChar w:fldCharType="begin" w:fldLock="1"/>
      </w:r>
      <w:r w:rsidRPr="009672FC">
        <w:rPr>
          <w:rFonts w:ascii="Garamond" w:hAnsi="Garamond"/>
          <w:noProof/>
          <w:color w:val="000000"/>
        </w:rPr>
        <w:instrText>ADDIN CSL_CITATION {"citationItems":[{"id":"ITEM-1","itemData":{"abstract":"This study aims to examine the influence of organizational social capital and organizational citizenship behavior on perceived organizational performance. Interpersonal trust is accepted as an attribute of organizational social capital and organizational commitment is considered as a dimension of organizational citizenship behavior. The interpersonal trust among police officers at Kyrgyz National Police (KNP) and their commitment to KNP is analyzed by the statistical analysis of this study. The 400 surveys were distributed to police officers of the KNP in 7 different regions of Kyrgyzstan and the capital city of Bishkek. The correlational research and Structural Equation Modeling (SEM) is used to analyze the results. The results of this study indicate that that interpersonal trust among officers and high level of commitment leads to an increased level of performance at KNP. Based on these results, both policy makers and police managers should focus on developing trusted environment and officers’ motivation.","author":[{"dropping-particle":"","family":"Bakiev","given":"Erlan","non-dropping-particle":"","parse-names":false,"suffix":""}],"container-title":"Journal of Applied Economics and Business Research","id":"ITEM-1","issue":"3","issued":{"date-parts":[["2013"]]},"page":"166-180","title":"The Influence of Interpersonal Trust and Organizational Commitment on Perceived Organizational Performance","type":"article-journal","volume":"3"},"uris":["http://www.mendeley.com/documents/?uuid=e8283115-c368-4ce2-a593-ab45a4a4f6b1"]}],"mendeley":{"formattedCitation":"(Bakiev, 2013)","manualFormatting":"Bakiev, 2013","plainTextFormattedCitation":"(Bakiev, 2013)","previouslyFormattedCitation":"(Bakiev, 2013)"},"properties":{"noteIndex":0},"schema":"https://github.com/citation-style-language/schema/raw/master/csl-citation.json"}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Bakiev, 2013</w:t>
      </w:r>
      <w:r w:rsidRPr="009672FC">
        <w:rPr>
          <w:rFonts w:ascii="Garamond" w:hAnsi="Garamond"/>
          <w:noProof/>
          <w:color w:val="000000"/>
        </w:rPr>
        <w:fldChar w:fldCharType="end"/>
      </w:r>
      <w:r w:rsidRPr="009672FC">
        <w:rPr>
          <w:rFonts w:ascii="Garamond" w:hAnsi="Garamond"/>
          <w:noProof/>
          <w:color w:val="000000" w:themeColor="text1"/>
        </w:rPr>
        <w:t>; Paliszkiewicz, 2012; Shockley-Zalabak and Morreale, 2011)</w:t>
      </w:r>
      <w:r w:rsidRPr="009672FC">
        <w:rPr>
          <w:rFonts w:ascii="Garamond" w:hAnsi="Garamond"/>
          <w:color w:val="000000"/>
        </w:rPr>
        <w:fldChar w:fldCharType="end"/>
      </w:r>
      <w:r w:rsidRPr="009672FC">
        <w:rPr>
          <w:rFonts w:ascii="Garamond" w:hAnsi="Garamond"/>
          <w:color w:val="000000" w:themeColor="text1"/>
        </w:rPr>
        <w:t xml:space="preserve">. In an inter-organizational context, </w:t>
      </w:r>
      <w:r w:rsidRPr="009672FC">
        <w:rPr>
          <w:rFonts w:ascii="Garamond" w:hAnsi="Garamond"/>
        </w:rPr>
        <w:fldChar w:fldCharType="begin" w:fldLock="1"/>
      </w:r>
      <w:r w:rsidRPr="009672FC">
        <w:rPr>
          <w:rFonts w:ascii="Garamond" w:hAnsi="Garamond"/>
          <w:color w:val="000000"/>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2008)","manualFormatting":"Six and Sorge (2008)","plainTextFormattedCitation":"(F. Six &amp; Sorge, 2008)","previouslyFormattedCitation":"(F. Six &amp; Sorge,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and Sorge (2008)</w:t>
      </w:r>
      <w:r w:rsidRPr="009672FC">
        <w:rPr>
          <w:rFonts w:ascii="Garamond" w:hAnsi="Garamond"/>
          <w:color w:val="000000"/>
        </w:rPr>
        <w:fldChar w:fldCharType="end"/>
      </w:r>
      <w:r w:rsidRPr="009672FC">
        <w:rPr>
          <w:rFonts w:ascii="Garamond" w:hAnsi="Garamond"/>
          <w:color w:val="000000" w:themeColor="text1"/>
        </w:rPr>
        <w:t xml:space="preserve"> argue that consistent training programs and socialization between actors promote confidence and reliability in their relationship.</w:t>
      </w:r>
      <w:r w:rsidRPr="009672FC">
        <w:rPr>
          <w:rFonts w:ascii="Garamond" w:hAnsi="Garamond"/>
          <w:i/>
          <w:iCs/>
          <w:color w:val="000000" w:themeColor="text1"/>
        </w:rPr>
        <w:t xml:space="preserve"> </w:t>
      </w:r>
      <w:r w:rsidRPr="009672FC">
        <w:rPr>
          <w:rFonts w:ascii="Garamond" w:hAnsi="Garamond"/>
          <w:color w:val="000000" w:themeColor="text1"/>
        </w:rPr>
        <w:t xml:space="preserve">Top management that is trust-oriented designs strategies, policies, and programs that enable partners to be productive and enjoy advancement in their life and career. Such an environment promotes trust and mutual dependence between actors. </w:t>
      </w:r>
    </w:p>
    <w:p w14:paraId="28BEC3C4" w14:textId="77777777" w:rsidR="00890FB2" w:rsidRPr="009672FC" w:rsidRDefault="007549AA" w:rsidP="00890FB2">
      <w:pPr>
        <w:spacing w:before="240" w:line="360" w:lineRule="auto"/>
        <w:jc w:val="both"/>
        <w:rPr>
          <w:rFonts w:ascii="Garamond" w:hAnsi="Garamond"/>
          <w:color w:val="000000" w:themeColor="text1"/>
          <w:shd w:val="clear" w:color="auto" w:fill="FFFFFF"/>
        </w:rPr>
      </w:pPr>
      <w:r w:rsidRPr="009672FC">
        <w:rPr>
          <w:rFonts w:ascii="Garamond" w:hAnsi="Garamond"/>
          <w:color w:val="000000" w:themeColor="text1"/>
        </w:rPr>
        <w:t>Creating a relation-oriented culture that promotes “explicit socialization” between firms promote high interaction and trust, thus enabling openness and honesty trust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2007)</w:t>
      </w:r>
      <w:r w:rsidRPr="009672FC">
        <w:rPr>
          <w:rFonts w:ascii="Garamond" w:hAnsi="Garamond"/>
          <w:color w:val="000000"/>
        </w:rPr>
        <w:fldChar w:fldCharType="end"/>
      </w:r>
      <w:r w:rsidRPr="009672FC">
        <w:rPr>
          <w:rFonts w:ascii="Garamond" w:hAnsi="Garamond"/>
          <w:color w:val="000000" w:themeColor="text1"/>
        </w:rPr>
        <w:t xml:space="preserve">. Such practices enable stronger connections and shared values between partners, which is what Shockley-Zalabak and </w:t>
      </w:r>
      <w:proofErr w:type="spellStart"/>
      <w:r w:rsidRPr="009672FC">
        <w:rPr>
          <w:rFonts w:ascii="Garamond" w:hAnsi="Garamond"/>
          <w:color w:val="000000" w:themeColor="text1"/>
        </w:rPr>
        <w:t>Morreale</w:t>
      </w:r>
      <w:proofErr w:type="spellEnd"/>
      <w:r w:rsidRPr="009672FC">
        <w:rPr>
          <w:rFonts w:ascii="Garamond" w:hAnsi="Garamond"/>
          <w:color w:val="000000" w:themeColor="text1"/>
        </w:rPr>
        <w:t xml:space="preserve"> (2011) described as identification, which engenders openness and honesty. </w:t>
      </w:r>
      <w:r w:rsidRPr="009672FC">
        <w:rPr>
          <w:rFonts w:ascii="Garamond" w:hAnsi="Garamond"/>
        </w:rPr>
        <w:fldChar w:fldCharType="begin" w:fldLock="1"/>
      </w:r>
      <w:r w:rsidRPr="009672FC">
        <w:rPr>
          <w:rFonts w:ascii="Garamond" w:hAnsi="Garamond"/>
          <w:color w:val="000000"/>
        </w:rPr>
        <w:instrText>ADDIN CSL_CITATION {"citationItems":[{"id":"ITEM-1","itemData":{"DOI":"10.1109/HICSS.2006.512","ISBN":"0769525075","ISSN":"15301605","abstract":"Previous research has emphasized the importance of dependence and trust on interorganizational systems. This paper focuses on how dependence and trust impact various types of investments in IOS related resources and how these investments produce benefits within a global context. A conceptual model is constructed combining transaction-cost economics, resources-based view, trust and dependence. Four explorative case studies are conducted on interorganizational systems employed within a global context. Dependent organizations are found to conduct the needed investments and to use different types of resources depending on the requirements of the powerful organization. Competence-based trust is found to influence human-based resources and resources that enable domain-knowledge transfer. Reliability-based trust is found to influence human-based resources and resources that enable interlinking processes. Combinations of human-based resources and resources that enable domain-knowledge transfer or business-process linkage are found to produce strategic benefits. The lack of human-based resources is found to produce only operational benefits. © 2006 IEEE.","author":[{"dropping-particle":"","family":"Ibrahim","given":"Mohammed","non-dropping-particle":"","parse-names":false,"suffix":""},{"dropping-particle":"","family":"Ribbers","given":"Pieter","non-dropping-particle":"","parse-names":false,"suffix":""}],"container-title":"Proceedings of the Annual Hawaii International Conference on System Sciences","id":"ITEM-1","issue":"C","issued":{"date-parts":[["2006"]]},"page":"1-8","title":"Trust, dependence and global interorganizational systems","type":"paper-conference","volume":"8"},"uris":["http://www.mendeley.com/documents/?uuid=40144c46-62d0-4763-ae3b-e811e7793eb3"]}],"mendeley":{"formattedCitation":"(Ibrahim &amp; Ribbers, 2006)","manualFormatting":"Ibrahim and Ribbers (2006)","plainTextFormattedCitation":"(Ibrahim &amp; Ribbers, 2006)","previouslyFormattedCitation":"(Ibrahim &amp; Ribbers,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(2006)</w:t>
      </w:r>
      <w:r w:rsidRPr="009672FC">
        <w:rPr>
          <w:rFonts w:ascii="Garamond" w:hAnsi="Garamond"/>
          <w:color w:val="000000"/>
        </w:rPr>
        <w:fldChar w:fldCharType="end"/>
      </w:r>
      <w:r w:rsidRPr="009672FC">
        <w:rPr>
          <w:rFonts w:ascii="Garamond" w:hAnsi="Garamond"/>
          <w:color w:val="000000" w:themeColor="text1"/>
        </w:rPr>
        <w:t xml:space="preserve"> find that effective interaction or socialization between actors allows firms to generate and exchange “human-specific knowledge”, that is otherwise difficult to travel through formal channels. Such relational dimension empowers actors to develop stronger ties and genuine concerns for employees and stakeholders. </w:t>
      </w:r>
      <w:r w:rsidRPr="009672FC">
        <w:rPr>
          <w:rFonts w:ascii="Garamond" w:hAnsi="Garamond"/>
        </w:rPr>
        <w:fldChar w:fldCharType="begin" w:fldLock="1"/>
      </w:r>
      <w:r w:rsidRPr="009672FC">
        <w:rPr>
          <w:rFonts w:ascii="Garamond" w:hAnsi="Garamond"/>
          <w:color w:val="000000"/>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2008)","manualFormatting":"Six and Sorge (2008, p. 866)","plainTextFormattedCitation":"(F. Six &amp; Sorge, 2008)","previouslyFormattedCitation":"(F. Six &amp; Sorge,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and Sorge (2008, p. 866)</w:t>
      </w:r>
      <w:r w:rsidRPr="009672FC">
        <w:rPr>
          <w:rFonts w:ascii="Garamond" w:hAnsi="Garamond"/>
          <w:color w:val="000000"/>
        </w:rPr>
        <w:fldChar w:fldCharType="end"/>
      </w:r>
      <w:r w:rsidRPr="009672FC">
        <w:rPr>
          <w:rFonts w:ascii="Garamond" w:hAnsi="Garamond"/>
          <w:color w:val="000000" w:themeColor="text1"/>
        </w:rPr>
        <w:t xml:space="preserve"> suggest that creating a “relation-oriented culture” shows great care and concern for stakeholders, where actors can reduce </w:t>
      </w:r>
      <w:r w:rsidRPr="009672FC">
        <w:rPr>
          <w:rFonts w:ascii="Garamond" w:hAnsi="Garamond"/>
          <w:color w:val="000000" w:themeColor="text1"/>
        </w:rPr>
        <w:lastRenderedPageBreak/>
        <w:t xml:space="preserve">collective dissimilarities in interests, thus lessening the risk of opportunistic behaviour </w:t>
      </w:r>
      <w:r w:rsidRPr="009672FC">
        <w:rPr>
          <w:rFonts w:ascii="Garamond" w:hAnsi="Garamond"/>
        </w:rPr>
        <w:fldChar w:fldCharType="begin" w:fldLock="1"/>
      </w:r>
      <w:r w:rsidRPr="009672FC">
        <w:rPr>
          <w:rFonts w:ascii="Garamond" w:hAnsi="Garamond"/>
          <w:color w:val="000000"/>
        </w:rPr>
        <w:instrText>ADDIN CSL_CITATION {"citationItems":[{"id":"ITEM-1","itemData":{"abstract":"Within this division, there is a real problem with the lower level people not trusting the people at the top, because the people feel that the management doesn't tell them the truth, doesn't level with them, isn't honest, has a hidden agenda, plays games. I could go on and on. I think it's worse today than I have ever seen it in my 33-year career in this company","author":[{"dropping-particle":"","family":"Mishra","given":"Aneil","non-dropping-particle":"","parse-names":false,"suffix":""}],"container-title":"Trust In Organizations","id":"ITEM-1","issued":{"date-parts":[["1996"]]},"page":"261-287","title":"Organizational Responses to Crises: The Centrality of Trust. in Kramer, R. and Tyler, T. eds. Trust in Organizations, Sage, Beverly Hills.","type":"chapter"},"uris":["http://www.mendeley.com/documents/?uuid=a8f5bd86-361d-4ecd-a4a9-1792a728ae2e"]}],"mendeley":{"formattedCitation":"(Mishra, 1996)","plainTextFormattedCitation":"(Mishra, 1996)","previouslyFormattedCitation":"(Mishra, 1996)"},"properties":{"noteIndex":0},"schema":"https://github.com/citation-style-language/schema/raw/master/csl-citation.json"}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(Mishra, 1996)</w:t>
      </w:r>
      <w:r w:rsidRPr="009672FC">
        <w:rPr>
          <w:rFonts w:ascii="Garamond" w:hAnsi="Garamond"/>
          <w:color w:val="000000"/>
        </w:rPr>
        <w:fldChar w:fldCharType="end"/>
      </w:r>
      <w:r w:rsidRPr="009672FC">
        <w:rPr>
          <w:rFonts w:ascii="Garamond" w:hAnsi="Garamond"/>
          <w:color w:val="000000" w:themeColor="text1"/>
        </w:rPr>
        <w:t xml:space="preserve">. Under such a working climate, </w:t>
      </w:r>
      <w:proofErr w:type="gramStart"/>
      <w:r w:rsidRPr="009672FC">
        <w:rPr>
          <w:rFonts w:ascii="Garamond" w:hAnsi="Garamond"/>
          <w:color w:val="000000" w:themeColor="text1"/>
        </w:rPr>
        <w:t>employees’</w:t>
      </w:r>
      <w:proofErr w:type="gramEnd"/>
      <w:r w:rsidRPr="009672FC">
        <w:rPr>
          <w:rFonts w:ascii="Garamond" w:hAnsi="Garamond"/>
          <w:color w:val="000000" w:themeColor="text1"/>
        </w:rPr>
        <w:t xml:space="preserve"> enjoy high satisfaction and overall perception of organizational effectiveness (Shockley-Zalabak and </w:t>
      </w:r>
      <w:proofErr w:type="spellStart"/>
      <w:r w:rsidRPr="009672FC">
        <w:rPr>
          <w:rFonts w:ascii="Garamond" w:hAnsi="Garamond"/>
          <w:color w:val="000000" w:themeColor="text1"/>
        </w:rPr>
        <w:t>Morreale</w:t>
      </w:r>
      <w:proofErr w:type="spellEnd"/>
      <w:r w:rsidRPr="009672FC">
        <w:rPr>
          <w:rFonts w:ascii="Garamond" w:hAnsi="Garamond"/>
          <w:color w:val="000000" w:themeColor="text1"/>
        </w:rPr>
        <w:t>, 2011).</w:t>
      </w:r>
    </w:p>
    <w:p w14:paraId="4350B726" w14:textId="65F2A55D" w:rsidR="003D5DE8" w:rsidRPr="009672FC" w:rsidRDefault="007549AA" w:rsidP="00890FB2">
      <w:pPr>
        <w:spacing w:before="240" w:line="360" w:lineRule="auto"/>
        <w:jc w:val="both"/>
        <w:rPr>
          <w:rFonts w:ascii="Garamond" w:hAnsi="Garamond"/>
          <w:color w:val="000000" w:themeColor="text1"/>
          <w:sz w:val="8"/>
          <w:szCs w:val="8"/>
          <w:shd w:val="clear" w:color="auto" w:fill="FFFFFF"/>
        </w:rPr>
      </w:pPr>
      <w:r w:rsidRPr="009672FC">
        <w:rPr>
          <w:rFonts w:ascii="Garamond" w:hAnsi="Garamond"/>
          <w:color w:val="000000" w:themeColor="text1"/>
        </w:rPr>
        <w:t xml:space="preserve">However, in the case of conflict and behavioural risks, dialogue and effective conflict resolution mechanisms are effective institutional practices </w:t>
      </w:r>
      <w:r w:rsidRPr="009672FC">
        <w:rPr>
          <w:rFonts w:ascii="Garamond" w:hAnsi="Garamond"/>
        </w:rPr>
        <w:fldChar w:fldCharType="begin" w:fldLock="1"/>
      </w:r>
      <w:r w:rsidRPr="009672FC">
        <w:rPr>
          <w:rFonts w:ascii="Garamond" w:hAnsi="Garamond"/>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(Lewicki &amp; Wiethoff, 2000)</w:t>
      </w:r>
      <w:r w:rsidRPr="009672FC">
        <w:rPr>
          <w:rFonts w:ascii="Garamond" w:hAnsi="Garamond"/>
          <w:color w:val="000000"/>
        </w:rPr>
        <w:fldChar w:fldCharType="end"/>
      </w:r>
      <w:r w:rsidRPr="009672FC">
        <w:rPr>
          <w:rFonts w:ascii="Garamond" w:hAnsi="Garamond"/>
          <w:color w:val="000000" w:themeColor="text1"/>
        </w:rPr>
        <w:t xml:space="preserve">. Highly engaged actors seek to advance their collective interest, which is an essential part of their reputation. In such situations, firms can engage in constructive criticism. </w:t>
      </w:r>
      <w:r w:rsidRPr="009672FC">
        <w:rPr>
          <w:rFonts w:ascii="Garamond" w:hAnsi="Garamond"/>
        </w:rPr>
        <w:fldChar w:fldCharType="begin" w:fldLock="1"/>
      </w:r>
      <w:r w:rsidRPr="009672FC">
        <w:rPr>
          <w:rFonts w:ascii="Garamond" w:hAnsi="Garamond"/>
          <w:color w:val="000000"/>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2008)","manualFormatting":"Six and Sorge (2008)","plainTextFormattedCitation":"(F. Six &amp; Sorge, 2008)","previouslyFormattedCitation":"(F. Six &amp; Sorge,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and Sorge (2008)</w:t>
      </w:r>
      <w:r w:rsidRPr="009672FC">
        <w:rPr>
          <w:rFonts w:ascii="Garamond" w:hAnsi="Garamond"/>
          <w:color w:val="000000"/>
        </w:rPr>
        <w:fldChar w:fldCharType="end"/>
      </w:r>
      <w:r w:rsidRPr="009672FC">
        <w:rPr>
          <w:rFonts w:ascii="Garamond" w:hAnsi="Garamond"/>
          <w:color w:val="000000" w:themeColor="text1"/>
        </w:rPr>
        <w:t xml:space="preserve"> argue through institutional controls firms can curb both strategic (long-term) opportunism and myopic (short-term) temptations using formal controls and incentives for positive organizational behaviour.</w:t>
      </w:r>
    </w:p>
    <w:p w14:paraId="0A8F03A6" w14:textId="7D27612F" w:rsidR="003D5DE8" w:rsidRPr="009672FC" w:rsidRDefault="007549AA">
      <w:pPr>
        <w:pStyle w:val="Title"/>
        <w:numPr>
          <w:ilvl w:val="1"/>
          <w:numId w:val="10"/>
        </w:numPr>
        <w:spacing w:before="240" w:line="360" w:lineRule="auto"/>
        <w:jc w:val="both"/>
        <w:outlineLvl w:val="1"/>
        <w:rPr>
          <w:rFonts w:ascii="Garamond" w:hAnsi="Garamond" w:cs="Times New Roman"/>
          <w:b/>
          <w:bCs/>
          <w:color w:val="000000" w:themeColor="text1"/>
          <w:sz w:val="24"/>
          <w:szCs w:val="24"/>
        </w:rPr>
      </w:pPr>
      <w:r w:rsidRPr="009672FC">
        <w:rPr>
          <w:rFonts w:ascii="Garamond" w:hAnsi="Garamond" w:cs="Times New Roman"/>
          <w:b/>
          <w:bCs/>
          <w:color w:val="000000" w:themeColor="text1"/>
          <w:sz w:val="24"/>
          <w:szCs w:val="24"/>
        </w:rPr>
        <w:t xml:space="preserve"> </w:t>
      </w:r>
      <w:bookmarkStart w:id="148" w:name="_Toc85708744"/>
      <w:bookmarkStart w:id="149" w:name="_Toc85709758"/>
      <w:r w:rsidRPr="009672FC">
        <w:rPr>
          <w:rFonts w:ascii="Garamond" w:hAnsi="Garamond" w:cs="Times New Roman"/>
          <w:b/>
          <w:bCs/>
          <w:color w:val="000000" w:themeColor="text1"/>
          <w:sz w:val="24"/>
          <w:szCs w:val="24"/>
        </w:rPr>
        <w:t>Hypothesis Development</w:t>
      </w:r>
      <w:bookmarkEnd w:id="148"/>
      <w:bookmarkEnd w:id="149"/>
    </w:p>
    <w:p w14:paraId="2B8BBECA" w14:textId="4ABB597E"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We leveraged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and Morreale (2011)</w:t>
      </w:r>
      <w:r w:rsidRPr="009672FC">
        <w:rPr>
          <w:rFonts w:ascii="Garamond" w:hAnsi="Garamond"/>
          <w:color w:val="000000"/>
        </w:rPr>
        <w:fldChar w:fldCharType="end"/>
      </w:r>
      <w:r w:rsidRPr="009672FC">
        <w:rPr>
          <w:rFonts w:ascii="Garamond" w:hAnsi="Garamond"/>
          <w:color w:val="000000" w:themeColor="text1"/>
        </w:rPr>
        <w:t xml:space="preserve"> and </w:t>
      </w:r>
      <w:r w:rsidRPr="009672FC">
        <w:rPr>
          <w:rFonts w:ascii="Garamond" w:hAnsi="Garamond"/>
        </w:rPr>
        <w:fldChar w:fldCharType="begin" w:fldLock="1"/>
      </w:r>
      <w:r w:rsidRPr="009672FC">
        <w:rPr>
          <w:rFonts w:ascii="Garamond" w:hAnsi="Garamond"/>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Lewicki and Wiethoff (2000)</w:t>
      </w:r>
      <w:r w:rsidRPr="009672FC">
        <w:rPr>
          <w:rFonts w:ascii="Garamond" w:hAnsi="Garamond"/>
          <w:color w:val="000000"/>
        </w:rPr>
        <w:fldChar w:fldCharType="end"/>
      </w:r>
      <w:r w:rsidRPr="009672FC">
        <w:rPr>
          <w:rFonts w:ascii="Garamond" w:hAnsi="Garamond"/>
          <w:color w:val="000000" w:themeColor="text1"/>
        </w:rPr>
        <w:t xml:space="preserve"> institution-based trust </w:t>
      </w:r>
      <w:r w:rsidR="00813D37" w:rsidRPr="009672FC">
        <w:rPr>
          <w:rFonts w:ascii="Garamond" w:hAnsi="Garamond"/>
          <w:color w:val="000000" w:themeColor="text1"/>
        </w:rPr>
        <w:t>dimensions</w:t>
      </w:r>
      <w:r w:rsidRPr="009672FC">
        <w:rPr>
          <w:rFonts w:ascii="Garamond" w:hAnsi="Garamond"/>
          <w:color w:val="000000" w:themeColor="text1"/>
        </w:rPr>
        <w:t xml:space="preserve"> to evaluate inter-firm trust on alliance innovation performance. These include trust in institutional competence, openness and honesty, similarity/identification, and reliability. </w:t>
      </w:r>
      <w:r w:rsidR="002663FA" w:rsidRPr="009672FC">
        <w:rPr>
          <w:rFonts w:ascii="Garamond" w:hAnsi="Garamond"/>
          <w:color w:val="000000" w:themeColor="text1"/>
        </w:rPr>
        <w:t>The e</w:t>
      </w:r>
      <w:r w:rsidRPr="009672FC">
        <w:rPr>
          <w:rFonts w:ascii="Garamond" w:hAnsi="Garamond"/>
          <w:color w:val="000000" w:themeColor="text1"/>
        </w:rPr>
        <w:t xml:space="preserve">nsuing section </w:t>
      </w:r>
      <w:r w:rsidR="004A6AF2" w:rsidRPr="009672FC">
        <w:rPr>
          <w:rFonts w:ascii="Garamond" w:hAnsi="Garamond"/>
          <w:color w:val="000000" w:themeColor="text1"/>
        </w:rPr>
        <w:t>provides</w:t>
      </w:r>
      <w:r w:rsidRPr="009672FC">
        <w:rPr>
          <w:rFonts w:ascii="Garamond" w:hAnsi="Garamond"/>
          <w:color w:val="000000" w:themeColor="text1"/>
        </w:rPr>
        <w:t xml:space="preserve"> the details on hypothesis development.</w:t>
      </w:r>
    </w:p>
    <w:p w14:paraId="2B2309CD" w14:textId="76925FF8"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50" w:name="_Toc85708745"/>
      <w:bookmarkStart w:id="151" w:name="_Toc85709759"/>
      <w:r w:rsidRPr="009672FC">
        <w:rPr>
          <w:rFonts w:ascii="Garamond" w:hAnsi="Garamond" w:cs="Times New Roman"/>
          <w:b/>
          <w:bCs/>
          <w:i/>
          <w:iCs/>
          <w:color w:val="000000" w:themeColor="text1"/>
          <w:sz w:val="24"/>
          <w:szCs w:val="24"/>
        </w:rPr>
        <w:t>Partner Competence</w:t>
      </w:r>
      <w:bookmarkEnd w:id="150"/>
      <w:bookmarkEnd w:id="151"/>
    </w:p>
    <w:p w14:paraId="7A3BBCB5" w14:textId="77777777"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Competence trust is one of the most central issues affecting organizational relationships </w:t>
      </w:r>
      <w:r w:rsidRPr="009672FC">
        <w:rPr>
          <w:rFonts w:ascii="Garamond" w:hAnsi="Garamond"/>
        </w:rPr>
        <w:fldChar w:fldCharType="begin" w:fldLock="1"/>
      </w:r>
      <w:r w:rsidRPr="009672FC">
        <w:rPr>
          <w:rFonts w:ascii="Garamond" w:hAnsi="Garamond"/>
          <w:color w:val="000000"/>
        </w:rPr>
        <w:instrText>ADDIN CSL_CITATION {"citationItems":[{"id":"ITEM-1","itemData":{"DOI":"10.1177/0021886303253179","author":[{"dropping-particle":"","family":"Vangen","given":"Siv","non-dropping-particle":"","parse-names":false,"suffix":""},{"dropping-particle":"","family":"Huxham","given":"Chris","non-dropping-particle":"","parse-names":false,"suffix":""}],"container-title":"The Journal of Applied Behavioral Science","id":"ITEM-1","issue":"1","issued":{"date-parts":[["2003"]]},"page":"5-31","title":"Nurturing collaborative relations: Building trust in interorganizational collaboration","type":"article-journal","volume":"39"},"uris":["http://www.mendeley.com/documents/?uuid=17d364c8-7e49-4aa3-ba86-69199872d085"]}],"mendeley":{"formattedCitation":"(Vangen &amp; Huxham, 2003)","manualFormatting":"(Ibrahim and Ribbers, 2009; Vangen and Huxham, 2003;","plainTextFormattedCitation":"(Vangen &amp; Huxham, 2003)","previouslyFormattedCitation":"(Vangen &amp; Huxham,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rPr>
        <w:fldChar w:fldCharType="begin" w:fldLock="1"/>
      </w:r>
      <w:r w:rsidRPr="009672FC">
        <w:rPr>
          <w:rFonts w:ascii="Garamond" w:hAnsi="Garamond"/>
          <w:noProof/>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themeColor="text1"/>
        </w:rPr>
        <w:t>(Ibrahim and Ribbers, 2009;</w:t>
      </w:r>
      <w:r w:rsidRPr="009672FC">
        <w:rPr>
          <w:rFonts w:ascii="Garamond" w:hAnsi="Garamond"/>
          <w:noProof/>
          <w:color w:val="000000"/>
        </w:rPr>
        <w:fldChar w:fldCharType="end"/>
      </w:r>
      <w:r w:rsidRPr="009672FC">
        <w:rPr>
          <w:rFonts w:ascii="Garamond" w:hAnsi="Garamond"/>
          <w:noProof/>
          <w:color w:val="000000" w:themeColor="text1"/>
        </w:rPr>
        <w:t xml:space="preserve"> Vangen and Huxham, 2003;</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and Morreale, 2011)</w:t>
      </w:r>
      <w:r w:rsidRPr="009672FC">
        <w:rPr>
          <w:rFonts w:ascii="Garamond" w:hAnsi="Garamond"/>
          <w:color w:val="000000"/>
        </w:rPr>
        <w:fldChar w:fldCharType="end"/>
      </w:r>
      <w:r w:rsidRPr="009672FC">
        <w:rPr>
          <w:rFonts w:ascii="Garamond" w:hAnsi="Garamond"/>
          <w:color w:val="000000" w:themeColor="text1"/>
        </w:rPr>
        <w:t>. It determines the ability of the organization to perform or execute a specific task obligation. Trust in an organization’s competence is reflected in its strategy, vision, objectives, and task execution as well as “the stakeholder perception of this competence”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 p. 41)","plainTextFormattedCitation":"(Shockley-Zalabak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and Morreale, 2011, p. 41)</w:t>
      </w:r>
      <w:r w:rsidRPr="009672FC">
        <w:rPr>
          <w:rFonts w:ascii="Garamond" w:hAnsi="Garamond"/>
          <w:color w:val="000000"/>
        </w:rPr>
        <w:fldChar w:fldCharType="end"/>
      </w:r>
      <w:r w:rsidRPr="009672FC">
        <w:rPr>
          <w:rFonts w:ascii="Garamond" w:hAnsi="Garamond"/>
          <w:color w:val="000000" w:themeColor="text1"/>
        </w:rPr>
        <w:t xml:space="preserve">. The objective of the trustor and/or the trustee to perform their obligation depends on their technical skills, knowledge, resource disposition and experiences. For instance, in a supply chain relationship, the organization with competence not only can produce the required supplies, but also meet given delivery schedules, in high quality, and specification. Such competence may be visible in high customer service quality, meeting marketing targets, high employee performance, and competitiveness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&amp; Morreale, 2011)</w:t>
      </w:r>
      <w:r w:rsidRPr="009672FC">
        <w:rPr>
          <w:rFonts w:ascii="Garamond" w:hAnsi="Garamond"/>
          <w:color w:val="000000"/>
        </w:rPr>
        <w:fldChar w:fldCharType="end"/>
      </w:r>
      <w:r w:rsidRPr="009672FC">
        <w:rPr>
          <w:rFonts w:ascii="Garamond" w:hAnsi="Garamond"/>
          <w:color w:val="000000" w:themeColor="text1"/>
        </w:rPr>
        <w:t xml:space="preserve">. Potential partners may rely on competence cues and information about a partner at the formation of the partnership </w:t>
      </w:r>
      <w:r w:rsidRPr="009672FC">
        <w:rPr>
          <w:rFonts w:ascii="Garamond" w:hAnsi="Garamond"/>
        </w:rPr>
        <w:fldChar w:fldCharType="begin" w:fldLock="1"/>
      </w:r>
      <w:r w:rsidRPr="009672FC">
        <w:rPr>
          <w:rFonts w:ascii="Garamond" w:hAnsi="Garamond"/>
          <w:color w:val="000000"/>
        </w:rPr>
        <w:instrText>ADDIN CSL_CITATION {"citationItems":[{"id":"ITEM-1","itemData":{"DOI":"10.1177/1476127012472096","ISSN":"14761270","abstract":"Most research on trust in interorganizational relationships focuses on a single level of analysis, typically the individual or organizational level, and treats trust as a fairly static phenomenon. To stimulate more cross-level research, we propose a theoretical model that explains how trust in interorganizational relationships is related across various levels of analysis. At the same time, our model emphasizes the dynamic aspect of trust by examining how trust develops throughout consecutive relationship stages. Drawing from several programs of research, we identify the mechanisms that drive the progression of trust across levels as the interorganizational relationship unfolds. Starting with the boundary spanner as the key individual at the beginning of a new collaboration, we specify how trust gradually becomes part of the fabric of organizational action. By integrating micro and macro approaches over time, the proposed model contributes to a better understanding of how trust evolves in interorganizational relationships. © The Author(s) 2013.","author":[{"dropping-particle":"","family":"Schilke","given":"Oliver","non-dropping-particle":"","parse-names":false,"suffix":""},{"dropping-particle":"","family":"Cook","given":"Karen S.","non-dropping-particle":"","parse-names":false,"suffix":""}],"container-title":"Strategic Organization","id":"ITEM-1","issue":"3","issued":{"date-parts":[["2013"]]},"page":"281-303","title":"A cross-level process theory of trust development in interorganizational relationships","type":"article-journal","volume":"11"},"uris":["http://www.mendeley.com/documents/?uuid=2475c820-7d51-4482-9d4e-1228434bba68"]}],"mendeley":{"formattedCitation":"(Schilke &amp; Cook, 2013)","plainTextFormattedCitation":"(Schilke &amp; Cook, 2013)","previouslyFormattedCitation":"(Schilke &amp; Cook,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(Schilke &amp; Cook, 2013)</w:t>
      </w:r>
      <w:r w:rsidRPr="009672FC">
        <w:rPr>
          <w:rFonts w:ascii="Garamond" w:hAnsi="Garamond"/>
          <w:color w:val="000000"/>
        </w:rPr>
        <w:fldChar w:fldCharType="end"/>
      </w:r>
      <w:r w:rsidRPr="009672FC">
        <w:rPr>
          <w:rFonts w:ascii="Garamond" w:hAnsi="Garamond"/>
          <w:color w:val="000000" w:themeColor="text1"/>
        </w:rPr>
        <w:t xml:space="preserve">. </w:t>
      </w:r>
    </w:p>
    <w:p w14:paraId="60C377A5" w14:textId="77777777"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rPr>
        <w:lastRenderedPageBreak/>
        <w:fldChar w:fldCharType="begin" w:fldLock="1"/>
      </w:r>
      <w:r w:rsidRPr="009672FC">
        <w:rPr>
          <w:rFonts w:ascii="Garamond" w:hAnsi="Garamond"/>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Kroeger (2012)</w:t>
      </w:r>
      <w:r w:rsidRPr="009672FC">
        <w:rPr>
          <w:rFonts w:ascii="Garamond" w:hAnsi="Garamond"/>
        </w:rPr>
        <w:fldChar w:fldCharType="end"/>
      </w:r>
      <w:r w:rsidRPr="009672FC">
        <w:rPr>
          <w:rFonts w:ascii="Garamond" w:hAnsi="Garamond"/>
          <w:color w:val="000000" w:themeColor="text1"/>
        </w:rPr>
        <w:t xml:space="preserve"> argues that institutionalizing competence trust promotes path-dependent histories of trust in inter-organizational relationships, which thus fosters new alliance formation. In that sense, a partner may infer trust in the other as a result of the shared history of ties and competence reputation. </w:t>
      </w:r>
      <w:r w:rsidRPr="009672FC">
        <w:rPr>
          <w:rFonts w:ascii="Garamond" w:hAnsi="Garamond"/>
        </w:rPr>
        <w:fldChar w:fldCharType="begin" w:fldLock="1"/>
      </w:r>
      <w:r w:rsidRPr="009672FC">
        <w:rPr>
          <w:rFonts w:ascii="Garamond" w:hAnsi="Garamond"/>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(2009)</w:t>
      </w:r>
      <w:r w:rsidRPr="009672FC">
        <w:rPr>
          <w:rFonts w:ascii="Garamond" w:hAnsi="Garamond"/>
          <w:color w:val="000000"/>
        </w:rPr>
        <w:fldChar w:fldCharType="end"/>
      </w:r>
      <w:r w:rsidRPr="009672FC">
        <w:rPr>
          <w:rFonts w:ascii="Garamond" w:hAnsi="Garamond"/>
          <w:color w:val="000000" w:themeColor="text1"/>
        </w:rPr>
        <w:t xml:space="preserve"> found that competence trust is positively related to the use of “high human-related resources”, such as experience, skills, and abilities. Under this situation, relevant knowledge is shared and thus innovation performance is improved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&amp; Kraus, 2013)</w:t>
      </w:r>
      <w:r w:rsidRPr="009672FC">
        <w:rPr>
          <w:rFonts w:ascii="Garamond" w:hAnsi="Garamond"/>
          <w:color w:val="000000"/>
        </w:rPr>
        <w:fldChar w:fldCharType="end"/>
      </w:r>
      <w:r w:rsidRPr="009672FC">
        <w:rPr>
          <w:rFonts w:ascii="Garamond" w:hAnsi="Garamond"/>
          <w:color w:val="000000" w:themeColor="text1"/>
        </w:rPr>
        <w:t xml:space="preserve">. </w:t>
      </w:r>
    </w:p>
    <w:p w14:paraId="4E0C08E8" w14:textId="572BC94D" w:rsidR="003D5DE8" w:rsidRPr="009672FC" w:rsidRDefault="007549AA" w:rsidP="002663FA">
      <w:pPr>
        <w:spacing w:before="240" w:line="360" w:lineRule="auto"/>
        <w:jc w:val="both"/>
        <w:rPr>
          <w:rFonts w:ascii="Garamond" w:hAnsi="Garamond"/>
          <w:color w:val="000000" w:themeColor="text1"/>
        </w:rPr>
      </w:pPr>
      <w:r w:rsidRPr="009672FC">
        <w:rPr>
          <w:rFonts w:ascii="Garamond" w:hAnsi="Garamond"/>
          <w:color w:val="000000" w:themeColor="text1"/>
        </w:rPr>
        <w:t>Furthermore, the partner’s competence promotes high relational performance in an inter-organizational relationship (</w:t>
      </w:r>
      <w:r w:rsidRPr="009672FC">
        <w:rPr>
          <w:rFonts w:ascii="Garamond" w:hAnsi="Garamond"/>
        </w:rPr>
        <w:fldChar w:fldCharType="begin" w:fldLock="1"/>
      </w:r>
      <w:r w:rsidRPr="009672FC">
        <w:rPr>
          <w:rFonts w:ascii="Garamond" w:hAnsi="Garamond"/>
          <w:color w:val="000000"/>
        </w:rPr>
        <w:instrText>ADDIN CSL_CITATION {"citationItems":[{"id":"ITEM-1","itemData":{"DOI":"10.1177/0170840608101139","ISSN":"01708406","abstract":"This study examines the roles of competence trust, formal contract, and time horizon on interorganizational learning. Two types of learning ĝ€\" knowledge accessing and knowledge acquisition ĝ€\" are first identified. I then evaluate the relative roles of competence trust and contract on these two types of learning. I further investigate how time horizon moderates their roles. The hypotheses are tested with a sample of 126 buyerĝ€\"supplier relationships between the Hong Kong toy traders and their suppliers. The results show that knowledge accessing and knowledge acquisition have very different requirements on the competence trust and contract of an exchange relationship. These requirements also change with the time horizon of the relationship.","author":[{"dropping-particle":"","family":"Lui","given":"Steven S.","non-dropping-particle":"","parse-names":false,"suffix":""}],"container-title":"Organization Studies","id":"ITEM-1","issue":"4","issued":{"date-parts":[["2009"]]},"page":"333-353","title":"The roles of competence trust, formal contract, and time horizon in interorganizational learning","type":"article-journal","volume":"30"},"uris":["http://www.mendeley.com/documents/?uuid=496e082d-8969-48e5-9ab4-064023b695d5"]}],"mendeley":{"formattedCitation":"(Lui, 2009)","manualFormatting":"Lui,2009)","plainTextFormattedCitation":"(Lui, 2009)","previouslyFormattedCitation":"(Lui,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Lui,2009)</w:t>
      </w:r>
      <w:r w:rsidRPr="009672FC">
        <w:rPr>
          <w:rFonts w:ascii="Garamond" w:hAnsi="Garamond"/>
          <w:color w:val="000000"/>
        </w:rPr>
        <w:fldChar w:fldCharType="end"/>
      </w:r>
      <w:r w:rsidRPr="009672FC">
        <w:rPr>
          <w:rFonts w:ascii="Garamond" w:hAnsi="Garamond"/>
          <w:color w:val="000000" w:themeColor="text1"/>
        </w:rPr>
        <w:t xml:space="preserve">, because such partners protect their reputation by delivering on their competencies. Similarly, in the marketing literature, </w:t>
      </w:r>
      <w:r w:rsidRPr="009672FC">
        <w:rPr>
          <w:rFonts w:ascii="Garamond" w:hAnsi="Garamond"/>
        </w:rPr>
        <w:fldChar w:fldCharType="begin" w:fldLock="1"/>
      </w:r>
      <w:r w:rsidRPr="009672FC">
        <w:rPr>
          <w:rFonts w:ascii="Garamond" w:hAnsi="Garamond"/>
          <w:color w:val="000000"/>
        </w:rPr>
        <w:instrText>ADDIN CSL_CITATION {"citationItems":[{"id":"ITEM-1","itemData":{"DOI":"10.1002/mar","ISBN":"0148-2963","ISSN":"01482963","PMID":"28443810","abstract":"While humans have a long history of anthropomorphizing animals and the use of animal imagery in themarketplace and popular culture is commonplace, the phenomenon has received little attention. This research investigates the role of how consumers respond to anthropomorphic portrayals of animal mascots that differ on their baseline physical resemblance to humans. In order to test this assertion, an experimental study was conducted with 62 undergraduate participants from a large state university in the Northeastern United States. Results from the study indicate that evaluations of anthropomorphic portrayals of animals with a lower baseline physical similarity to humans are less favorable than nonanthropomorphic portrayals. In contrast, evaluations of anthropomorphic portrayals of animals with a higher baseline physical similarity are more favorable than nonanthropomorphic portrayals.","author":[{"dropping-particle":"","family":"Xie","given":"Yi","non-dropping-particle":"","parse-names":false,"suffix":""},{"dropping-particle":"","family":"Peng","given":"Siqing","non-dropping-particle":"","parse-names":false,"suffix":""}],"container-title":"Psychology &amp; Marketing","id":"ITEM-1","issue":"6","issued":{"date-parts":[["2009"]]},"page":"461-469","title":"How to Repair Customer Trust After Negative Publicity: The Roles of Competence, Integrity, Benevolence, and Forgiveness","type":"article-journal","volume":"30"},"uris":["http://www.mendeley.com/documents/?uuid=24a35a57-094e-4d18-b492-e19082f27014"]}],"mendeley":{"formattedCitation":"(Xie &amp; Peng, 2009)","manualFormatting":"Xie and Peng (2009)","plainTextFormattedCitation":"(Xie &amp; Peng, 2009)","previouslyFormattedCitation":"(Xie &amp; Peng,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Xie and Peng (2009)</w:t>
      </w:r>
      <w:r w:rsidRPr="009672FC">
        <w:rPr>
          <w:rFonts w:ascii="Garamond" w:hAnsi="Garamond"/>
          <w:color w:val="000000"/>
        </w:rPr>
        <w:fldChar w:fldCharType="end"/>
      </w:r>
      <w:r w:rsidRPr="009672FC">
        <w:rPr>
          <w:rFonts w:ascii="Garamond" w:hAnsi="Garamond"/>
          <w:color w:val="000000" w:themeColor="text1"/>
        </w:rPr>
        <w:t xml:space="preserve"> add that in addition to delivering high service quality, in case of service failure, a firm’s competence is manifest in handling crisis events and service recoveries process. While scholars argue that very little is known about competence trust in the context of inter-organizational relationships </w:t>
      </w:r>
      <w:r w:rsidRPr="009672FC">
        <w:rPr>
          <w:rFonts w:ascii="Garamond" w:hAnsi="Garamond"/>
        </w:rPr>
        <w:fldChar w:fldCharType="begin" w:fldLock="1"/>
      </w:r>
      <w:r w:rsidRPr="009672FC">
        <w:rPr>
          <w:rFonts w:ascii="Garamond" w:hAnsi="Garamond"/>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2009)","manualFormatting":"(e.g., 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(e.g., Ibrahim and Ribbers, 2009)</w:t>
      </w:r>
      <w:r w:rsidRPr="009672FC">
        <w:rPr>
          <w:rFonts w:ascii="Garamond" w:hAnsi="Garamond"/>
          <w:color w:val="000000"/>
        </w:rPr>
        <w:fldChar w:fldCharType="end"/>
      </w:r>
      <w:r w:rsidRPr="009672FC">
        <w:rPr>
          <w:rFonts w:ascii="Garamond" w:hAnsi="Garamond"/>
          <w:color w:val="000000" w:themeColor="text1"/>
        </w:rPr>
        <w:t xml:space="preserve">, competence building is an integral aspect of developing an inter-organizational trusting relationship. Institutional practices such as professional training for managers and supervisors and the technological and skill development programs for employees may be essential for competence building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&amp; Morreale, 2011)</w:t>
      </w:r>
      <w:r w:rsidRPr="009672FC">
        <w:rPr>
          <w:rFonts w:ascii="Garamond" w:hAnsi="Garamond"/>
          <w:color w:val="000000"/>
        </w:rPr>
        <w:fldChar w:fldCharType="end"/>
      </w:r>
      <w:r w:rsidRPr="009672FC">
        <w:rPr>
          <w:rFonts w:ascii="Garamond" w:hAnsi="Garamond"/>
          <w:color w:val="000000" w:themeColor="text1"/>
        </w:rPr>
        <w:t>, especially in an interfirm context. These practices are critical to interfirm knowledge sharing and innovation performance. Based on the foregoing, the following hypothesis is assumed:</w:t>
      </w:r>
      <w:r w:rsidR="00890FB2" w:rsidRPr="009672FC">
        <w:rPr>
          <w:rFonts w:ascii="Garamond" w:hAnsi="Garamond"/>
          <w:color w:val="000000" w:themeColor="text1"/>
        </w:rPr>
        <w:t xml:space="preserve"> </w:t>
      </w:r>
      <w:r w:rsidRPr="009672FC">
        <w:rPr>
          <w:rFonts w:ascii="Garamond" w:hAnsi="Garamond"/>
          <w:i/>
          <w:iCs/>
          <w:color w:val="000000" w:themeColor="text1"/>
        </w:rPr>
        <w:t xml:space="preserve">H1a: Trust in institutional competence is positively related to actors’ </w:t>
      </w:r>
      <w:bookmarkStart w:id="152" w:name="_Hlk46391277"/>
      <w:r w:rsidRPr="009672FC">
        <w:rPr>
          <w:rFonts w:ascii="Garamond" w:hAnsi="Garamond"/>
          <w:i/>
          <w:iCs/>
          <w:color w:val="000000" w:themeColor="text1"/>
        </w:rPr>
        <w:t>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H1b: Trust in institutional competence is positively related to the relational risk of inter-firm relationships.</w:t>
      </w:r>
    </w:p>
    <w:p w14:paraId="3EBE927C" w14:textId="57C5FBA3" w:rsidR="003D5DE8" w:rsidRPr="009672FC" w:rsidRDefault="007549AA">
      <w:pPr>
        <w:pStyle w:val="Title"/>
        <w:numPr>
          <w:ilvl w:val="2"/>
          <w:numId w:val="10"/>
        </w:numPr>
        <w:spacing w:before="240" w:line="360" w:lineRule="auto"/>
        <w:jc w:val="both"/>
        <w:outlineLvl w:val="2"/>
        <w:rPr>
          <w:rFonts w:ascii="Garamond" w:hAnsi="Garamond" w:cs="Times New Roman"/>
          <w:b/>
          <w:bCs/>
          <w:color w:val="000000" w:themeColor="text1"/>
          <w:sz w:val="24"/>
          <w:szCs w:val="24"/>
        </w:rPr>
      </w:pPr>
      <w:bookmarkStart w:id="153" w:name="_Toc85708746"/>
      <w:bookmarkStart w:id="154" w:name="_Toc85709760"/>
      <w:bookmarkEnd w:id="152"/>
      <w:r w:rsidRPr="009672FC">
        <w:rPr>
          <w:rFonts w:ascii="Garamond" w:hAnsi="Garamond" w:cs="Times New Roman"/>
          <w:b/>
          <w:bCs/>
          <w:i/>
          <w:iCs/>
          <w:color w:val="000000" w:themeColor="text1"/>
          <w:sz w:val="24"/>
          <w:szCs w:val="24"/>
        </w:rPr>
        <w:t>Partner Openness</w:t>
      </w:r>
      <w:bookmarkEnd w:id="153"/>
      <w:bookmarkEnd w:id="154"/>
    </w:p>
    <w:p w14:paraId="30066F99" w14:textId="40E8F270"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Openness and honesty are purposeful efforts of all partners to address. Democracy and transparency </w:t>
      </w:r>
      <w:r w:rsidRPr="009672FC">
        <w:rPr>
          <w:rFonts w:ascii="Garamond" w:hAnsi="Garamond"/>
        </w:rPr>
        <w:fldChar w:fldCharType="begin" w:fldLock="1"/>
      </w:r>
      <w:r w:rsidR="00813D37" w:rsidRPr="009672FC">
        <w:rPr>
          <w:rFonts w:ascii="Garamond" w:hAnsi="Garamond"/>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Wu, Li, &amp; Weisfeld, 2004)","manualFormatting":"(Saunders, Wu, Li, &amp; Weisfeld, 2004)","plainTextFormattedCitation":"(C. Saunders, Wu, Li, &amp; Weisfeld, 2004)","previouslyFormattedCitation":"(C. Saunders et al.,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(Saunders, Wu, Li, &amp; Weisfeld, 2004)</w:t>
      </w:r>
      <w:r w:rsidRPr="009672FC">
        <w:rPr>
          <w:rFonts w:ascii="Garamond" w:hAnsi="Garamond"/>
          <w:color w:val="000000"/>
        </w:rPr>
        <w:fldChar w:fldCharType="end"/>
      </w:r>
      <w:r w:rsidRPr="009672FC">
        <w:rPr>
          <w:rFonts w:ascii="Garamond" w:hAnsi="Garamond"/>
          <w:color w:val="000000" w:themeColor="text1"/>
        </w:rPr>
        <w:t xml:space="preserve"> are the cornerstones to interfirm continuous learning and knowledge practices, especially in a knowledge-based relationship.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and Morreale (2011)</w:t>
      </w:r>
      <w:r w:rsidRPr="009672FC">
        <w:rPr>
          <w:rFonts w:ascii="Garamond" w:hAnsi="Garamond"/>
          <w:color w:val="000000"/>
        </w:rPr>
        <w:fldChar w:fldCharType="end"/>
      </w:r>
      <w:r w:rsidRPr="009672FC">
        <w:rPr>
          <w:rFonts w:ascii="Garamond" w:hAnsi="Garamond"/>
          <w:color w:val="000000" w:themeColor="text1"/>
        </w:rPr>
        <w:t xml:space="preserve"> argue that an organization’s openness is demonstrated in the sharing of relevant, timely, and comprehensive information with its critical stakeholders, enabling partners to make informed economic decisions </w:t>
      </w:r>
      <w:r w:rsidRPr="009672FC">
        <w:rPr>
          <w:rFonts w:ascii="Garamond" w:hAnsi="Garamond"/>
        </w:rPr>
        <w:fldChar w:fldCharType="begin" w:fldLock="1"/>
      </w:r>
      <w:r w:rsidRPr="009672FC">
        <w:rPr>
          <w:rFonts w:ascii="Garamond" w:hAnsi="Garamond"/>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&amp; Ribbers, 2009)</w:t>
      </w:r>
      <w:r w:rsidRPr="009672FC">
        <w:rPr>
          <w:rFonts w:ascii="Garamond" w:hAnsi="Garamond"/>
          <w:color w:val="000000"/>
        </w:rPr>
        <w:fldChar w:fldCharType="end"/>
      </w:r>
      <w:r w:rsidRPr="009672FC">
        <w:rPr>
          <w:rFonts w:ascii="Garamond" w:hAnsi="Garamond"/>
          <w:color w:val="000000" w:themeColor="text1"/>
        </w:rPr>
        <w:t xml:space="preserve">. The literature suggests the essential role of openness and honesty is the promotion of “explicit socialization” through the </w:t>
      </w:r>
      <w:r w:rsidRPr="009672FC">
        <w:rPr>
          <w:rFonts w:ascii="Garamond" w:hAnsi="Garamond"/>
          <w:color w:val="000000" w:themeColor="text1"/>
        </w:rPr>
        <w:lastRenderedPageBreak/>
        <w:t xml:space="preserve">engagement of partners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 p. 301","plainTextFormattedCitation":"(F.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2007, p. 301</w:t>
      </w:r>
      <w:r w:rsidRPr="009672FC">
        <w:rPr>
          <w:rFonts w:ascii="Garamond" w:hAnsi="Garamond"/>
          <w:color w:val="000000"/>
        </w:rPr>
        <w:fldChar w:fldCharType="end"/>
      </w:r>
      <w:r w:rsidRPr="009672FC">
        <w:rPr>
          <w:rFonts w:ascii="Garamond" w:hAnsi="Garamond"/>
          <w:color w:val="000000" w:themeColor="text1"/>
        </w:rPr>
        <w:t xml:space="preserve">), and reducing both strategic (long term opportunism) and short-term (myopic temptation) opportunistic </w:t>
      </w:r>
      <w:proofErr w:type="spellStart"/>
      <w:r w:rsidRPr="009672FC">
        <w:rPr>
          <w:rFonts w:ascii="Garamond" w:hAnsi="Garamond"/>
          <w:color w:val="000000" w:themeColor="text1"/>
        </w:rPr>
        <w:t>behaviours</w:t>
      </w:r>
      <w:proofErr w:type="spellEnd"/>
      <w:r w:rsidRPr="009672FC">
        <w:rPr>
          <w:rFonts w:ascii="Garamond" w:hAnsi="Garamond"/>
          <w:color w:val="000000" w:themeColor="text1"/>
        </w:rPr>
        <w:t xml:space="preserve"> in relationships </w:t>
      </w:r>
      <w:r w:rsidRPr="009672FC">
        <w:rPr>
          <w:rFonts w:ascii="Garamond" w:hAnsi="Garamond"/>
        </w:rPr>
        <w:fldChar w:fldCharType="begin" w:fldLock="1"/>
      </w:r>
      <w:r w:rsidRPr="009672FC">
        <w:rPr>
          <w:rFonts w:ascii="Garamond" w:hAnsi="Garamond"/>
          <w:color w:val="000000"/>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2008)","manualFormatting":"(Six &amp; Sorge, 2008)","plainTextFormattedCitation":"(F. Six &amp; Sorge, 2008)","previouslyFormattedCitation":"(F. Six &amp; Sorge,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&amp; Sorge, 2008)</w:t>
      </w:r>
      <w:r w:rsidRPr="009672FC">
        <w:rPr>
          <w:rFonts w:ascii="Garamond" w:hAnsi="Garamond"/>
          <w:color w:val="000000"/>
        </w:rPr>
        <w:fldChar w:fldCharType="end"/>
      </w:r>
      <w:r w:rsidRPr="009672FC">
        <w:rPr>
          <w:rFonts w:ascii="Garamond" w:hAnsi="Garamond"/>
          <w:color w:val="000000" w:themeColor="text1"/>
        </w:rPr>
        <w:t>.</w:t>
      </w:r>
    </w:p>
    <w:p w14:paraId="04BC0A9B" w14:textId="4B8C7E99"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Institutionalizing the openness culture in an inter-organizational relationship promote organizational agility to respond to changes </w:t>
      </w:r>
      <w:r w:rsidRPr="009672FC">
        <w:rPr>
          <w:rFonts w:ascii="Garamond" w:hAnsi="Garamond"/>
        </w:rPr>
        <w:fldChar w:fldCharType="begin" w:fldLock="1"/>
      </w:r>
      <w:r w:rsidRPr="009672FC">
        <w:rPr>
          <w:rFonts w:ascii="Garamond" w:hAnsi="Garamond"/>
          <w:color w:val="000000"/>
        </w:rPr>
        <w:instrText>ADDIN CSL_CITATION {"citationItems":[{"id":"ITEM-1","itemData":{"DOI":"10.1108/01437730410556734","ISSN":"01437739","abstract":"Developed and tested a model of the change management strategies that predict openness and commitment to a large-scale organizational change. Based on a sample of 164 employees, a partially- and a fully-mediated model were compared with the former providing the best fit to the data. Communication and job security predicted openness and trust both directly and indirectly, via procedural justice. Participation predicted trust directly and indirectly but predicted openness to change only indirectly (via procedural justice). Turnover intentions were negatively predicted by openness and trust. Finally, turnover intentions predicted neglect. These results highlight the role of procedural justice perceptions in understanding organizational change. © 2004, Emerald Group Publishing Limited","author":[{"dropping-particle":"","family":"Chawla","given":"Anuradha","non-dropping-particle":"","parse-names":false,"suffix":""},{"dropping-particle":"","family":"Kevin Kelloway","given":"E.","non-dropping-particle":"","parse-names":false,"suffix":""}],"container-title":"Leadership &amp; Organization Development Journal","id":"ITEM-1","issue":"6","issued":{"date-parts":[["2004"]]},"page":"485-498","title":"Predicting openness and commitment to change","type":"article-journal","volume":"25"},"uris":["http://www.mendeley.com/documents/?uuid=cb50338b-3fd1-4b4e-97de-b0ee94d3439c"]}],"mendeley":{"formattedCitation":"(Chawla &amp; Kevin Kelloway, 2004)","plainTextFormattedCitation":"(Chawla &amp; Kevin Kelloway, 2004)","previouslyFormattedCitation":"(Chawla &amp; Kevin Kelloway,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(Chawla &amp; Kevin Kelloway, 2004)</w:t>
      </w:r>
      <w:r w:rsidRPr="009672FC">
        <w:rPr>
          <w:rFonts w:ascii="Garamond" w:hAnsi="Garamond"/>
          <w:color w:val="000000"/>
        </w:rPr>
        <w:fldChar w:fldCharType="end"/>
      </w:r>
      <w:r w:rsidRPr="009672FC">
        <w:rPr>
          <w:rFonts w:ascii="Garamond" w:hAnsi="Garamond"/>
          <w:color w:val="000000" w:themeColor="text1"/>
        </w:rPr>
        <w:t xml:space="preserve">, and thus controlling transactions costs, risks, and benefits of a certain business transaction. For instance, the supply chain vendor is very keen on the specifics of product-related information, pricing/cost data, and relevant market information. Through openness and honestly, partners’ </w:t>
      </w:r>
      <w:proofErr w:type="spellStart"/>
      <w:r w:rsidRPr="009672FC">
        <w:rPr>
          <w:rFonts w:ascii="Garamond" w:hAnsi="Garamond"/>
          <w:color w:val="000000" w:themeColor="text1"/>
        </w:rPr>
        <w:t>behaviours</w:t>
      </w:r>
      <w:proofErr w:type="spellEnd"/>
      <w:r w:rsidRPr="009672FC">
        <w:rPr>
          <w:rFonts w:ascii="Garamond" w:hAnsi="Garamond"/>
          <w:color w:val="000000" w:themeColor="text1"/>
        </w:rPr>
        <w:t xml:space="preserve"> become more predictable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thus likely to promote collective action in knowledge exchange and innovation performance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&amp; Kraus, 2013)</w:t>
      </w:r>
      <w:r w:rsidRPr="009672FC">
        <w:rPr>
          <w:rFonts w:ascii="Garamond" w:hAnsi="Garamond"/>
          <w:color w:val="000000"/>
        </w:rPr>
        <w:fldChar w:fldCharType="end"/>
      </w:r>
      <w:r w:rsidRPr="009672FC">
        <w:rPr>
          <w:rFonts w:ascii="Garamond" w:hAnsi="Garamond"/>
          <w:color w:val="000000" w:themeColor="text1"/>
        </w:rPr>
        <w:t>. The high level of organizational openness encourages employees to accept organizational change (</w:t>
      </w:r>
      <w:proofErr w:type="spellStart"/>
      <w:r w:rsidRPr="009672FC">
        <w:rPr>
          <w:rFonts w:ascii="Garamond" w:hAnsi="Garamond"/>
          <w:color w:val="000000" w:themeColor="text1"/>
        </w:rPr>
        <w:t>Ertürk</w:t>
      </w:r>
      <w:proofErr w:type="spellEnd"/>
      <w:r w:rsidRPr="009672FC">
        <w:rPr>
          <w:rFonts w:ascii="Garamond" w:hAnsi="Garamond"/>
          <w:color w:val="000000" w:themeColor="text1"/>
        </w:rPr>
        <w:t>, 2008) and reduc</w:t>
      </w:r>
      <w:r w:rsidR="002663FA" w:rsidRPr="009672FC">
        <w:rPr>
          <w:rFonts w:ascii="Garamond" w:hAnsi="Garamond"/>
          <w:color w:val="000000" w:themeColor="text1"/>
        </w:rPr>
        <w:t>es</w:t>
      </w:r>
      <w:r w:rsidRPr="009672FC">
        <w:rPr>
          <w:rFonts w:ascii="Garamond" w:hAnsi="Garamond"/>
          <w:color w:val="000000" w:themeColor="text1"/>
        </w:rPr>
        <w:t xml:space="preserve"> information asymmetries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{"citationItems":[{"id":"ITEM-1","itemData":{"DOI":"10.1207/s1532754xjprr1001_02","ISSN":"1062-726X","abstract":"A survey of public relations practitioners reveals that asymmetrical and symmetrical worldviews may be reliably measured. Three hypotheses derived from Grunig's excellence theory were tested. Results provided some support for the theory. World views were found to be empirically related to the four models of public relations and to public relations effectiveness. Unexpected findings lead to the suggestion to either improve the measurement of the four models of public relations or to reconsider their role in the theory of public relations excellence.","author":[{"dropping-particle":"","family":"Heath","given":"Robert L.","non-dropping-particle":"","parse-names":false,"suffix":""},{"dropping-particle":"","family":"Seshadri","given":"Shaila","non-dropping-particle":"","parse-names":false,"suffix":""},{"dropping-particle":"","family":"Lee","given":"Jaegub","non-dropping-particle":"","parse-names":false,"suffix":""}],"container-title":"Journal of Public Relations Research","id":"ITEM-1","issue":"1","issued":{"date-parts":[["1998"]]},"page":"35-56","title":"Risk Communication: A Two-Community Analysis of Proximity, Dread, Trust, Involvement, Uncertainty, Openness/Accessibility, and Knowledge on Support/Opposition Toward Chemical Companies","type":"article-journal","volume":"10"},"uris":["http://www.mendeley.com/documents/?uuid=c7512014-ae56-48c7-8c91-09f39f1e785b"]}],"mendeley":{"formattedCitation":"(Heath, Seshadri, &amp; Lee, 1998)","plainTextFormattedCitation":"(Heath, Seshadri, &amp; Lee, 1998)","previouslyFormattedCitation":"(Heath et al., 1998)"},"properties":{"noteIndex":0},"schema":"https://github.com/citation-style-language/schema/raw/master/csl-citation.json"}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(Heath, Seshadri, &amp; Lee, 1998)</w:t>
      </w:r>
      <w:r w:rsidRPr="009672FC">
        <w:rPr>
          <w:rFonts w:ascii="Garamond" w:hAnsi="Garamond"/>
          <w:color w:val="000000"/>
        </w:rPr>
        <w:fldChar w:fldCharType="end"/>
      </w:r>
      <w:r w:rsidRPr="009672FC">
        <w:rPr>
          <w:rFonts w:ascii="Garamond" w:hAnsi="Garamond"/>
          <w:color w:val="000000" w:themeColor="text1"/>
        </w:rPr>
        <w:t xml:space="preserve">. Such practices result in joint investment in relation-specific assets </w:t>
      </w:r>
      <w:r w:rsidRPr="009672FC">
        <w:rPr>
          <w:rFonts w:ascii="Garamond" w:hAnsi="Garamond"/>
        </w:rPr>
        <w:fldChar w:fldCharType="begin" w:fldLock="1"/>
      </w:r>
      <w:r w:rsidRPr="009672FC">
        <w:rPr>
          <w:rFonts w:ascii="Garamond" w:hAnsi="Garamond"/>
          <w:color w:val="000000"/>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et al., 2018)","plainTextFormattedCitation":"(Dyer et al., 2018)","previouslyFormattedCitation":"(Dyer et al., 2018)"},"properties":{"noteIndex":0},"schema":"https://github.com/citation-style-language/schema/raw/master/csl-citation.json"}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(Dyer et al., 2018)</w:t>
      </w:r>
      <w:r w:rsidRPr="009672FC">
        <w:rPr>
          <w:rFonts w:ascii="Garamond" w:hAnsi="Garamond"/>
          <w:color w:val="000000"/>
        </w:rPr>
        <w:fldChar w:fldCharType="end"/>
      </w:r>
      <w:r w:rsidRPr="009672FC">
        <w:rPr>
          <w:rFonts w:ascii="Garamond" w:hAnsi="Garamond"/>
          <w:color w:val="000000" w:themeColor="text1"/>
        </w:rPr>
        <w:t>, and promot</w:t>
      </w:r>
      <w:r w:rsidR="002663FA" w:rsidRPr="009672FC">
        <w:rPr>
          <w:rFonts w:ascii="Garamond" w:hAnsi="Garamond"/>
          <w:color w:val="000000" w:themeColor="text1"/>
        </w:rPr>
        <w:t>e</w:t>
      </w:r>
      <w:r w:rsidRPr="009672FC">
        <w:rPr>
          <w:rFonts w:ascii="Garamond" w:hAnsi="Garamond"/>
          <w:color w:val="000000" w:themeColor="text1"/>
        </w:rPr>
        <w:t xml:space="preserve"> opportunities for deepening ties and knowledge-sharing relations </w:t>
      </w:r>
      <w:r w:rsidRPr="009672FC">
        <w:rPr>
          <w:rFonts w:ascii="Garamond" w:hAnsi="Garamond"/>
        </w:rPr>
        <w:fldChar w:fldCharType="begin" w:fldLock="1"/>
      </w:r>
      <w:r w:rsidRPr="009672FC">
        <w:rPr>
          <w:rFonts w:ascii="Garamond" w:hAnsi="Garamond"/>
          <w:color w:val="000000"/>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2013)","plainTextFormattedCitation":"(Bouncken &amp; Kraus, 2013)","previouslyFormattedCitation":"(Bouncken &amp; Kraus,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&amp; Kraus, 2013)</w:t>
      </w:r>
      <w:r w:rsidRPr="009672FC">
        <w:rPr>
          <w:rFonts w:ascii="Garamond" w:hAnsi="Garamond"/>
          <w:color w:val="000000"/>
        </w:rPr>
        <w:fldChar w:fldCharType="end"/>
      </w:r>
      <w:r w:rsidRPr="009672FC">
        <w:rPr>
          <w:rFonts w:ascii="Garamond" w:hAnsi="Garamond"/>
          <w:color w:val="000000" w:themeColor="text1"/>
        </w:rPr>
        <w:t xml:space="preserve">. For instance, an IT system that enables effective engagement and timely knowledge and information exchange </w:t>
      </w:r>
      <w:r w:rsidR="002663FA" w:rsidRPr="009672FC">
        <w:rPr>
          <w:rFonts w:ascii="Garamond" w:hAnsi="Garamond"/>
          <w:color w:val="000000" w:themeColor="text1"/>
        </w:rPr>
        <w:t>are</w:t>
      </w:r>
      <w:r w:rsidRPr="009672FC">
        <w:rPr>
          <w:rFonts w:ascii="Garamond" w:hAnsi="Garamond"/>
          <w:color w:val="000000" w:themeColor="text1"/>
        </w:rPr>
        <w:t xml:space="preserve"> fundamental to inter-organizational relationships </w:t>
      </w:r>
      <w:r w:rsidRPr="009672FC">
        <w:rPr>
          <w:rFonts w:ascii="Garamond" w:hAnsi="Garamond"/>
        </w:rPr>
        <w:fldChar w:fldCharType="begin" w:fldLock="1"/>
      </w:r>
      <w:r w:rsidRPr="009672FC">
        <w:rPr>
          <w:rFonts w:ascii="Garamond" w:hAnsi="Garamond"/>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et al., 2004)","manualFormatting":"(Saunders et al., 2004)","plainTextFormattedCitation":"(C. Saunders et al., 2004)","previouslyFormattedCitation":"(C. Saunders et al.,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(Saunders et al., 2004)</w:t>
      </w:r>
      <w:r w:rsidRPr="009672FC">
        <w:rPr>
          <w:rFonts w:ascii="Garamond" w:hAnsi="Garamond"/>
          <w:color w:val="000000"/>
        </w:rPr>
        <w:fldChar w:fldCharType="end"/>
      </w:r>
      <w:r w:rsidRPr="009672FC">
        <w:rPr>
          <w:rFonts w:ascii="Garamond" w:hAnsi="Garamond"/>
          <w:color w:val="000000" w:themeColor="text1"/>
        </w:rPr>
        <w:t xml:space="preserve">. </w:t>
      </w:r>
    </w:p>
    <w:p w14:paraId="10381A43" w14:textId="1F46BB02"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Several scholars found a positive association of openness in organizational relationships in terms of “the flow of human-related knowledge and organizational-domain specific knowledge” </w:t>
      </w:r>
      <w:r w:rsidRPr="009672FC">
        <w:rPr>
          <w:rFonts w:ascii="Garamond" w:hAnsi="Garamond"/>
        </w:rPr>
        <w:fldChar w:fldCharType="begin" w:fldLock="1"/>
      </w:r>
      <w:r w:rsidRPr="009672FC">
        <w:rPr>
          <w:rFonts w:ascii="Garamond" w:hAnsi="Garamond"/>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 p. 5)","plainTextFormattedCitation":"(Ibrahim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2009, p. 5)</w:t>
      </w:r>
      <w:r w:rsidRPr="009672FC">
        <w:rPr>
          <w:rFonts w:ascii="Garamond" w:hAnsi="Garamond"/>
          <w:color w:val="000000"/>
        </w:rPr>
        <w:fldChar w:fldCharType="end"/>
      </w:r>
      <w:r w:rsidRPr="009672FC">
        <w:rPr>
          <w:rFonts w:ascii="Garamond" w:hAnsi="Garamond"/>
          <w:color w:val="000000" w:themeColor="text1"/>
        </w:rPr>
        <w:t>, enabling dialogue and workplace conflict resolution (</w:t>
      </w:r>
      <w:r w:rsidRPr="009672FC">
        <w:rPr>
          <w:rFonts w:ascii="Garamond" w:hAnsi="Garamond"/>
        </w:rPr>
        <w:fldChar w:fldCharType="begin" w:fldLock="1"/>
      </w:r>
      <w:r w:rsidRPr="009672FC">
        <w:rPr>
          <w:rFonts w:ascii="Garamond" w:hAnsi="Garamond"/>
          <w:color w:val="000000"/>
        </w:rPr>
        <w:instrText>ADDIN CSL_CITATION {"citationItems":[{"id":"ITEM-1","itemData":{"DOI":"10.1108/10444060810909275","ISSN":"10444068","abstract":"Purpose – Although a great deal of research has focused on the effect of trust on conflict, little research has examined the impact of conflict on trust. The purpose of this paper is to present a model that investigates the relationship between conflict types (task, relationship and process), conflict features (intensity and duration), communication openness (CO) and workplace trust. Design/methodology/approach – Data were collected from 510 employees from public sector organizations. The authors tested the direct effects of the hypothesized links with linear regressions while the mediation effects were tested using the Sobel test. Finally, the authors followed Kenny and Baron's procedure to test the moderation effects. Findings – Results from the regression analyses confirm that conflict features (intensity and duration) fully mediated the link between conflict types (task, relationship and process) and trust, while CO moderated the relationship between conflict features and trust. In addition, prolonged conflict duration was linked with trust. Implications of the findings are discussed. Research limitations/implications – The study is cross sectional and some of our scales have few items. In future, more robust scales in a longitudinal study should be used to further deepen our understanding of the association between the variables in our model. In addition, we have studied the concept of trust as perceived by the employees without distinguishing between high- and low-trust perceptions. Future studies should compare levels of trust associated with the different types of conflict and especially varying magnitude of conflict intensity (e.g. low, mid and high) at different times. Originality/value – The study provides new insights into the influence that conflict (task, relationship and process) may have on trust and the moderating role of CO in the link between conflict and trust. The paper also offers a practical assistance to group members and leaders that are interested in building trust especially in the presence of conflict. © 2008, Emerald Group Publishing Limited","author":[{"dropping-particle":"","family":"Ayoko","given":"Oluremi B.","non-dropping-particle":"","parse-names":false,"suffix":""},{"dropping-particle":"","family":"Pekerti","given":"Andre A.","non-dropping-particle":"","parse-names":false,"suffix":""}],"container-title":"International Journal of Conflict Management","id":"ITEM-1","issue":"4","issued":{"date-parts":[["2008"]]},"page":"297-318","title":"The mediating and moderating effects of conflict and communication openness on workplace trust","type":"article-journal","volume":"19"},"uris":["http://www.mendeley.com/documents/?uuid=c3fa9ccc-49d2-4058-89b8-58240c626c47"]}],"mendeley":{"formattedCitation":"(Ayoko &amp; Pekerti, 2008)","manualFormatting":"Ayoko and Pekerti, 2008)","plainTextFormattedCitation":"(Ayoko &amp; Pekerti, 2008)","previouslyFormattedCitation":"(Ayoko &amp; Pekerti, 2008)"},"properties":{"noteIndex":0},"schema":"https://github.com/citation-style-language/schema/raw/master/csl-citation.json"}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Ayoko and Pekerti, 2008)</w:t>
      </w:r>
      <w:r w:rsidRPr="009672FC">
        <w:rPr>
          <w:rFonts w:ascii="Garamond" w:hAnsi="Garamond"/>
          <w:color w:val="000000"/>
        </w:rPr>
        <w:fldChar w:fldCharType="end"/>
      </w:r>
      <w:r w:rsidRPr="009672FC">
        <w:rPr>
          <w:rFonts w:ascii="Garamond" w:hAnsi="Garamond"/>
          <w:color w:val="000000" w:themeColor="text1"/>
        </w:rPr>
        <w:t xml:space="preserve">, and a mean of reducing the idiosyncratic cultural dissimilarities between companies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However, while researchers cautioned against an overly disclosure of propriety information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2000)","manualFormatting":"(e.g., 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(e.g., Blomqvist and Ståhle, 2000;</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{"citationItems":[{"id":"ITEM-1","itemData":{"abstract":"Within this division, there is a real problem with the lower level people not trusting the people at the top, because the people feel that the management doesn't tell them the truth, doesn't level with them, isn't honest, has a hidden agenda, plays games. I could go on and on. I think it's worse today than I have ever seen it in my 33-year career in this company","author":[{"dropping-particle":"","family":"Mishra","given":"Aneil","non-dropping-particle":"","parse-names":false,"suffix":""}],"container-title":"Trust In Organizations","id":"ITEM-1","issued":{"date-parts":[["1996"]]},"page":"261-287","title":"Organizational Responses to Crises: The Centrality of Trust. in Kramer, R. and Tyler, T. eds. Trust in Organizations, Sage, Beverly Hills.","type":"chapter"},"uris":["http://www.mendeley.com/documents/?uuid=a8f5bd86-361d-4ecd-a4a9-1792a728ae2e"]}],"mendeley":{"formattedCitation":"(Mishra, 1996)","manualFormatting":" Mishra, 1996","plainTextFormattedCitation":"(Mishra, 1996)","previouslyFormattedCitation":"(Mishra, 1996)"},"properties":{"noteIndex":0},"schema":"https://github.com/citation-style-language/schema/raw/master/csl-citation.json"}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Mishra, 1996</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Blomqvist and Ståhle (2000)</w:t>
      </w:r>
      <w:r w:rsidRPr="009672FC">
        <w:rPr>
          <w:rFonts w:ascii="Garamond" w:hAnsi="Garamond"/>
          <w:color w:val="000000"/>
        </w:rPr>
        <w:fldChar w:fldCharType="end"/>
      </w:r>
      <w:r w:rsidRPr="009672FC">
        <w:rPr>
          <w:rFonts w:ascii="Garamond" w:hAnsi="Garamond"/>
          <w:color w:val="000000" w:themeColor="text1"/>
        </w:rPr>
        <w:t xml:space="preserve"> argue that lack of sufficient openness and honesty is one of the major causes of distrust in inter-organizational relationships. Accordingly, the following hypothesis is assumed:</w:t>
      </w:r>
      <w:r w:rsidR="00890FB2" w:rsidRPr="009672FC">
        <w:rPr>
          <w:rFonts w:ascii="Garamond" w:hAnsi="Garamond"/>
          <w:color w:val="000000" w:themeColor="text1"/>
        </w:rPr>
        <w:t xml:space="preserve"> </w:t>
      </w:r>
      <w:r w:rsidRPr="009672FC">
        <w:rPr>
          <w:rFonts w:ascii="Garamond" w:hAnsi="Garamond"/>
          <w:i/>
          <w:iCs/>
          <w:color w:val="000000" w:themeColor="text1"/>
        </w:rPr>
        <w:t xml:space="preserve">H2a: Trust in institutional openness and honesty positively relate to actors’ </w:t>
      </w:r>
      <w:bookmarkStart w:id="155" w:name="_Hlk46391994"/>
      <w:r w:rsidRPr="009672FC">
        <w:rPr>
          <w:rFonts w:ascii="Garamond" w:hAnsi="Garamond"/>
          <w:i/>
          <w:iCs/>
          <w:color w:val="000000" w:themeColor="text1"/>
        </w:rPr>
        <w:t>innovation performance.</w:t>
      </w:r>
      <w:bookmarkEnd w:id="155"/>
      <w:r w:rsidR="00890FB2" w:rsidRPr="009672FC">
        <w:rPr>
          <w:rFonts w:ascii="Garamond" w:hAnsi="Garamond"/>
          <w:color w:val="000000" w:themeColor="text1"/>
        </w:rPr>
        <w:t xml:space="preserve"> </w:t>
      </w:r>
      <w:r w:rsidRPr="009672FC">
        <w:rPr>
          <w:rFonts w:ascii="Garamond" w:hAnsi="Garamond"/>
          <w:i/>
          <w:iCs/>
          <w:color w:val="000000" w:themeColor="text1"/>
        </w:rPr>
        <w:t>H2b: Trust in institutional openness and honesty positively relate to the relational risk of inter-firm relationships.</w:t>
      </w:r>
    </w:p>
    <w:p w14:paraId="53544713" w14:textId="2D0761AB"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56" w:name="_Toc85708747"/>
      <w:bookmarkStart w:id="157" w:name="_Toc85709761"/>
      <w:r w:rsidRPr="009672FC">
        <w:rPr>
          <w:rFonts w:ascii="Garamond" w:hAnsi="Garamond" w:cs="Times New Roman"/>
          <w:b/>
          <w:bCs/>
          <w:i/>
          <w:iCs/>
          <w:color w:val="000000" w:themeColor="text1"/>
          <w:sz w:val="24"/>
          <w:szCs w:val="24"/>
        </w:rPr>
        <w:t>Partner Reliability</w:t>
      </w:r>
      <w:bookmarkEnd w:id="156"/>
      <w:bookmarkEnd w:id="157"/>
      <w:r w:rsidRPr="009672FC">
        <w:rPr>
          <w:rFonts w:ascii="Garamond" w:hAnsi="Garamond" w:cs="Times New Roman"/>
          <w:b/>
          <w:bCs/>
          <w:i/>
          <w:iCs/>
          <w:color w:val="000000" w:themeColor="text1"/>
          <w:sz w:val="24"/>
          <w:szCs w:val="24"/>
        </w:rPr>
        <w:t xml:space="preserve"> </w:t>
      </w:r>
    </w:p>
    <w:p w14:paraId="63377973" w14:textId="7DE5480D"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The institutional reliability dimension of trust is associated with consistency in the words, policies and actions of an organization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&amp; Morreale, 2011)</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{"citationItems":[{"id":"ITEM-1","itemData":{"DOI":"10.1109/HICSS.2006.512","ISBN":"0769525075","ISSN":"15301605","abstract":"Previous research has emphasized the importance of dependence and trust on interorganizational systems. This paper focuses on how dependence and trust impact various types of investments in IOS related resources and how these investments produce benefits within a global context. A conceptual model is constructed combining transaction-cost economics, resources-based view, trust and dependence. Four explorative case studies are conducted on interorganizational systems employed within a global context. Dependent organizations are found to conduct the needed investments and to use different types of resources depending on the requirements of the powerful organization. Competence-based trust is found to influence human-based resources and resources that enable domain-knowledge transfer. Reliability-based trust is found to influence human-based resources and resources that enable interlinking processes. Combinations of human-based resources and resources that enable domain-knowledge transfer or business-process linkage are found to produce strategic benefits. The lack of human-based resources is found to produce only operational benefits. © 2006 IEEE.","author":[{"dropping-particle":"","family":"Ibrahim","given":"Mohammed","non-dropping-particle":"","parse-names":false,"suffix":""},{"dropping-particle":"","family":"Ribbers","given":"Pieter","non-dropping-particle":"","parse-names":false,"suffix":""}],"container-title":"Proceedings of the Annual Hawaii International Conference on System Sciences","id":"ITEM-1","issue":"C","issued":{"date-parts":[["2006"]]},"page":"1-8","title":"Trust, dependence and global interorganizational systems","type":"paper-conference","volume":"8"},"uris":["http://www.mendeley.com/documents/?uuid=40144c46-62d0-4763-ae3b-e811e7793eb3"]}],"mendeley":{"formattedCitation":"(Ibrahim &amp; Ribbers, 2006)","manualFormatting":"Ibrahim and Ribbers (2006 p. 5) ","plainTextFormattedCitation":"(Ibrahim &amp; Ribbers, 2006)","previouslyFormattedCitation":"(Ibrahim &amp; Ribbers,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Ibrahim and Ribbers (2006 p. 5) </w:t>
      </w:r>
      <w:r w:rsidRPr="009672FC">
        <w:rPr>
          <w:rFonts w:ascii="Garamond" w:hAnsi="Garamond"/>
          <w:color w:val="000000"/>
        </w:rPr>
        <w:fldChar w:fldCharType="end"/>
      </w:r>
      <w:r w:rsidRPr="009672FC">
        <w:rPr>
          <w:rFonts w:ascii="Garamond" w:hAnsi="Garamond"/>
          <w:color w:val="000000" w:themeColor="text1"/>
        </w:rPr>
        <w:t xml:space="preserve">describe reliability as “the consistency of expected behaviour and accumulative positive </w:t>
      </w:r>
      <w:r w:rsidRPr="009672FC">
        <w:rPr>
          <w:rFonts w:ascii="Garamond" w:hAnsi="Garamond"/>
          <w:color w:val="000000" w:themeColor="text1"/>
        </w:rPr>
        <w:lastRenderedPageBreak/>
        <w:t xml:space="preserve">interactions between the employees [or other economic actors] at multiple levels that engender the harmonization of the processes between organizations”. Predictability and fairness of a person or organization are related to the reliability trust in the literature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2007)","manualFormatting":"(e.g., 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(e.g., Six, 2007;</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00813D37" w:rsidRPr="009672FC">
        <w:rPr>
          <w:rFonts w:ascii="Garamond" w:hAnsi="Garamond"/>
          <w:color w:val="000000"/>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McEvily, &amp; Perrone, 1998)","manualFormatting":"Zaheer et al., 1998)","plainTextFormattedCitation":"(Zaheer, McEvily, &amp; Perrone, 1998)","previouslyFormattedCitation":"(Zaheer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Zaheer et al., 1998)</w:t>
      </w:r>
      <w:r w:rsidRPr="009672FC">
        <w:rPr>
          <w:rFonts w:ascii="Garamond" w:hAnsi="Garamond"/>
          <w:color w:val="000000"/>
        </w:rPr>
        <w:fldChar w:fldCharType="end"/>
      </w:r>
      <w:r w:rsidRPr="009672FC">
        <w:rPr>
          <w:rFonts w:ascii="Garamond" w:hAnsi="Garamond"/>
          <w:color w:val="000000" w:themeColor="text1"/>
        </w:rPr>
        <w:t xml:space="preserve">. Through reliability, </w:t>
      </w:r>
      <w:r w:rsidRPr="009672FC">
        <w:rPr>
          <w:rFonts w:ascii="Garamond" w:hAnsi="Garamond"/>
        </w:rPr>
        <w:fldChar w:fldCharType="begin" w:fldLock="1"/>
      </w:r>
      <w:r w:rsidRPr="009672FC">
        <w:rPr>
          <w:rFonts w:ascii="Garamond" w:hAnsi="Garamond"/>
          <w:color w:val="000000"/>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1998)","manualFormatting":"Zaheer et al. (1998)","plainTextFormattedCitation":"(Zaheer et al., 1998)","previouslyFormattedCitation":"(Zaheer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Zaheer et al. (1998)</w:t>
      </w:r>
      <w:r w:rsidRPr="009672FC">
        <w:rPr>
          <w:rFonts w:ascii="Garamond" w:hAnsi="Garamond"/>
          <w:color w:val="000000"/>
        </w:rPr>
        <w:fldChar w:fldCharType="end"/>
      </w:r>
      <w:r w:rsidRPr="009672FC">
        <w:rPr>
          <w:rFonts w:ascii="Garamond" w:hAnsi="Garamond"/>
          <w:color w:val="000000" w:themeColor="text1"/>
        </w:rPr>
        <w:t xml:space="preserve"> argue that an actor can be relied on to fulfil obligations, will behave predictably and will act fairly when the possibility for opportunism is present. In an inter-organizational context, reliability may be about meeting production and delivery schedules, minimizing duplications and inefficiencies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&amp; Morreale, 2011)</w:t>
      </w:r>
      <w:r w:rsidRPr="009672FC">
        <w:rPr>
          <w:rFonts w:ascii="Garamond" w:hAnsi="Garamond"/>
          <w:color w:val="000000"/>
        </w:rPr>
        <w:fldChar w:fldCharType="end"/>
      </w:r>
      <w:r w:rsidRPr="009672FC">
        <w:rPr>
          <w:rFonts w:ascii="Garamond" w:hAnsi="Garamond"/>
          <w:color w:val="000000" w:themeColor="text1"/>
        </w:rPr>
        <w:t xml:space="preserve">. Organizations can build a reputation through their consistency in words, policies and actions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(Blomqvist &amp; Ståhle, 2000)</w:t>
      </w:r>
      <w:r w:rsidRPr="009672FC">
        <w:rPr>
          <w:rFonts w:ascii="Garamond" w:hAnsi="Garamond"/>
          <w:color w:val="000000"/>
        </w:rPr>
        <w:fldChar w:fldCharType="end"/>
      </w:r>
      <w:r w:rsidRPr="009672FC">
        <w:rPr>
          <w:rFonts w:ascii="Garamond" w:hAnsi="Garamond"/>
          <w:color w:val="000000" w:themeColor="text1"/>
        </w:rPr>
        <w:t>.</w:t>
      </w:r>
    </w:p>
    <w:p w14:paraId="623B231E" w14:textId="4D53CC88"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Organizations that demonstrate high reliability may be described as learning organizations, adopting continuous learning from numerous errors and mistaken actions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{"citationItems":[{"id":"ITEM-1","itemData":{"DOI":"10.1111/j.1539-6924.2006.00820.x","ISSN":"02724332","abstract":"Workplace trust has been recognized by researchers and practitioners alike to be an important component of an effective safety culture. However, despite this, the concept of trust as it relates to safety has been underresearched, particularly within high-reliability organizations. This article examines the importance of trust relations and their concomitant impact on safety culture within the specific context of high-reliability organizations using relevant literatures. The article then explores the implications of high and low trust situations for safety through case studies conducted within the nuclear and offshore industries as exemplars of organizations operating within high-reliability sectors. © 2006 Society for Risk Analysis.","author":[{"dropping-particle":"","family":"Cox","given":"Sue","non-dropping-particle":"","parse-names":false,"suffix":""},{"dropping-particle":"","family":"Jones","given":"Bethan","non-dropping-particle":"","parse-names":false,"suffix":""},{"dropping-particle":"","family":"Collinson","given":"David","non-dropping-particle":"","parse-names":false,"suffix":""}],"container-title":"Risk Analysis","id":"ITEM-1","issue":"5","issued":{"date-parts":[["2006"]]},"page":"1123-1138","title":"Trust relations in high-reliability organizations","type":"article-journal","volume":"26"},"uris":["http://www.mendeley.com/documents/?uuid=49528cbc-5cce-4e7f-b25d-d68e4f739713"]}],"mendeley":{"formattedCitation":"(Cox, Jones, &amp; Collinson, 2006)","plainTextFormattedCitation":"(Cox, Jones, &amp; Collinson, 2006)","previouslyFormattedCitation":"(Cox et al., 2006)"},"properties":{"noteIndex":0},"schema":"https://github.com/citation-style-language/schema/raw/master/csl-citation.json"}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(Cox, Jones, &amp; Collinson, 2006)</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1998)","manualFormatting":"Doney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argue that in an organizational trust-development process, reliability enables actors to be consistent and predictable and helps minimize opportunistic behaviour. In a study of global inter-organizational systems, </w:t>
      </w:r>
      <w:r w:rsidRPr="009672FC">
        <w:rPr>
          <w:rFonts w:ascii="Garamond" w:hAnsi="Garamond"/>
        </w:rPr>
        <w:fldChar w:fldCharType="begin" w:fldLock="1"/>
      </w:r>
      <w:r w:rsidRPr="009672FC">
        <w:rPr>
          <w:rFonts w:ascii="Garamond" w:hAnsi="Garamond"/>
          <w:color w:val="000000"/>
        </w:rPr>
        <w:instrText>ADDIN CSL_CITATION {"citationItems":[{"id":"ITEM-1","itemData":{"DOI":"10.1109/HICSS.2006.512","ISBN":"0769525075","ISSN":"15301605","abstract":"Previous research has emphasized the importance of dependence and trust on interorganizational systems. This paper focuses on how dependence and trust impact various types of investments in IOS related resources and how these investments produce benefits within a global context. A conceptual model is constructed combining transaction-cost economics, resources-based view, trust and dependence. Four explorative case studies are conducted on interorganizational systems employed within a global context. Dependent organizations are found to conduct the needed investments and to use different types of resources depending on the requirements of the powerful organization. Competence-based trust is found to influence human-based resources and resources that enable domain-knowledge transfer. Reliability-based trust is found to influence human-based resources and resources that enable interlinking processes. Combinations of human-based resources and resources that enable domain-knowledge transfer or business-process linkage are found to produce strategic benefits. The lack of human-based resources is found to produce only operational benefits. © 2006 IEEE.","author":[{"dropping-particle":"","family":"Ibrahim","given":"Mohammed","non-dropping-particle":"","parse-names":false,"suffix":""},{"dropping-particle":"","family":"Ribbers","given":"Pieter","non-dropping-particle":"","parse-names":false,"suffix":""}],"container-title":"Proceedings of the Annual Hawaii International Conference on System Sciences","id":"ITEM-1","issue":"C","issued":{"date-parts":[["2006"]]},"page":"1-8","title":"Trust, dependence and global interorganizational systems","type":"paper-conference","volume":"8"},"uris":["http://www.mendeley.com/documents/?uuid=40144c46-62d0-4763-ae3b-e811e7793eb3"]}],"mendeley":{"formattedCitation":"(Ibrahim &amp; Ribbers, 2006)","manualFormatting":"Ibrahim and Ribbers (2006)","plainTextFormattedCitation":"(Ibrahim &amp; Ribbers, 2006)","previouslyFormattedCitation":"(Ibrahim &amp; Ribbers,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(2006)</w:t>
      </w:r>
      <w:r w:rsidRPr="009672FC">
        <w:rPr>
          <w:rFonts w:ascii="Garamond" w:hAnsi="Garamond"/>
          <w:color w:val="000000"/>
        </w:rPr>
        <w:fldChar w:fldCharType="end"/>
      </w:r>
      <w:r w:rsidRPr="009672FC">
        <w:rPr>
          <w:rFonts w:ascii="Garamond" w:hAnsi="Garamond"/>
          <w:color w:val="000000" w:themeColor="text1"/>
        </w:rPr>
        <w:t xml:space="preserve"> found that reliability promotes high-intensity exchange relationships, enabling the transfer of both skills, experiences, and know-how, as well the business process knowledge. </w:t>
      </w:r>
    </w:p>
    <w:p w14:paraId="405452FE" w14:textId="71558D69"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A reliable organization possesses skills and expertise that make them dependable.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Blomqvist and Ståhle (2000)</w:t>
      </w:r>
      <w:r w:rsidRPr="009672FC">
        <w:rPr>
          <w:rFonts w:ascii="Garamond" w:hAnsi="Garamond"/>
          <w:color w:val="000000"/>
        </w:rPr>
        <w:fldChar w:fldCharType="end"/>
      </w:r>
      <w:r w:rsidRPr="009672FC">
        <w:rPr>
          <w:rFonts w:ascii="Garamond" w:hAnsi="Garamond"/>
          <w:color w:val="000000" w:themeColor="text1"/>
        </w:rPr>
        <w:t xml:space="preserve"> find that reliability in an organization can be manifested in terms of managerial consistency in communication, honesty and keeping promises. In an e-enabled supply chain trust-building, </w:t>
      </w:r>
      <w:r w:rsidRPr="009672FC">
        <w:rPr>
          <w:rFonts w:ascii="Garamond" w:hAnsi="Garamond"/>
        </w:rPr>
        <w:fldChar w:fldCharType="begin" w:fldLock="1"/>
      </w:r>
      <w:r w:rsidRPr="009672FC">
        <w:rPr>
          <w:rFonts w:ascii="Garamond" w:hAnsi="Garamond"/>
          <w:color w:val="000000"/>
        </w:rPr>
        <w:instrText>ADDIN CSL_CITATION {"citationItems":[{"id":"ITEM-1","itemData":{"DOI":"10.1108/13598540310490080","author":[{"dropping-particle":"","family":"Agarwal","given":"Ashish","non-dropping-particle":"","parse-names":false,"suffix":""},{"dropping-particle":"","family":"Shankar","given":"Ravi","non-dropping-particle":"","parse-names":false,"suffix":""}],"container-title":"SupplyChain Management: An International Journal","id":"ITEM-1","issue":"4","issued":{"date-parts":[["2003"]]},"page":"324-334","title":"On-line trust building in e-enabled supply chain","type":"article-journal","volume":"8"},"uris":["http://www.mendeley.com/documents/?uuid=0f11bb13-5370-47c4-8fce-3740c151cfbd"]}],"mendeley":{"formattedCitation":"(Agarwal &amp; Shankar, 2003)","manualFormatting":"Agarwal and Shankar (2003)","plainTextFormattedCitation":"(Agarwal &amp; Shankar, 2003)","previouslyFormattedCitation":"(Agarwal &amp; Shankar,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Agarwal and Shankar (2003)</w:t>
      </w:r>
      <w:r w:rsidRPr="009672FC">
        <w:rPr>
          <w:rFonts w:ascii="Garamond" w:hAnsi="Garamond"/>
          <w:color w:val="000000"/>
        </w:rPr>
        <w:fldChar w:fldCharType="end"/>
      </w:r>
      <w:r w:rsidRPr="009672FC">
        <w:rPr>
          <w:rFonts w:ascii="Garamond" w:hAnsi="Garamond"/>
          <w:color w:val="000000" w:themeColor="text1"/>
        </w:rPr>
        <w:t xml:space="preserve"> find that feedback systems and service failure management are important features of reliability </w:t>
      </w:r>
      <w:r w:rsidR="00813D37" w:rsidRPr="009672FC">
        <w:rPr>
          <w:rFonts w:ascii="Garamond" w:hAnsi="Garamond"/>
          <w:color w:val="000000" w:themeColor="text1"/>
        </w:rPr>
        <w:t>dimension</w:t>
      </w:r>
      <w:r w:rsidRPr="009672FC">
        <w:rPr>
          <w:rFonts w:ascii="Garamond" w:hAnsi="Garamond"/>
          <w:color w:val="000000" w:themeColor="text1"/>
        </w:rPr>
        <w:t xml:space="preserve"> of trust. Stakeholder perception of the organization’s reliability is important for inter-organizational relationship formation and performance </w:t>
      </w:r>
      <w:r w:rsidRPr="009672FC">
        <w:rPr>
          <w:rFonts w:ascii="Garamond" w:hAnsi="Garamond"/>
        </w:rPr>
        <w:fldChar w:fldCharType="begin" w:fldLock="1"/>
      </w:r>
      <w:r w:rsidRPr="009672FC">
        <w:rPr>
          <w:rFonts w:ascii="Garamond" w:hAnsi="Garamond"/>
          <w:color w:val="000000"/>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1998)","plainTextFormattedCitation":"(Zaheer et al., 1998)","previouslyFormattedCitation":"(Zaheer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(Zaheer et al., 1998)</w:t>
      </w:r>
      <w:r w:rsidRPr="009672FC">
        <w:rPr>
          <w:rFonts w:ascii="Garamond" w:hAnsi="Garamond"/>
          <w:color w:val="000000"/>
        </w:rPr>
        <w:fldChar w:fldCharType="end"/>
      </w:r>
      <w:r w:rsidRPr="009672FC">
        <w:rPr>
          <w:rFonts w:ascii="Garamond" w:hAnsi="Garamond"/>
          <w:color w:val="000000" w:themeColor="text1"/>
        </w:rPr>
        <w:t>, knowledge sharing and innovation. Thus, it can be assumed that:</w:t>
      </w:r>
      <w:r w:rsidR="00890FB2" w:rsidRPr="009672FC">
        <w:rPr>
          <w:rFonts w:ascii="Garamond" w:hAnsi="Garamond"/>
          <w:color w:val="000000" w:themeColor="text1"/>
        </w:rPr>
        <w:t xml:space="preserve"> </w:t>
      </w:r>
      <w:r w:rsidRPr="009672FC">
        <w:rPr>
          <w:rFonts w:ascii="Garamond" w:hAnsi="Garamond"/>
          <w:i/>
          <w:iCs/>
          <w:color w:val="000000" w:themeColor="text1"/>
        </w:rPr>
        <w:t>H3a: Trust in institutional reliability is positively related to actors’ 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H3b: Trust in institutional reliability positively relate to relational risk of inter-firm relationship.</w:t>
      </w:r>
    </w:p>
    <w:p w14:paraId="7E00A56C" w14:textId="36E3F1D0"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58" w:name="_Toc85708748"/>
      <w:bookmarkStart w:id="159" w:name="_Toc85709762"/>
      <w:r w:rsidRPr="009672FC">
        <w:rPr>
          <w:rFonts w:ascii="Garamond" w:hAnsi="Garamond" w:cs="Times New Roman"/>
          <w:b/>
          <w:bCs/>
          <w:i/>
          <w:iCs/>
          <w:color w:val="000000" w:themeColor="text1"/>
          <w:sz w:val="24"/>
          <w:szCs w:val="24"/>
        </w:rPr>
        <w:t>Partner Similarity/Identification</w:t>
      </w:r>
      <w:bookmarkEnd w:id="158"/>
      <w:bookmarkEnd w:id="159"/>
    </w:p>
    <w:p w14:paraId="79D7278D" w14:textId="77777777" w:rsidR="003D5DE8" w:rsidRPr="009672FC" w:rsidRDefault="007549AA">
      <w:pPr>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Shockley-Zalabak and Morreale (2011)</w:t>
      </w:r>
      <w:r w:rsidRPr="009672FC">
        <w:rPr>
          <w:rFonts w:ascii="Garamond" w:hAnsi="Garamond"/>
        </w:rPr>
        <w:fldChar w:fldCharType="end"/>
      </w:r>
      <w:r w:rsidRPr="009672FC">
        <w:rPr>
          <w:rFonts w:ascii="Garamond" w:hAnsi="Garamond"/>
          <w:color w:val="000000" w:themeColor="text1"/>
        </w:rPr>
        <w:t xml:space="preserve"> describe an identification dimension of trust in terms of how an individual or an organization identifies itself in connection with the core values of the partnership with an organization.  Identification may also be related to shared values, common </w:t>
      </w:r>
      <w:r w:rsidRPr="009672FC">
        <w:rPr>
          <w:rFonts w:ascii="Garamond" w:hAnsi="Garamond"/>
          <w:color w:val="000000" w:themeColor="text1"/>
        </w:rPr>
        <w:lastRenderedPageBreak/>
        <w:t xml:space="preserve">similarities firms shared or identify within a partnership with another firm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{"citationItems":[{"id":"ITEM-1","itemData":{"author":[{"dropping-particle":"","family":"Sheppard","given":"Blair H","non-dropping-particle":"","parse-names":false,"suffix":""},{"dropping-particle":"","family":"Sherman","given":"Dana M","non-dropping-particle":"","parse-names":false,"suffix":""}],"container-title":"Academy of Management","id":"ITEM-1","issue":"3","issued":{"date-parts":[["1998"]]},"page":"422-437","title":"The Grammars of Trust: A Model and General Implications","type":"article-journal","volume":"23"},"uris":["http://www.mendeley.com/documents/?uuid=ef1852a4-33be-4113-bcb5-def9fb825d64"]}],"mendeley":{"formattedCitation":"(Sheppard &amp; Sherman, 1998b)","manualFormatting":"(Sheppard and Sherman, 1998b;","plainTextFormattedCitation":"(Sheppard &amp; Sherman, 1998b)","previouslyFormattedCitation":"(Sheppard &amp; Sherman, 1998b)"},"properties":{"noteIndex":0},"schema":"https://github.com/citation-style-language/schema/raw/master/csl-citation.json"}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bCs/>
          <w:noProof/>
          <w:color w:val="000000" w:themeColor="text1"/>
        </w:rPr>
        <w:t>(Sheppard and Sherman, 1998b;</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1997)","manualFormatting":"Saxton, 1997)","plainTextFormattedCitation":"(Saxton, 1997)","previouslyFormattedCitation":"(Saxton, 1997)"},"properties":{"noteIndex":0},"schema":"https://github.com/citation-style-language/schema/raw/master/csl-citation.json"}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Saxton, 1997)</w:t>
      </w:r>
      <w:r w:rsidRPr="009672FC">
        <w:rPr>
          <w:rFonts w:ascii="Garamond" w:hAnsi="Garamond"/>
          <w:color w:val="000000"/>
        </w:rPr>
        <w:fldChar w:fldCharType="end"/>
      </w:r>
      <w:r w:rsidRPr="009672FC">
        <w:rPr>
          <w:rFonts w:ascii="Garamond" w:hAnsi="Garamond"/>
          <w:color w:val="000000" w:themeColor="text1"/>
        </w:rPr>
        <w:t xml:space="preserve"> or a symbol that represents the competence and integrity of actors </w:t>
      </w:r>
      <w:r w:rsidRPr="009672FC">
        <w:rPr>
          <w:rFonts w:ascii="Garamond" w:hAnsi="Garamond"/>
        </w:rPr>
        <w:fldChar w:fldCharType="begin" w:fldLock="1"/>
      </w:r>
      <w:r w:rsidRPr="009672FC">
        <w:rPr>
          <w:rFonts w:ascii="Garamond" w:hAnsi="Garamond"/>
          <w:color w:val="000000"/>
        </w:rPr>
        <w:instrText>ADDIN CSL_CITATION {"citationItems":[{"id":"ITEM-1","itemData":{"DOI":"10.1093/sf/63.4.967","ISSN":"15347605","abstract":"Although trust is an underdeveloped concept in sociology, promising theoretical formulations are available in the recent work of Luhmann and Barber. This sociological version complements the psychological and attitudinal conceptualizations of experimental and survey researchers. Trust is seen to include both emotional and cognitive dimensions and to function as a deep assumption underwriting social order. Contemporary examples such as lying, family exchange, monetary attitudes, and litigation illustrate the centrality of trust as a sociological reality. © 1985, The University of North Carolina Press.","author":[{"dropping-particle":"","family":"Lewis","given":"J. David","non-dropping-particle":"","parse-names":false,"suffix":""},{"dropping-particle":"","family":"Weigert","given":"Andrew","non-dropping-particle":"","parse-names":false,"suffix":""}],"container-title":"Social Forces","id":"ITEM-1","issue":"4","issued":{"date-parts":[["1985"]]},"page":"967-985","title":"Trust as a social reality","type":"article-journal","volume":"63"},"uris":["http://www.mendeley.com/documents/?uuid=ce1bdc8a-ac5f-4dd5-89c9-3831fa2d5f86"]}],"mendeley":{"formattedCitation":"(Lewis &amp; Weigert, 1985)","manualFormatting":"(Lewis and Weigert, 1985)","plainTextFormattedCitation":"(Lewis &amp; Weigert, 1985)","previouslyFormattedCitation":"(Lewis &amp; Weigert, 1985)"},"properties":{"noteIndex":0},"schema":"https://github.com/citation-style-language/schema/raw/master/csl-citation.json"}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(Lewis and Weigert, 1985)</w:t>
      </w:r>
      <w:r w:rsidRPr="009672FC">
        <w:rPr>
          <w:rFonts w:ascii="Garamond" w:hAnsi="Garamond"/>
          <w:color w:val="000000"/>
        </w:rPr>
        <w:fldChar w:fldCharType="end"/>
      </w:r>
      <w:r w:rsidRPr="009672FC">
        <w:rPr>
          <w:rFonts w:ascii="Garamond" w:hAnsi="Garamond"/>
          <w:color w:val="000000" w:themeColor="text1"/>
        </w:rPr>
        <w:t xml:space="preserve">. Kroeger (2012) argues that organizations’ build on their reputation by identifying themselves with the ideology or image of successful and reputable partners. In such a case, partners seek to further deepen their ties by creating common strategizes, shared identity, and incentives. These firms may negotiate common values that further advance the collective interest in terms of similar internalized views, beliefs, and values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{"citationItems":[{"id":"ITEM-1","itemData":{"author":[{"dropping-particle":"","family":"Sheppard","given":"Blair H","non-dropping-particle":"","parse-names":false,"suffix":""},{"dropping-particle":"","family":"Sherman","given":"Dana M","non-dropping-particle":"","parse-names":false,"suffix":""}],"container-title":"Academy of Management","id":"ITEM-1","issue":"3","issued":{"date-parts":[["1998"]]},"page":"422-437","title":"The Grammars of Trust: A Model and General Implications","type":"article-journal","volume":"23"},"uris":["http://www.mendeley.com/documents/?uuid=ef1852a4-33be-4113-bcb5-def9fb825d64"]}],"mendeley":{"formattedCitation":"(Sheppard &amp; Sherman, 1998b)","plainTextFormattedCitation":"(Sheppard &amp; Sherman, 1998b)","previouslyFormattedCitation":"(Sheppard &amp; Sherman, 1998b)"},"properties":{"noteIndex":0},"schema":"https://github.com/citation-style-language/schema/raw/master/csl-citation.json"}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(Sheppard &amp; Sherman, 1998b)</w:t>
      </w:r>
      <w:r w:rsidRPr="009672FC">
        <w:rPr>
          <w:rFonts w:ascii="Garamond" w:hAnsi="Garamond"/>
          <w:color w:val="000000"/>
        </w:rPr>
        <w:fldChar w:fldCharType="end"/>
      </w:r>
      <w:r w:rsidRPr="009672FC">
        <w:rPr>
          <w:rFonts w:ascii="Garamond" w:hAnsi="Garamond"/>
          <w:color w:val="000000" w:themeColor="text1"/>
        </w:rPr>
        <w:t xml:space="preserve">. </w:t>
      </w:r>
    </w:p>
    <w:p w14:paraId="5AE9D4B3" w14:textId="5C395DED" w:rsidR="003D5DE8" w:rsidRDefault="007549AA" w:rsidP="00890FB2">
      <w:pPr>
        <w:spacing w:before="240" w:line="360" w:lineRule="auto"/>
        <w:jc w:val="both"/>
        <w:rPr>
          <w:rFonts w:ascii="Garamond" w:hAnsi="Garamond"/>
          <w:i/>
          <w:iCs/>
          <w:color w:val="000000" w:themeColor="text1"/>
        </w:rPr>
      </w:pPr>
      <w:r w:rsidRPr="009672FC">
        <w:rPr>
          <w:rFonts w:ascii="Garamond" w:hAnsi="Garamond"/>
          <w:color w:val="000000" w:themeColor="text1"/>
        </w:rPr>
        <w:t xml:space="preserve">Kroeger (2012) suggests that institutionalizing common identity promote interaction and collective effort to preserve and promote collective reputation, which </w:t>
      </w:r>
      <w:proofErr w:type="spellStart"/>
      <w:r w:rsidRPr="009672FC">
        <w:rPr>
          <w:rFonts w:ascii="Garamond" w:hAnsi="Garamond"/>
          <w:color w:val="000000" w:themeColor="text1"/>
        </w:rPr>
        <w:t>favours</w:t>
      </w:r>
      <w:proofErr w:type="spellEnd"/>
      <w:r w:rsidRPr="009672FC">
        <w:rPr>
          <w:rFonts w:ascii="Garamond" w:hAnsi="Garamond"/>
          <w:color w:val="000000" w:themeColor="text1"/>
        </w:rPr>
        <w:t xml:space="preserve"> the exchange of best practices and information. Similarly, firms’ similarity relates to the identification dimension of trust and </w:t>
      </w:r>
      <w:r w:rsidR="002663FA" w:rsidRPr="009672FC">
        <w:rPr>
          <w:rFonts w:ascii="Garamond" w:hAnsi="Garamond"/>
          <w:color w:val="000000" w:themeColor="text1"/>
        </w:rPr>
        <w:t xml:space="preserve">is </w:t>
      </w:r>
      <w:r w:rsidRPr="009672FC">
        <w:rPr>
          <w:rFonts w:ascii="Garamond" w:hAnsi="Garamond"/>
          <w:color w:val="000000" w:themeColor="text1"/>
        </w:rPr>
        <w:t xml:space="preserve">used by scholars to measure the degree of “cultural and processual differences between partners” </w:t>
      </w:r>
      <w:r w:rsidRPr="009672FC">
        <w:rPr>
          <w:rFonts w:ascii="Garamond" w:hAnsi="Garamond"/>
        </w:rPr>
        <w:fldChar w:fldCharType="begin" w:fldLock="1"/>
      </w:r>
      <w:r w:rsidR="00813D37" w:rsidRPr="009672FC">
        <w:rPr>
          <w:rFonts w:ascii="Garamond" w:hAnsi="Garamond"/>
          <w:color w:val="000000"/>
        </w:rPr>
        <w:instrText>ADDIN CSL_CITATION {"citationItems":[{"id":"ITEM-1","itemData":{"DOI":"10.1016/j.jbusres.2005.09.001","ISSN":"01482963","abstract":"Coercive strategy is an influential conflict resolution technique in interfirm cooperation. This paper examines how the use of coercive strategy is affected by partner and relationship characteristics (specifically firm similarity, partner reputation, and asset specificity), and how these relationships are mediated by trust. We test our hypotheses with a cross-sectional sample of 228 cooperative relationships between architects and contractors in Hong Kong. Measures of both interpersonal and interorganizational trust are included. The findings highlight the critical role played by trust as a full mediator in the relationships of firm similarity and partner reputation with coercive strategy. Asset specificity, in contrast, has a direct and positive effect on coercive strategy that is unrelated to the level of interpersonal trust. © 2005 Elsevier Inc. All rights reserved.","author":[{"dropping-particle":"","family":"Lui","given":"Steven S.","non-dropping-particle":"","parse-names":false,"suffix":""},{"dropping-particle":"","family":"Ngo","given":"Hang Yue","non-dropping-particle":"","parse-names":false,"suffix":""},{"dropping-particle":"","family":"Hon","given":"Alice H.Y.","non-dropping-particle":"","parse-names":false,"suffix":""}],"container-title":"Journal of Business Research","id":"ITEM-1","issue":"4","issued":{"date-parts":[["2006"]]},"page":"466-474","title":"Coercive strategy in interfirm cooperation: Mediating roles of interpersonal and interorganizational trust","type":"article-journal","volume":"59"},"uris":["http://www.mendeley.com/documents/?uuid=82bf53b3-1fdd-4c0d-97cf-3b2471d63119"]}],"mendeley":{"formattedCitation":"(Lui, Ngo, &amp; Hon, 2006)","manualFormatting":"(Lui et al., 2006,","plainTextFormattedCitation":"(Lui, Ngo, &amp; Hon, 2006)","previouslyFormattedCitation":"(Lui et al.,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(Lui et al., 2006,</w:t>
      </w:r>
      <w:r w:rsidRPr="009672FC">
        <w:rPr>
          <w:rFonts w:ascii="Garamond" w:hAnsi="Garamond"/>
          <w:color w:val="000000"/>
        </w:rPr>
        <w:fldChar w:fldCharType="end"/>
      </w:r>
      <w:r w:rsidRPr="009672FC">
        <w:rPr>
          <w:rFonts w:ascii="Garamond" w:hAnsi="Garamond"/>
          <w:color w:val="000000" w:themeColor="text1"/>
        </w:rPr>
        <w:t xml:space="preserve"> p. 468).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1997)","manualFormatting":"Saxton (1997)","plainTextFormattedCitation":"(Saxton, 1997)","previouslyFormattedCitation":"(Saxton, 1997)"},"properties":{"noteIndex":0},"schema":"https://github.com/citation-style-language/schema/raw/master/csl-citation.json"}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Saxton (1997)</w:t>
      </w:r>
      <w:r w:rsidRPr="009672FC">
        <w:rPr>
          <w:rFonts w:ascii="Garamond" w:hAnsi="Garamond"/>
          <w:color w:val="000000"/>
        </w:rPr>
        <w:fldChar w:fldCharType="end"/>
      </w:r>
      <w:r w:rsidRPr="009672FC">
        <w:rPr>
          <w:rFonts w:ascii="Garamond" w:hAnsi="Garamond"/>
          <w:color w:val="000000" w:themeColor="text1"/>
        </w:rPr>
        <w:t xml:space="preserve"> argues that a high degree of similarity between partner organizations establishes a good organizational fit, enabling high appreciation and easier knowledge exchange between them. The knowledge-based interfirm relationships may rely on firm similarity connections for the exchanges of ideas, </w:t>
      </w:r>
      <w:proofErr w:type="gramStart"/>
      <w:r w:rsidRPr="009672FC">
        <w:rPr>
          <w:rFonts w:ascii="Garamond" w:hAnsi="Garamond"/>
          <w:color w:val="000000" w:themeColor="text1"/>
        </w:rPr>
        <w:t>knowledge</w:t>
      </w:r>
      <w:proofErr w:type="gramEnd"/>
      <w:r w:rsidRPr="009672FC">
        <w:rPr>
          <w:rFonts w:ascii="Garamond" w:hAnsi="Garamond"/>
          <w:color w:val="000000" w:themeColor="text1"/>
        </w:rPr>
        <w:t xml:space="preserve"> and information for mutual goals. Under that situation,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{"citationItems":[{"id":"ITEM-1","itemData":{"author":[{"dropping-particle":"","family":"Bhattacharya","given":"Rajeev","non-dropping-particle":"","parse-names":false,"suffix":""},{"dropping-particle":"","family":"Devinney","given":"Timothy M.","non-dropping-particle":"","parse-names":false,"suffix":""},{"dropping-particle":"","family":"Pillutla","given":"Madan M.","non-dropping-particle":"","parse-names":false,"suffix":""}],"container-title":"Academy of Management Review","id":"ITEM-1","issue":"3","issued":{"date-parts":[["1998"]]},"page":"459-472","title":"A Formal Model of Trust Based on Outcomes","type":"article-journal","volume":"23"},"uris":["http://www.mendeley.com/documents/?uuid=f54475f1-1222-4a52-b88e-4485004af04f"]}],"mendeley":{"formattedCitation":"(Bhattacharya et al., 1998)","manualFormatting":"Bhattacharya et al. (1998)","plainTextFormattedCitation":"(Bhattacharya et al., 1998)","previouslyFormattedCitation":"(Bhattacharya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Bhattacharya et al. (1998)</w:t>
      </w:r>
      <w:r w:rsidRPr="009672FC">
        <w:rPr>
          <w:rFonts w:ascii="Garamond" w:hAnsi="Garamond"/>
          <w:color w:val="000000"/>
        </w:rPr>
        <w:fldChar w:fldCharType="end"/>
      </w:r>
      <w:r w:rsidRPr="009672FC">
        <w:rPr>
          <w:rFonts w:ascii="Garamond" w:hAnsi="Garamond"/>
          <w:color w:val="000000" w:themeColor="text1"/>
        </w:rPr>
        <w:t xml:space="preserve"> argue that similar incentive-alignment mechanisms can be created between organizations to regulate inter-organizational transactions, a common phenomenon in the contractual arrangement used by joint venture partners. </w:t>
      </w:r>
      <w:r w:rsidRPr="009672FC">
        <w:rPr>
          <w:rFonts w:ascii="Garamond" w:hAnsi="Garamond"/>
        </w:rPr>
        <w:fldChar w:fldCharType="begin" w:fldLock="1"/>
      </w:r>
      <w:r w:rsidRPr="009672FC">
        <w:rPr>
          <w:rFonts w:ascii="Garamond" w:hAnsi="Garamond"/>
          <w:color w:val="000000"/>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Bachmann and Inkpen (2011)</w:t>
      </w:r>
      <w:r w:rsidRPr="009672FC">
        <w:rPr>
          <w:rFonts w:ascii="Garamond" w:hAnsi="Garamond"/>
          <w:color w:val="000000"/>
        </w:rPr>
        <w:fldChar w:fldCharType="end"/>
      </w:r>
      <w:r w:rsidRPr="009672FC">
        <w:rPr>
          <w:rFonts w:ascii="Garamond" w:hAnsi="Garamond"/>
          <w:color w:val="000000" w:themeColor="text1"/>
        </w:rPr>
        <w:t xml:space="preserve"> recognized this institutional alignment as a source of the institutionalized-trust building process and innovation practice. Such practices include developing a community norm, strategy and procedure and cultural integration or alignment of common interest to foster mutual commitment that is relevant in trust-building mechanisms in an inter-organizational relationship (</w:t>
      </w:r>
      <w:r w:rsidRPr="009672FC">
        <w:rPr>
          <w:rFonts w:ascii="Garamond" w:hAnsi="Garamond"/>
        </w:rPr>
        <w:fldChar w:fldCharType="begin" w:fldLock="1"/>
      </w:r>
      <w:r w:rsidRPr="009672FC">
        <w:rPr>
          <w:rFonts w:ascii="Garamond" w:hAnsi="Garamond"/>
          <w:color w:val="000000"/>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Bachmann and Inkpen, 2011)</w:t>
      </w:r>
      <w:r w:rsidRPr="009672FC">
        <w:rPr>
          <w:rFonts w:ascii="Garamond" w:hAnsi="Garamond"/>
          <w:color w:val="000000"/>
        </w:rPr>
        <w:fldChar w:fldCharType="end"/>
      </w:r>
      <w:r w:rsidRPr="009672FC">
        <w:rPr>
          <w:rFonts w:ascii="Garamond" w:hAnsi="Garamond"/>
          <w:color w:val="000000" w:themeColor="text1"/>
        </w:rPr>
        <w:t xml:space="preserve">. Thus, adopting similar industry codes of conduct may enhance trust especially when rewards or punishments are sufficient to influence partners’ </w:t>
      </w:r>
      <w:proofErr w:type="spellStart"/>
      <w:r w:rsidRPr="009672FC">
        <w:rPr>
          <w:rFonts w:ascii="Garamond" w:hAnsi="Garamond"/>
          <w:color w:val="000000" w:themeColor="text1"/>
        </w:rPr>
        <w:t>behaviours</w:t>
      </w:r>
      <w:proofErr w:type="spellEnd"/>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{"citationItems":[{"id":"ITEM-1","itemData":{"author":[{"dropping-particle":"","family":"Bhattacharya","given":"Rajeev","non-dropping-particle":"","parse-names":false,"suffix":""},{"dropping-particle":"","family":"Devinney","given":"Timothy M.","non-dropping-particle":"","parse-names":false,"suffix":""},{"dropping-particle":"","family":"Pillutla","given":"Madan M.","non-dropping-particle":"","parse-names":false,"suffix":""}],"container-title":"Academy of Management Review","id":"ITEM-1","issue":"3","issued":{"date-parts":[["1998"]]},"page":"459-472","title":"A Formal Model of Trust Based on Outcomes","type":"article-journal","volume":"23"},"uris":["http://www.mendeley.com/documents/?uuid=f54475f1-1222-4a52-b88e-4485004af04f"]}],"mendeley":{"formattedCitation":"(Bhattacharya et al., 1998)","plainTextFormattedCitation":"(Bhattacharya et al., 1998)","previouslyFormattedCitation":"(Bhattacharya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(Bhattacharya et al., 1998)</w:t>
      </w:r>
      <w:r w:rsidRPr="009672FC">
        <w:rPr>
          <w:rFonts w:ascii="Garamond" w:hAnsi="Garamond"/>
          <w:color w:val="000000"/>
        </w:rPr>
        <w:fldChar w:fldCharType="end"/>
      </w:r>
      <w:r w:rsidRPr="009672FC">
        <w:rPr>
          <w:rFonts w:ascii="Garamond" w:hAnsi="Garamond"/>
          <w:color w:val="000000" w:themeColor="text1"/>
        </w:rPr>
        <w:t>. This practice may minimize opportunistic behaviour and improve innovation performance. Accordingly, it is hypothesized that</w:t>
      </w:r>
      <w:r w:rsidR="00890FB2" w:rsidRPr="009672FC">
        <w:rPr>
          <w:rFonts w:ascii="Garamond" w:hAnsi="Garamond"/>
          <w:color w:val="000000" w:themeColor="text1"/>
        </w:rPr>
        <w:t xml:space="preserve"> </w:t>
      </w:r>
      <w:r w:rsidRPr="009672FC">
        <w:rPr>
          <w:rFonts w:ascii="Garamond" w:hAnsi="Garamond"/>
          <w:i/>
          <w:iCs/>
          <w:color w:val="000000" w:themeColor="text1"/>
        </w:rPr>
        <w:t>H4a: Trust in institutional similarity/shared identity with the alliance partner(s) is positively related to actors’ 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H4b: Trust in institutional similarity/shared identity with the alliance partner(s) is positively related to the relational risk of inter-firm relationships.</w:t>
      </w:r>
    </w:p>
    <w:p w14:paraId="1FD5382C" w14:textId="77777777" w:rsidR="00F377A4" w:rsidRPr="009672FC" w:rsidRDefault="00F377A4" w:rsidP="00890FB2">
      <w:pPr>
        <w:spacing w:before="240" w:line="360" w:lineRule="auto"/>
        <w:jc w:val="both"/>
        <w:rPr>
          <w:rFonts w:ascii="Garamond" w:hAnsi="Garamond"/>
          <w:color w:val="000000" w:themeColor="text1"/>
        </w:rPr>
      </w:pPr>
    </w:p>
    <w:p w14:paraId="5791D07C" w14:textId="784A46F6"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60" w:name="_Toc85708749"/>
      <w:bookmarkStart w:id="161" w:name="_Toc85709763"/>
      <w:r w:rsidRPr="009672FC">
        <w:rPr>
          <w:rFonts w:ascii="Garamond" w:hAnsi="Garamond" w:cs="Times New Roman"/>
          <w:b/>
          <w:bCs/>
          <w:i/>
          <w:iCs/>
          <w:color w:val="000000" w:themeColor="text1"/>
          <w:sz w:val="24"/>
          <w:szCs w:val="24"/>
        </w:rPr>
        <w:lastRenderedPageBreak/>
        <w:t xml:space="preserve">The Mediating </w:t>
      </w:r>
      <w:r w:rsidR="00F377A4">
        <w:rPr>
          <w:rFonts w:ascii="Garamond" w:hAnsi="Garamond" w:cs="Times New Roman"/>
          <w:b/>
          <w:bCs/>
          <w:i/>
          <w:iCs/>
          <w:color w:val="000000" w:themeColor="text1"/>
          <w:sz w:val="24"/>
          <w:szCs w:val="24"/>
        </w:rPr>
        <w:t>Effects</w:t>
      </w:r>
      <w:r w:rsidRPr="009672FC">
        <w:rPr>
          <w:rFonts w:ascii="Garamond" w:hAnsi="Garamond" w:cs="Times New Roman"/>
          <w:b/>
          <w:bCs/>
          <w:i/>
          <w:iCs/>
          <w:color w:val="000000" w:themeColor="text1"/>
          <w:sz w:val="24"/>
          <w:szCs w:val="24"/>
        </w:rPr>
        <w:t xml:space="preserve"> of Relational Risk on Actors’ Innovation Performance</w:t>
      </w:r>
      <w:bookmarkEnd w:id="160"/>
      <w:bookmarkEnd w:id="161"/>
    </w:p>
    <w:p w14:paraId="0FF80FBF" w14:textId="77777777"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While this study focuses on institution-based trust-building in the context of inter-firm buyer-seller relationships, it is useful to consider risks in the trust-building process. For example, </w:t>
      </w:r>
      <w:r w:rsidRPr="009672FC">
        <w:rPr>
          <w:rFonts w:ascii="Garamond" w:hAnsi="Garamond"/>
        </w:rPr>
        <w:fldChar w:fldCharType="begin" w:fldLock="1"/>
      </w:r>
      <w:r w:rsidRPr="009672FC">
        <w:rPr>
          <w:rFonts w:ascii="Garamond" w:hAnsi="Garamond"/>
          <w:color w:val="000000"/>
        </w:rPr>
        <w:instrText>ADDIN CSL_CITATION {"citationItems":[{"id":"ITEM-1","itemData":{"abstract":"Increasingly, researchers from a variety of business disciplines are finding that trust can lower transaction costs, facilitate interorganizational relationships, and enhance manager-subordinate relationships. At the same time, we see a growing trend toward globalization-in establishing alliances, managing and hiring employees, and enter- ing new markets. These trends suggest a need to view the concept of trust from the perspective of national culture. Drawing on theories from several disciplines, we develop a framework that identifies and describes five cognitive trust-building pro- cesses that help explain how trust develops in business contexts. We include a series of research propositions demonstrating how societal norms and values influence application of the trust-building processes, and we discuss implications for theory and practice. Trust","author":[{"dropping-particle":"","family":"Doney","given":"Patricia M","non-dropping-particle":"","parse-names":false,"suffix":""},{"dropping-particle":"","family":"Cannon","given":"J.P.","non-dropping-particle":"","parse-names":false,"suffix":""},{"dropping-particle":"","family":"Mullen","given":"M.R.","non-dropping-particle":"","parse-names":false,"suffix":""}],"container-title":"Academy of Management Review","id":"ITEM-1","issue":"3","issued":{"date-parts":[["1998"]]},"page":"601-620","title":"Understanding the Influence of National Culture on the Development of Trust","type":"article-journal","volume":"23"},"uris":["http://www.mendeley.com/documents/?uuid=d0656389-d9db-4640-a7ee-215680ff28a7"]}],"mendeley":{"formattedCitation":"(Doney et al., 1998)","manualFormatting":"Doney et al. (1998)","plainTextFormattedCitation":"(Doney et al., 1998)","previouslyFormattedCitation":"(Doney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Doney et al. (1998)</w:t>
      </w:r>
      <w:r w:rsidRPr="009672FC">
        <w:rPr>
          <w:rFonts w:ascii="Garamond" w:hAnsi="Garamond"/>
          <w:color w:val="000000"/>
        </w:rPr>
        <w:fldChar w:fldCharType="end"/>
      </w:r>
      <w:r w:rsidRPr="009672FC">
        <w:rPr>
          <w:rFonts w:ascii="Garamond" w:hAnsi="Garamond"/>
          <w:color w:val="000000" w:themeColor="text1"/>
        </w:rPr>
        <w:t xml:space="preserve"> find that trust-building processes involves vulnerability and/or uncertainty about the desired outcomes.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{"citationItems":[{"id":"ITEM-1","itemData":{"author":[{"dropping-particle":"","family":"Williamson","given":"Oliver E.","non-dropping-particle":"","parse-names":false,"suffix":""}],"container-title":"Journal of Law &amp; Economics","id":"ITEM-1","issue":"August","issued":{"date-parts":[["1993"]]},"page":"117-125","title":"Calculativeness, Trust, and Economic Organization*","type":"article-journal","volume":"1"},"uris":["http://www.mendeley.com/documents/?uuid=093a9007-2749-45da-ac54-50b71dfdc2dc"]}],"mendeley":{"formattedCitation":"(Williamson, 1993)","manualFormatting":"Williamson (1993)","plainTextFormattedCitation":"(Williamson, 1993)","previouslyFormattedCitation":"(Williamson, 1993)"},"properties":{"noteIndex":0},"schema":"https://github.com/citation-style-language/schema/raw/master/csl-citation.json"}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Williamson (1993)</w:t>
      </w:r>
      <w:r w:rsidRPr="009672FC">
        <w:rPr>
          <w:rFonts w:ascii="Garamond" w:hAnsi="Garamond"/>
          <w:color w:val="000000"/>
        </w:rPr>
        <w:fldChar w:fldCharType="end"/>
      </w:r>
      <w:r w:rsidRPr="009672FC">
        <w:rPr>
          <w:rFonts w:ascii="Garamond" w:hAnsi="Garamond"/>
          <w:color w:val="000000" w:themeColor="text1"/>
        </w:rPr>
        <w:t xml:space="preserve"> illustrates “calculative trust” in terms of an individual’s willingness to rely on another person’s vulnerability. However, not only does the risk of individual opportunism and bounded rationality affect interfirm relational performance but institutional and the economic environment are potential sources of vulnerabilities in interfirm relationships </w:t>
      </w:r>
      <w:r w:rsidRPr="009672FC">
        <w:rPr>
          <w:rFonts w:ascii="Garamond" w:hAnsi="Garamond"/>
        </w:rPr>
        <w:fldChar w:fldCharType="begin" w:fldLock="1"/>
      </w:r>
      <w:r w:rsidRPr="009672FC">
        <w:rPr>
          <w:rFonts w:ascii="Garamond" w:hAnsi="Garamond"/>
          <w:color w:val="000000"/>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(Kroeger, 2012;</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Bachmann and Inkpen, 2011;</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{"citationItems":[{"id":"ITEM-1","itemData":{"DOI":"10.4337/9781847202819","ISBN":"9781843767541","abstract":"This Handbook helps scholars account for more nuances and complications of the phenomenon of trust. But it is also a firm, intelligent reminder not to mutilate the phenomenon while crafting those accounts. © Reinhard Bachmann and Akbar Zaheer 2006. All rights reserved.","author":[{"dropping-particle":"","family":"Ven","given":"Andrew H.","non-dropping-particle":"Van de","parse-names":false,"suffix":""},{"dropping-particle":"","family":"Ring","given":"Peter Smith","non-dropping-particle":"","parse-names":false,"suffix":""}],"container-title":"Handbook Of Trust Research","id":"ITEM-1","issue":"forthcoming","issued":{"date-parts":[["2006"]]},"page":"1-422","title":"Handbook Of trust research","type":"chapter","volume":"3000"},"uris":["http://www.mendeley.com/documents/?uuid=f0b0accc-4c55-46e3-81e5-2f28e81b66e6"]}],"mendeley":{"formattedCitation":"(Van de Ven &amp; Ring, 2006)","manualFormatting":" Van de Ven and Ring, 2006)","plainTextFormattedCitation":"(Van de Ven &amp; Ring, 2006)","previouslyFormattedCitation":"(Van de Ven &amp; Ring,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Van de Ven and Ring, 2006)</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and Teng (2001)</w:t>
      </w:r>
      <w:r w:rsidRPr="009672FC">
        <w:rPr>
          <w:rFonts w:ascii="Garamond" w:hAnsi="Garamond"/>
          <w:color w:val="000000"/>
        </w:rPr>
        <w:fldChar w:fldCharType="end"/>
      </w:r>
      <w:r w:rsidRPr="009672FC">
        <w:rPr>
          <w:rFonts w:ascii="Garamond" w:hAnsi="Garamond"/>
          <w:color w:val="000000" w:themeColor="text1"/>
        </w:rPr>
        <w:t xml:space="preserve"> find two forms of risk-reducing mechanisms in alliances, namely, (1) relational risk, and (2) performance risk. Following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and Teng (2001)</w:t>
      </w:r>
      <w:r w:rsidRPr="009672FC">
        <w:rPr>
          <w:rFonts w:ascii="Garamond" w:hAnsi="Garamond"/>
          <w:color w:val="000000"/>
        </w:rPr>
        <w:fldChar w:fldCharType="end"/>
      </w:r>
      <w:r w:rsidRPr="009672FC">
        <w:rPr>
          <w:rFonts w:ascii="Garamond" w:hAnsi="Garamond"/>
          <w:color w:val="000000" w:themeColor="text1"/>
        </w:rPr>
        <w:t xml:space="preserve">, in an alliance context, there is a risk of partners not cooperating in good faith (relational risk) as well as the usual risks of “unsatisfactory business performance” (performance risk) on the part of the business partner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2001)","manualFormatting":"(p. 253)","plainTextFormattedCitation":"(Das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 253)</w:t>
      </w:r>
      <w:r w:rsidRPr="009672FC">
        <w:rPr>
          <w:rFonts w:ascii="Garamond" w:hAnsi="Garamond"/>
          <w:color w:val="000000"/>
        </w:rPr>
        <w:fldChar w:fldCharType="end"/>
      </w:r>
      <w:r w:rsidRPr="009672FC">
        <w:rPr>
          <w:rFonts w:ascii="Garamond" w:hAnsi="Garamond"/>
          <w:color w:val="000000" w:themeColor="text1"/>
        </w:rPr>
        <w:t xml:space="preserve">. </w:t>
      </w:r>
    </w:p>
    <w:p w14:paraId="1A90A04E" w14:textId="7777777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Relational risk is a result of the partner not satisfactorily cooperating as anticipated in the business relationship often dubbed as opportunistic behaviour. This risk may be exemplified in the form of shirking, cheating, distorting information, appropriating resources, etc.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&amp; Teng, 2001)</w:t>
      </w:r>
      <w:r w:rsidRPr="009672FC">
        <w:rPr>
          <w:rFonts w:ascii="Garamond" w:hAnsi="Garamond"/>
          <w:color w:val="000000"/>
        </w:rPr>
        <w:fldChar w:fldCharType="end"/>
      </w:r>
      <w:r w:rsidRPr="009672FC">
        <w:rPr>
          <w:rFonts w:ascii="Garamond" w:hAnsi="Garamond"/>
          <w:color w:val="000000" w:themeColor="text1"/>
        </w:rPr>
        <w:t xml:space="preserve">. Such private interests of partners could cause high susceptibility in inter-firm relationships. However, in an online B2B trust-building, </w:t>
      </w:r>
      <w:r w:rsidRPr="009672FC">
        <w:rPr>
          <w:rFonts w:ascii="Garamond" w:hAnsi="Garamond"/>
        </w:rPr>
        <w:fldChar w:fldCharType="begin" w:fldLock="1"/>
      </w:r>
      <w:r w:rsidRPr="009672FC">
        <w:rPr>
          <w:rFonts w:ascii="Garamond" w:hAnsi="Garamond"/>
          <w:color w:val="000000"/>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2002)","manualFormatting":"Pavlou (2002)","plainTextFormattedCitation":"(Paul A Pavlou, 2002)","previouslyFormattedCitation":"(Paul A Pavlou, 2002)"},"properties":{"noteIndex":0},"schema":"https://github.com/citation-style-language/schema/raw/master/csl-citation.json"}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Pavlou (2002)</w:t>
      </w:r>
      <w:r w:rsidRPr="009672FC">
        <w:rPr>
          <w:rFonts w:ascii="Garamond" w:hAnsi="Garamond"/>
          <w:color w:val="000000"/>
        </w:rPr>
        <w:fldChar w:fldCharType="end"/>
      </w:r>
      <w:r w:rsidRPr="009672FC">
        <w:rPr>
          <w:rFonts w:ascii="Garamond" w:hAnsi="Garamond"/>
          <w:color w:val="000000" w:themeColor="text1"/>
        </w:rPr>
        <w:t xml:space="preserve"> finds that perceived relational risk has no significant indirect effect on institution-based trust. While many studies examine perceived risk in the context of online and e-commerce context (e.g.,</w:t>
      </w:r>
      <w:r w:rsidRPr="009672FC">
        <w:rPr>
          <w:rFonts w:ascii="Garamond" w:hAnsi="Garamond"/>
        </w:rPr>
        <w:fldChar w:fldCharType="begin" w:fldLock="1"/>
      </w:r>
      <w:r w:rsidRPr="009672FC">
        <w:rPr>
          <w:rFonts w:ascii="Garamond" w:hAnsi="Garamond"/>
          <w:color w:val="000000"/>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 Pavlou, 2002; ","plainTextFormattedCitation":"(Paul A Pavlou, 2002)","previouslyFormattedCitation":"(Paul A Pavlou, 2002)"},"properties":{"noteIndex":0},"schema":"https://github.com/citation-style-language/schema/raw/master/csl-citation.json"}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Pavlou, 2002; </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{"citationItems":[{"id":"ITEM-1","itemData":{"DOI":"10.1109/HICSS.2003.1174574","ISBN":"0769518745","abstract":"Given the uncertainty of the online environment, institutional trust is fundamental in building and retaining online interorganizational relationships. The authors propose two types of institutional trust (a) third-party institution-based trust, which deals with intermediary driven structures, such as those in online B2B marketplaces, and (b) bilateral institutionalized trust, which deals with dyadic interorganizational processes, standards, and norms. We examine how institutional trust develops through their underlying dimensions (i) structural assurances, (ii) facilitating conditions, and (in) situational normality to engender trust and influence relationship continuity. This study focuses on the time-dependent nature of institutional trust from the exploratory to the maturity phase by describing (a) the role of bilateral relative to third-party institutional trust on buyer-supplier trust, and (b) the transition of the three underlying institutional dimensions on trust over the relationship's life cycle. This research has implications for (I) the longitudinal role of institutional trust in online relationship building, (2) the design of trust-building mechanisms in online B2B marketplaces, (3) the safe and cost-effective building of online interorganizational relationships, and (4) the literature on initial trust formation.","author":[{"dropping-particle":"","family":"Pavlou","given":"P. A.","non-dropping-particle":"","parse-names":false,"suffix":""},{"dropping-particle":"","family":"Tan","given":"Yao Hua","non-dropping-particle":"","parse-names":false,"suffix":""},{"dropping-particle":"","family":"Gefen","given":"D.","non-dropping-particle":"","parse-names":false,"suffix":""}],"container-title":"Proceedings of the 36th Annual Hawaii International Conference on System Sciences, HICSS 2003","id":"ITEM-1","issued":{"date-parts":[["2003"]]},"publisher":"IEEE","title":"The transitional role of institutional trust in online interorganizational relationships","type":"paper-conference"},"uris":["http://www.mendeley.com/documents/?uuid=96d91081-3f9f-412d-b8db-c10e28551021"]}],"mendeley":{"formattedCitation":"(P. A. Pavlou et al., 2003)","manualFormatting":"Pavlou et al., 2003)","plainTextFormattedCitation":"(P. A. Pavlou et al., 2003)","previouslyFormattedCitation":"(P. A. Pavlou et al., 2003)"},"properties":{"noteIndex":0},"schema":"https://github.com/citation-style-language/schema/raw/master/csl-citation.json"}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Pavlou et al., 2003)</w:t>
      </w:r>
      <w:r w:rsidRPr="009672FC">
        <w:rPr>
          <w:rFonts w:ascii="Garamond" w:hAnsi="Garamond"/>
          <w:color w:val="000000"/>
        </w:rPr>
        <w:fldChar w:fldCharType="end"/>
      </w:r>
      <w:r w:rsidRPr="009672FC">
        <w:rPr>
          <w:rFonts w:ascii="Garamond" w:hAnsi="Garamond"/>
          <w:color w:val="000000" w:themeColor="text1"/>
        </w:rPr>
        <w:t xml:space="preserve">, this study leverages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and Teng (2001)</w:t>
      </w:r>
      <w:r w:rsidRPr="009672FC">
        <w:rPr>
          <w:rFonts w:ascii="Garamond" w:hAnsi="Garamond"/>
          <w:color w:val="000000"/>
        </w:rPr>
        <w:fldChar w:fldCharType="end"/>
      </w:r>
      <w:r w:rsidRPr="009672FC">
        <w:rPr>
          <w:rFonts w:ascii="Garamond" w:hAnsi="Garamond"/>
          <w:color w:val="000000" w:themeColor="text1"/>
        </w:rPr>
        <w:t xml:space="preserve"> perceived risk-reducing mechanisms (relational risk) to evaluate trust in an inter-firm relationship. The identification dimension of trust may promote similarities in interest and reduce relational risk, because actors may enjoy a common advantage than a disadvantage. </w:t>
      </w:r>
    </w:p>
    <w:p w14:paraId="5A3C8638" w14:textId="46CFCC45"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1997)","manualFormatting":"Saxton (1997)","plainTextFormattedCitation":"(Saxton, 1997)","previouslyFormattedCitation":"(Saxton, 1997)"},"properties":{"noteIndex":0},"schema":"https://github.com/citation-style-language/schema/raw/master/csl-citation.json"}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Saxton (1997)</w:t>
      </w:r>
      <w:r w:rsidRPr="009672FC">
        <w:rPr>
          <w:rFonts w:ascii="Garamond" w:hAnsi="Garamond"/>
        </w:rPr>
        <w:fldChar w:fldCharType="end"/>
      </w:r>
      <w:r w:rsidRPr="009672FC">
        <w:rPr>
          <w:rFonts w:ascii="Garamond" w:hAnsi="Garamond"/>
          <w:color w:val="000000" w:themeColor="text1"/>
        </w:rPr>
        <w:t xml:space="preserve"> argues that a high degree of similarity between partner organizations establishes a good organizational fit, enabling high appreciation and easier knowledge exchange between firms.  While the studies have not been explicit about the differences between identification and similarity, we can, however, deduce that identification, which characterized the connection between partners based on shared values and common interest, sought to minimize the dissimilarity in the </w:t>
      </w:r>
      <w:r w:rsidRPr="009672FC">
        <w:rPr>
          <w:rFonts w:ascii="Garamond" w:hAnsi="Garamond"/>
          <w:color w:val="000000" w:themeColor="text1"/>
        </w:rPr>
        <w:lastRenderedPageBreak/>
        <w:t>partnership. Similarity may reduce the performance risk as all partner</w:t>
      </w:r>
      <w:r w:rsidR="002663FA" w:rsidRPr="009672FC">
        <w:rPr>
          <w:rFonts w:ascii="Garamond" w:hAnsi="Garamond"/>
          <w:color w:val="000000" w:themeColor="text1"/>
        </w:rPr>
        <w:t>s</w:t>
      </w:r>
      <w:r w:rsidRPr="009672FC">
        <w:rPr>
          <w:rFonts w:ascii="Garamond" w:hAnsi="Garamond"/>
          <w:color w:val="000000" w:themeColor="text1"/>
        </w:rPr>
        <w:t xml:space="preserve"> are likely to strive to meet their obligation and to protect their reputation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2007)</w:t>
      </w:r>
      <w:r w:rsidRPr="009672FC">
        <w:rPr>
          <w:rFonts w:ascii="Garamond" w:hAnsi="Garamond"/>
          <w:color w:val="000000"/>
        </w:rPr>
        <w:fldChar w:fldCharType="end"/>
      </w:r>
      <w:r w:rsidRPr="009672FC">
        <w:rPr>
          <w:rFonts w:ascii="Garamond" w:hAnsi="Garamond"/>
          <w:color w:val="000000" w:themeColor="text1"/>
        </w:rPr>
        <w:t xml:space="preserve">. </w:t>
      </w:r>
    </w:p>
    <w:p w14:paraId="6E7E2AE5" w14:textId="7777777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High concern for others in the relationship is argued to increase both relational risk in inter-organizational relationships (e.g.</w:t>
      </w:r>
      <w:r w:rsidRPr="009672FC">
        <w:rPr>
          <w:rFonts w:ascii="Garamond" w:hAnsi="Garamond"/>
        </w:rPr>
        <w:fldChar w:fldCharType="begin" w:fldLock="1"/>
      </w:r>
      <w:r w:rsidRPr="009672FC">
        <w:rPr>
          <w:rFonts w:ascii="Garamond" w:hAnsi="Garamond"/>
          <w:color w:val="000000"/>
        </w:rPr>
        <w:instrText>ADDIN CSL_CITATION {"citationItems":[{"id":"ITEM-1","itemData":{"DOI":"10.4337/9781847202819","ISBN":"9781843767541","abstract":"This Handbook helps scholars account for more nuances and complications of the phenomenon of trust. But it is also a firm, intelligent reminder not to mutilate the phenomenon while crafting those accounts. © Reinhard Bachmann and Akbar Zaheer 2006. All rights reserved.","author":[{"dropping-particle":"","family":"Ven","given":"Andrew H.","non-dropping-particle":"Van de","parse-names":false,"suffix":""},{"dropping-particle":"","family":"Ring","given":"Peter Smith","non-dropping-particle":"","parse-names":false,"suffix":""}],"container-title":"Handbook Of Trust Research","id":"ITEM-1","issue":"forthcoming","issued":{"date-parts":[["2006"]]},"page":"1-422","title":"Handbook Of trust research","type":"chapter","volume":"3000"},"uris":["http://www.mendeley.com/documents/?uuid=f0b0accc-4c55-46e3-81e5-2f28e81b66e6"]}],"mendeley":{"formattedCitation":"(Van de Ven &amp; Ring, 2006)","manualFormatting":", Van de Ven and Ring, 2006)","plainTextFormattedCitation":"(Van de Ven &amp; Ring, 2006)","previouslyFormattedCitation":"(Van de Ven &amp; Ring,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Van de Ven and Ring, 2006)</w:t>
      </w:r>
      <w:r w:rsidRPr="009672FC">
        <w:rPr>
          <w:rFonts w:ascii="Garamond" w:hAnsi="Garamond"/>
          <w:color w:val="000000"/>
        </w:rPr>
        <w:fldChar w:fldCharType="end"/>
      </w:r>
      <w:r w:rsidRPr="009672FC">
        <w:rPr>
          <w:rFonts w:ascii="Garamond" w:hAnsi="Garamond"/>
          <w:color w:val="000000" w:themeColor="text1"/>
        </w:rPr>
        <w:t>. The partners may rely on the friendships to falter in their obligation and/or misappropriate common resources or pursue self-interests.  However, it is not clear whether the relational risk has any influence on the inter-firm buyer-seller relationship.</w:t>
      </w:r>
    </w:p>
    <w:p w14:paraId="754BA59A" w14:textId="7777777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The reliability dimension of trust may increase the relational risks in the relationship. This may happen especially when less reliable firms try to illegitimately harness the common resources. Openness and honesty may be a panacea of inter-firm distrust. Through openness, firms can discover the underlying behavioural intentions and interests of others thereby reducing the behavioural risks of opportunism. Moreover, partners may be able to discover each other’s competence through openness and honesty.</w:t>
      </w:r>
    </w:p>
    <w:p w14:paraId="2F228B77" w14:textId="3D29EAE3" w:rsidR="003D5DE8" w:rsidRPr="009672FC" w:rsidRDefault="007549AA" w:rsidP="00890FB2">
      <w:pPr>
        <w:spacing w:before="240" w:line="360" w:lineRule="auto"/>
        <w:jc w:val="both"/>
        <w:rPr>
          <w:rFonts w:ascii="Garamond" w:hAnsi="Garamond"/>
          <w:i/>
          <w:iCs/>
          <w:color w:val="000000" w:themeColor="text1"/>
        </w:rPr>
      </w:pPr>
      <w:r w:rsidRPr="009672FC">
        <w:rPr>
          <w:rFonts w:ascii="Garamond" w:hAnsi="Garamond"/>
          <w:color w:val="000000" w:themeColor="text1"/>
        </w:rPr>
        <w:t xml:space="preserve">Highly competent firms are prone to the risks of opportunistic </w:t>
      </w:r>
      <w:proofErr w:type="spellStart"/>
      <w:r w:rsidRPr="009672FC">
        <w:rPr>
          <w:rFonts w:ascii="Garamond" w:hAnsi="Garamond"/>
          <w:color w:val="000000" w:themeColor="text1"/>
        </w:rPr>
        <w:t>behaviours</w:t>
      </w:r>
      <w:proofErr w:type="spellEnd"/>
      <w:r w:rsidRPr="009672FC">
        <w:rPr>
          <w:rFonts w:ascii="Garamond" w:hAnsi="Garamond"/>
          <w:color w:val="000000" w:themeColor="text1"/>
        </w:rPr>
        <w:t xml:space="preserve"> in their relationships with less competent, and weak firms.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and Teng (2001)</w:t>
      </w:r>
      <w:r w:rsidRPr="009672FC">
        <w:rPr>
          <w:rFonts w:ascii="Garamond" w:hAnsi="Garamond"/>
          <w:color w:val="000000"/>
        </w:rPr>
        <w:fldChar w:fldCharType="end"/>
      </w:r>
      <w:r w:rsidRPr="009672FC">
        <w:rPr>
          <w:rFonts w:ascii="Garamond" w:hAnsi="Garamond"/>
          <w:color w:val="000000" w:themeColor="text1"/>
        </w:rPr>
        <w:t xml:space="preserve"> find that perceived risk in an alliance positively influence the competence </w:t>
      </w:r>
      <w:r w:rsidR="002663FA" w:rsidRPr="009672FC">
        <w:rPr>
          <w:rFonts w:ascii="Garamond" w:hAnsi="Garamond"/>
          <w:color w:val="000000" w:themeColor="text1"/>
        </w:rPr>
        <w:t>dimensions</w:t>
      </w:r>
      <w:r w:rsidRPr="009672FC">
        <w:rPr>
          <w:rFonts w:ascii="Garamond" w:hAnsi="Garamond"/>
          <w:color w:val="000000" w:themeColor="text1"/>
        </w:rPr>
        <w:t xml:space="preserve"> of trust, as well as the relational and performance outputs. Firms (especially the less competitive ones) may seek to illegitimately harness the competencies, and reputation of competent firms, and thus increasing their competitive advantages. Nonetheless, the relationship may experience high performance because competent firms are aware of their partners’ core competencies and capabilities. Accordingly, the following hypotheses are proposed:</w:t>
      </w:r>
      <w:r w:rsidR="00890FB2" w:rsidRPr="009672FC">
        <w:rPr>
          <w:rFonts w:ascii="Garamond" w:hAnsi="Garamond"/>
          <w:color w:val="000000" w:themeColor="text1"/>
        </w:rPr>
        <w:t xml:space="preserve"> </w:t>
      </w:r>
      <w:r w:rsidRPr="009672FC">
        <w:rPr>
          <w:rFonts w:ascii="Garamond" w:hAnsi="Garamond"/>
          <w:i/>
          <w:iCs/>
          <w:color w:val="000000" w:themeColor="text1"/>
        </w:rPr>
        <w:t>H5: Relational risk mediates the relationship between trust in actors’</w:t>
      </w:r>
      <w:r w:rsidR="002663FA" w:rsidRPr="009672FC">
        <w:rPr>
          <w:rFonts w:ascii="Garamond" w:hAnsi="Garamond"/>
          <w:i/>
          <w:iCs/>
          <w:color w:val="000000" w:themeColor="text1"/>
        </w:rPr>
        <w:t xml:space="preserve"> </w:t>
      </w:r>
      <w:r w:rsidRPr="009672FC">
        <w:rPr>
          <w:rFonts w:ascii="Garamond" w:hAnsi="Garamond"/>
          <w:i/>
          <w:iCs/>
          <w:color w:val="000000" w:themeColor="text1"/>
        </w:rPr>
        <w:t>institutional reliability and 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H6: Relational risk mediates the relationship between trust in actors’ institutional similarity/shared identity and 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H7: Relational risk mediates the relationship between trust in actors’</w:t>
      </w:r>
      <w:r w:rsidR="002663FA" w:rsidRPr="009672FC">
        <w:rPr>
          <w:rFonts w:ascii="Garamond" w:hAnsi="Garamond"/>
          <w:i/>
          <w:iCs/>
          <w:color w:val="000000" w:themeColor="text1"/>
        </w:rPr>
        <w:t xml:space="preserve"> </w:t>
      </w:r>
      <w:r w:rsidRPr="009672FC">
        <w:rPr>
          <w:rFonts w:ascii="Garamond" w:hAnsi="Garamond"/>
          <w:i/>
          <w:iCs/>
          <w:color w:val="000000" w:themeColor="text1"/>
        </w:rPr>
        <w:t>institutional competence and innovation performance.</w:t>
      </w:r>
      <w:r w:rsidR="00890FB2" w:rsidRPr="009672FC">
        <w:rPr>
          <w:rFonts w:ascii="Garamond" w:hAnsi="Garamond"/>
          <w:color w:val="000000" w:themeColor="text1"/>
        </w:rPr>
        <w:t xml:space="preserve"> </w:t>
      </w:r>
      <w:r w:rsidRPr="009672FC">
        <w:rPr>
          <w:rFonts w:ascii="Garamond" w:hAnsi="Garamond"/>
          <w:i/>
          <w:iCs/>
          <w:color w:val="000000" w:themeColor="text1"/>
        </w:rPr>
        <w:t>H8: Relational risk mediates the relationship between trust in actors’ institutional openness and innovation performance.</w:t>
      </w:r>
    </w:p>
    <w:p w14:paraId="5B4D2959" w14:textId="45E90E20" w:rsidR="003D5DE8" w:rsidRPr="009672FC" w:rsidRDefault="007549AA">
      <w:pPr>
        <w:pStyle w:val="Title"/>
        <w:numPr>
          <w:ilvl w:val="1"/>
          <w:numId w:val="10"/>
        </w:numPr>
        <w:spacing w:before="240" w:line="360" w:lineRule="auto"/>
        <w:jc w:val="both"/>
        <w:outlineLvl w:val="1"/>
        <w:rPr>
          <w:rFonts w:ascii="Garamond" w:hAnsi="Garamond" w:cs="Times New Roman"/>
          <w:b/>
          <w:bCs/>
          <w:color w:val="000000" w:themeColor="text1"/>
          <w:sz w:val="24"/>
          <w:szCs w:val="24"/>
        </w:rPr>
      </w:pPr>
      <w:r w:rsidRPr="009672FC">
        <w:rPr>
          <w:rFonts w:ascii="Garamond" w:hAnsi="Garamond" w:cs="Times New Roman"/>
          <w:b/>
          <w:bCs/>
          <w:color w:val="000000" w:themeColor="text1"/>
          <w:sz w:val="24"/>
          <w:szCs w:val="24"/>
        </w:rPr>
        <w:t xml:space="preserve"> </w:t>
      </w:r>
      <w:bookmarkStart w:id="162" w:name="_Toc85708750"/>
      <w:bookmarkStart w:id="163" w:name="_Toc85709764"/>
      <w:r w:rsidRPr="009672FC">
        <w:rPr>
          <w:rFonts w:ascii="Garamond" w:hAnsi="Garamond" w:cs="Times New Roman"/>
          <w:b/>
          <w:bCs/>
          <w:color w:val="000000" w:themeColor="text1"/>
          <w:sz w:val="24"/>
          <w:szCs w:val="24"/>
        </w:rPr>
        <w:t>Methodology</w:t>
      </w:r>
      <w:bookmarkEnd w:id="162"/>
      <w:bookmarkEnd w:id="163"/>
    </w:p>
    <w:p w14:paraId="3A38225C" w14:textId="0DAA3E14" w:rsidR="003D5DE8" w:rsidRPr="009672FC" w:rsidRDefault="007549AA">
      <w:pPr>
        <w:spacing w:line="360" w:lineRule="auto"/>
        <w:jc w:val="both"/>
        <w:rPr>
          <w:rFonts w:ascii="Garamond" w:hAnsi="Garamond"/>
          <w:color w:val="000000" w:themeColor="text1"/>
        </w:rPr>
      </w:pPr>
      <w:bookmarkStart w:id="164" w:name="_Hlk43445838"/>
      <w:r w:rsidRPr="009672FC">
        <w:rPr>
          <w:rFonts w:ascii="Garamond" w:hAnsi="Garamond"/>
          <w:color w:val="000000" w:themeColor="text1"/>
        </w:rPr>
        <w:t>This study sought to examine perceptions of institution-based trust-building on inter-firm relationship quality involving SMEs</w:t>
      </w:r>
      <w:bookmarkEnd w:id="164"/>
      <w:r w:rsidRPr="009672FC">
        <w:rPr>
          <w:rFonts w:ascii="Garamond" w:hAnsi="Garamond"/>
          <w:color w:val="000000" w:themeColor="text1"/>
        </w:rPr>
        <w:t xml:space="preserve">. To build an institution-based trust, it is useful to determine which </w:t>
      </w:r>
      <w:r w:rsidR="00813D37" w:rsidRPr="009672FC">
        <w:rPr>
          <w:rFonts w:ascii="Garamond" w:hAnsi="Garamond"/>
          <w:color w:val="000000" w:themeColor="text1"/>
        </w:rPr>
        <w:t>dimensions</w:t>
      </w:r>
      <w:r w:rsidRPr="009672FC">
        <w:rPr>
          <w:rFonts w:ascii="Garamond" w:hAnsi="Garamond"/>
          <w:color w:val="000000" w:themeColor="text1"/>
        </w:rPr>
        <w:t xml:space="preserve"> of trust that must be strengthened </w:t>
      </w:r>
      <w:r w:rsidRPr="009672FC">
        <w:rPr>
          <w:rFonts w:ascii="Garamond" w:hAnsi="Garamond"/>
        </w:rPr>
        <w:fldChar w:fldCharType="begin" w:fldLock="1"/>
      </w:r>
      <w:r w:rsidRPr="009672FC">
        <w:rPr>
          <w:rFonts w:ascii="Garamond" w:hAnsi="Garamond"/>
          <w:color w:val="000000"/>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(Kroeger, 2012;</w:t>
      </w:r>
      <w:r w:rsidRPr="009672FC">
        <w:rPr>
          <w:rFonts w:ascii="Garamond" w:hAnsi="Garamond"/>
          <w:color w:val="000000"/>
        </w:rPr>
        <w:fldChar w:fldCharType="end"/>
      </w:r>
      <w:r w:rsidRPr="009672FC">
        <w:rPr>
          <w:rFonts w:ascii="Garamond" w:hAnsi="Garamond"/>
        </w:rPr>
        <w:fldChar w:fldCharType="begin" w:fldLock="1"/>
      </w:r>
      <w:r w:rsidRPr="009672FC">
        <w:rPr>
          <w:rFonts w:ascii="Garamond" w:hAnsi="Garamond"/>
          <w:color w:val="000000"/>
        </w:rPr>
        <w:instrText>ADDIN CSL_CITATION {"citationItems":[{"id":"ITEM-1","itemData":{"ISBN":"1213625815","abstract":"Given the uncertainty of online transactions, the digital economy encourages the creation of institutional structures that assure online interorganizational exchange relationships. This research examines how institution-based trust develops in online B2B marketplaces to facilitate interorganizational trust (buyers' trust in sellers). Building upon the notion of institutional trust [Zucker,1986], this study proposes how specific institution-based structures help engender interorganizational trust and indirectly influence transaction success in B2B marketplaces. Five specific institution-based mechanisms are proposed—perceived monitoring, perceived legal bonds, perceived accreditation, perceived feedback, and perceived cooperative norms. To assess the influence of the proposed two dimensions of interorganizational trust—credibility and benevolence— in buyer– seller relationships, three trust outcomes are examined—satisfaction, perceived risk, and continuity. The proposed model is tested on data from 102 organizational buyers in an online B2B marketplace. The results support the proposed model, delineating the relationship between institution-based trust and interorganizational trust. The study provides evidence on how specific institutional mechanisms build trust in online B2B marketplaces, stressing the ability of institution-based trust to build a trustworthy trading environment in the digital economy. The paper discusses the theoretical and managerial implications of this study and proposes several suggestions for future research. PII: S 0 9 6 3 -8 6 8 7 (0 2) 0 0 0 1 7 -3","author":[{"dropping-particle":"","family":"Pavlou","given":"Paul A","non-dropping-particle":"","parse-names":false,"suffix":""}],"container-title":"Journal of Strategic Information Systems","id":"ITEM-1","issue":"3-4","issued":{"date-parts":[["2002"]]},"page":"215-243","title":"Institutional trust in interorganizational exchange relationships: The role of electronic B2B marketplaces","type":"article-journal","volume":"11"},"uris":["http://www.mendeley.com/documents/?uuid=7a123201-0bf5-4a4c-b424-329f5b2e08d3"]}],"mendeley":{"formattedCitation":"(Paul A Pavlou, 2002)","manualFormatting":" Pavlou, 2002)","plainTextFormattedCitation":"(Paul A Pavlou, 2002)","previouslyFormattedCitation":"(Paul A Pavlou, 2002)"},"properties":{"noteIndex":0},"schema":"https://github.com/citation-style-language/schema/raw/master/csl-citation.json"}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Pavlou, 2002)</w:t>
      </w:r>
      <w:r w:rsidRPr="009672FC">
        <w:rPr>
          <w:rFonts w:ascii="Garamond" w:hAnsi="Garamond"/>
          <w:color w:val="000000"/>
        </w:rPr>
        <w:fldChar w:fldCharType="end"/>
      </w:r>
      <w:r w:rsidRPr="009672FC">
        <w:rPr>
          <w:rFonts w:ascii="Garamond" w:hAnsi="Garamond"/>
          <w:color w:val="000000" w:themeColor="text1"/>
        </w:rPr>
        <w:t xml:space="preserve">. Thus, four </w:t>
      </w:r>
      <w:r w:rsidRPr="009672FC">
        <w:rPr>
          <w:rFonts w:ascii="Garamond" w:hAnsi="Garamond"/>
          <w:color w:val="000000" w:themeColor="text1"/>
        </w:rPr>
        <w:lastRenderedPageBreak/>
        <w:t xml:space="preserve">institution-based trust were used to examine their relative impact on inter-firm innovation performance. </w:t>
      </w:r>
    </w:p>
    <w:p w14:paraId="41724C25" w14:textId="7777777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Following the experimentative nature of the research, this study adopts an empirical quantitative method </w:t>
      </w:r>
      <w:r w:rsidRPr="009672FC">
        <w:rPr>
          <w:rFonts w:ascii="Garamond" w:hAnsi="Garamond"/>
        </w:rPr>
        <w:fldChar w:fldCharType="begin" w:fldLock="1"/>
      </w:r>
      <w:r w:rsidRPr="009672FC">
        <w:rPr>
          <w:rFonts w:ascii="Garamond" w:hAnsi="Garamond"/>
          <w:color w:val="000000"/>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Editio","id":"ITEM-1","issued":{"date-parts":[["2009"]]},"publisher":"Pearson Education Limited","publisher-place":"Edinburgh Gate, Harlow, Essex CM20 2JE, England","title":"Research methods for business students","type":"book"},"uris":["http://www.mendeley.com/documents/?uuid=4bf0f9df-7383-4d65-8a69-66ac683dc8c8"]}],"mendeley":{"formattedCitation":"(M. Saunders et al., 2009)","manualFormatting":"(Saunders, Lewis, &amp; Thornhill, 2009)","plainTextFormattedCitation":"(M. Saunders et al., 2009)","previouslyFormattedCitation":"(M. Saunders et al.,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(Saunders, Lewis, &amp; Thornhill, 2009)</w:t>
      </w:r>
      <w:r w:rsidRPr="009672FC">
        <w:rPr>
          <w:rFonts w:ascii="Garamond" w:hAnsi="Garamond"/>
          <w:color w:val="000000"/>
        </w:rPr>
        <w:fldChar w:fldCharType="end"/>
      </w:r>
      <w:r w:rsidRPr="009672FC">
        <w:rPr>
          <w:rFonts w:ascii="Garamond" w:hAnsi="Garamond"/>
          <w:color w:val="000000" w:themeColor="text1"/>
        </w:rPr>
        <w:t xml:space="preserve"> using a sample of senior officers/managers/entrepreneurs of small-and-medium-sized enterprises. We administered a pilot questionnaire of 10 officers/managers/entrepreneurs to verify the clarity of the questions – resulting in the refinement of items. Confidentiality was an expressed concern during the pilot, and this was addressed through an assurance statement of anonymity of the survey to the participants. </w:t>
      </w:r>
    </w:p>
    <w:p w14:paraId="6BBB752D" w14:textId="36CC794F"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Two data collection methods were employed: an online survey and the physical administration of the questionnaire. The restrictive COVID-19 lockdown in the Gambia (March – July 2021) makes an online survey approach a suitable complement to physical survey administration across the </w:t>
      </w:r>
      <w:r w:rsidR="00F377A4">
        <w:rPr>
          <w:rFonts w:ascii="Garamond" w:hAnsi="Garamond"/>
          <w:color w:val="000000" w:themeColor="text1"/>
        </w:rPr>
        <w:t>KM</w:t>
      </w:r>
      <w:r w:rsidRPr="009672FC">
        <w:rPr>
          <w:rFonts w:ascii="Garamond" w:hAnsi="Garamond"/>
          <w:color w:val="000000" w:themeColor="text1"/>
        </w:rPr>
        <w:t xml:space="preserve"> region of The Gambia. The ensuing sections discussed the measurement constructs and the sampling procedure employed. </w:t>
      </w:r>
    </w:p>
    <w:p w14:paraId="118B2926" w14:textId="6A24CC3C" w:rsidR="003D5DE8" w:rsidRPr="009672FC" w:rsidRDefault="007549AA">
      <w:pPr>
        <w:pStyle w:val="Title"/>
        <w:numPr>
          <w:ilvl w:val="2"/>
          <w:numId w:val="10"/>
        </w:numPr>
        <w:spacing w:before="240" w:line="360" w:lineRule="auto"/>
        <w:jc w:val="both"/>
        <w:outlineLvl w:val="2"/>
        <w:rPr>
          <w:rFonts w:ascii="Garamond" w:hAnsi="Garamond" w:cs="Times New Roman"/>
          <w:b/>
          <w:bCs/>
          <w:color w:val="000000" w:themeColor="text1"/>
          <w:sz w:val="24"/>
          <w:szCs w:val="24"/>
        </w:rPr>
      </w:pPr>
      <w:bookmarkStart w:id="165" w:name="_Toc85708751"/>
      <w:bookmarkStart w:id="166" w:name="_Toc85709765"/>
      <w:r w:rsidRPr="009672FC">
        <w:rPr>
          <w:rFonts w:ascii="Garamond" w:hAnsi="Garamond" w:cs="Times New Roman"/>
          <w:b/>
          <w:bCs/>
          <w:i/>
          <w:iCs/>
          <w:color w:val="000000" w:themeColor="text1"/>
          <w:sz w:val="24"/>
          <w:szCs w:val="24"/>
        </w:rPr>
        <w:t>The Constructs, Items, and Scales</w:t>
      </w:r>
      <w:bookmarkEnd w:id="165"/>
      <w:bookmarkEnd w:id="166"/>
      <w:r w:rsidRPr="009672FC">
        <w:rPr>
          <w:rFonts w:ascii="Garamond" w:hAnsi="Garamond" w:cs="Times New Roman"/>
          <w:b/>
          <w:bCs/>
          <w:i/>
          <w:iCs/>
          <w:color w:val="000000" w:themeColor="text1"/>
          <w:sz w:val="24"/>
          <w:szCs w:val="24"/>
        </w:rPr>
        <w:t xml:space="preserve"> </w:t>
      </w:r>
    </w:p>
    <w:p w14:paraId="22B65C91" w14:textId="43A9CF48"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We operationalized institution-based trust using ten constructs as proxies for building trust in inter-firm relationships. All the constructs were chosen specifically because they fit quite well with the current study problem. The questionnaire was developed in English for all respondents. We performed a pre-test of the questionnaire </w:t>
      </w:r>
      <w:r w:rsidRPr="009672FC">
        <w:rPr>
          <w:rFonts w:ascii="Garamond" w:hAnsi="Garamond"/>
        </w:rPr>
        <w:fldChar w:fldCharType="begin" w:fldLock="1"/>
      </w:r>
      <w:r w:rsidR="00813D37" w:rsidRPr="009672FC">
        <w:rPr>
          <w:rFonts w:ascii="Garamond" w:hAnsi="Garamond"/>
          <w:color w:val="000000"/>
        </w:rPr>
        <w:instrText>ADDIN CSL_CITATION {"citationItems":[{"id":"ITEM-1","itemData":{"ISBN":"9780521694285","author":[{"dropping-particle":"","family":"Tharenou","given":"Phyllis","non-dropping-particle":"","parse-names":false,"suffix":""},{"dropping-particle":"","family":"Donohue","given":"Ross","non-dropping-particle":"","parse-names":false,"suffix":""},{"dropping-particle":"","family":"Cooper","given":"Brian","non-dropping-particle":"","parse-names":false,"suffix":""}],"id":"ITEM-1","issued":{"date-parts":[["2007"]]},"publisher":"Cambridge University Press.","title":"Management Research Methods","type":"book"},"uris":["http://www.mendeley.com/documents/?uuid=141ff223-9b41-4605-a3cb-12c09185b0c3"]}],"mendeley":{"formattedCitation":"(Tharenou, Donohue, &amp; Cooper, 2007)","plainTextFormattedCitation":"(Tharenou, Donohue, &amp; Cooper, 2007)","previouslyFormattedCitation":"(Tharenou et al., 2007)"},"properties":{"noteIndex":0},"schema":"https://github.com/citation-style-language/schema/raw/master/csl-citation.json"}</w:instrText>
      </w:r>
      <w:r w:rsidRPr="009672FC">
        <w:rPr>
          <w:rFonts w:ascii="Garamond" w:hAnsi="Garamond"/>
          <w:color w:val="000000"/>
        </w:rPr>
        <w:fldChar w:fldCharType="separate"/>
      </w:r>
      <w:r w:rsidR="00813D37" w:rsidRPr="009672FC">
        <w:rPr>
          <w:rFonts w:ascii="Garamond" w:hAnsi="Garamond"/>
          <w:noProof/>
          <w:color w:val="000000" w:themeColor="text1"/>
        </w:rPr>
        <w:t>(Tharenou, Donohue, &amp; Cooper, 2007)</w:t>
      </w:r>
      <w:r w:rsidRPr="009672FC">
        <w:rPr>
          <w:rFonts w:ascii="Garamond" w:hAnsi="Garamond"/>
          <w:color w:val="000000"/>
        </w:rPr>
        <w:fldChar w:fldCharType="end"/>
      </w:r>
      <w:r w:rsidRPr="009672FC">
        <w:rPr>
          <w:rFonts w:ascii="Garamond" w:hAnsi="Garamond"/>
          <w:color w:val="000000" w:themeColor="text1"/>
        </w:rPr>
        <w:t xml:space="preserve"> using a sample of 6 entrepreneurs, to ascertain the suitability of the questions against the responses before the experiment and thus help clarify ambiguities (especially in wording) in the questions. A pilot study (in October 2020) was conducted to test the applicability of the constructs a priori as recommended. After a pilot study, the constructs were refined in terms of “wordings” to address trust-building in the specific context of an inter-firm relationship rather than a more generalized interpersonal trust construct. The Cronbach’s Alpha value of each measurement scale (appendix 2) have met the required acceptable degree of reliability, at least 0.6 for use in this study </w:t>
      </w:r>
      <w:r w:rsidRPr="009672FC">
        <w:rPr>
          <w:rFonts w:ascii="Garamond" w:hAnsi="Garamond"/>
        </w:rPr>
        <w:fldChar w:fldCharType="begin" w:fldLock="1"/>
      </w:r>
      <w:r w:rsidRPr="009672FC">
        <w:rPr>
          <w:rFonts w:ascii="Garamond" w:hAnsi="Garamond"/>
          <w:color w:val="000000"/>
        </w:rPr>
        <w:instrText>ADDIN CSL_CITATION {"citationItems":[{"id":"ITEM-1","itemData":{"ISBN":"9780521694285","author":[{"dropping-particle":"","family":"Tharenou","given":"Phyllis","non-dropping-particle":"","parse-names":false,"suffix":""},{"dropping-particle":"","family":"Donohue","given":"Ross","non-dropping-particle":"","parse-names":false,"suffix":""},{"dropping-particle":"","family":"Cooper","given":"Brian","non-dropping-particle":"","parse-names":false,"suffix":""}],"id":"ITEM-1","issued":{"date-parts":[["2007"]]},"publisher":"Cambridge University Press.","title":"Management Research Methods","type":"book"},"uris":["http://www.mendeley.com/documents/?uuid=141ff223-9b41-4605-a3cb-12c09185b0c3"]}],"mendeley":{"formattedCitation":"(Tharenou et al., 2007)","manualFormatting":"(Tharenou et al., 2007, p. 153)","plainTextFormattedCitation":"(Tharenou et al., 2007)","previouslyFormattedCitation":"(Tharenou et al.,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(Tharenou et al., 2007, p. 153)</w:t>
      </w:r>
      <w:r w:rsidRPr="009672FC">
        <w:rPr>
          <w:rFonts w:ascii="Garamond" w:hAnsi="Garamond"/>
          <w:color w:val="000000"/>
        </w:rPr>
        <w:fldChar w:fldCharType="end"/>
      </w:r>
      <w:r w:rsidRPr="009672FC">
        <w:rPr>
          <w:rFonts w:ascii="Garamond" w:hAnsi="Garamond"/>
          <w:color w:val="000000" w:themeColor="text1"/>
        </w:rPr>
        <w:t xml:space="preserve">. The revised questionnaire was adopted. A final total of one hundred and eight (108) responses were generated, and thus constitutes the data source for this research. The survey uses the seven-point Likert scale (ranging from 1-strongly disagree, to 7 – strongly agree) to </w:t>
      </w:r>
      <w:r w:rsidRPr="009672FC">
        <w:rPr>
          <w:rFonts w:ascii="Garamond" w:hAnsi="Garamond"/>
          <w:color w:val="000000" w:themeColor="text1"/>
        </w:rPr>
        <w:lastRenderedPageBreak/>
        <w:t xml:space="preserve">measure respondents’ perception </w:t>
      </w:r>
      <w:r w:rsidR="002663FA" w:rsidRPr="009672FC">
        <w:rPr>
          <w:rFonts w:ascii="Garamond" w:hAnsi="Garamond"/>
          <w:color w:val="000000" w:themeColor="text1"/>
        </w:rPr>
        <w:t>concerning</w:t>
      </w:r>
      <w:r w:rsidRPr="009672FC">
        <w:rPr>
          <w:rFonts w:ascii="Garamond" w:hAnsi="Garamond"/>
          <w:color w:val="000000" w:themeColor="text1"/>
        </w:rPr>
        <w:t xml:space="preserve"> dependent, mediating, and independent variables. Industry size (small vs medium-sized enterprises) was used as a control variable.</w:t>
      </w:r>
    </w:p>
    <w:p w14:paraId="73109F53" w14:textId="08C4497C"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There are four latent exogenous independent variables in this study. First, </w:t>
      </w:r>
      <w:r w:rsidRPr="009672FC">
        <w:rPr>
          <w:rFonts w:ascii="Garamond" w:hAnsi="Garamond"/>
          <w:i/>
          <w:iCs/>
          <w:color w:val="000000" w:themeColor="text1"/>
        </w:rPr>
        <w:t>competence trust</w:t>
      </w:r>
      <w:r w:rsidRPr="009672FC">
        <w:rPr>
          <w:rFonts w:ascii="Garamond" w:hAnsi="Garamond"/>
          <w:color w:val="000000" w:themeColor="text1"/>
        </w:rPr>
        <w:t xml:space="preserve"> was adopted from </w:t>
      </w:r>
      <w:r w:rsidRPr="009672FC">
        <w:rPr>
          <w:rFonts w:ascii="Garamond" w:hAnsi="Garamond"/>
        </w:rPr>
        <w:fldChar w:fldCharType="begin" w:fldLock="1"/>
      </w:r>
      <w:r w:rsidRPr="009672FC">
        <w:rPr>
          <w:rFonts w:ascii="Garamond" w:hAnsi="Garamond"/>
          <w:color w:val="000000"/>
        </w:rPr>
        <w:instrText>ADDIN CSL_CITATION {"citationItems":[{"id":"ITEM-1","itemData":{"DOI":"10.1016/j.jm.2004.02.002","ISSN":"01492063","abstract":"Because partners may behave opportunistically in alliances, contractual safeguards or trust between partners are necessary for successful outcomes. However, it remains controversial whether safeguards and trust substitute or complement each other. Drawing on transaction cost theory, this study conceptualizes both contractual safeguards and trust as important control mechanisms in non-equity alliances, and develops a model that relates contractual safeguards and trust to cooperative outcomes. We test our hypotheses with data collected from 233 architect-contractor partnerships in Hong Kong. The results show that the relationship between contractual safeguards and cooperative outcomes depends on both the level and type of trust. © 2004 Elsevier Inc. All rights reserved.","author":[{"dropping-particle":"","family":"Lui","given":"Steven S.","non-dropping-particle":"","parse-names":false,"suffix":""},{"dropping-particle":"","family":"Ngo","given":"Hang yue","non-dropping-particle":"","parse-names":false,"suffix":""}],"container-title":"Journal of Management","id":"ITEM-1","issue":"4","issued":{"date-parts":[["2004"]]},"page":"471-485","title":"The role of trust and contractual safeguards on cooperation in non-equity alliances","type":"article-journal","volume":"30"},"uris":["http://www.mendeley.com/documents/?uuid=40190992-2ee5-4b11-9ef1-dc05021e1268"]}],"mendeley":{"formattedCitation":"(Lui &amp; Ngo, 2004)","manualFormatting":"Lui and Ngo (2004, p. 478)","plainTextFormattedCitation":"(Lui &amp; Ngo, 2004)","previouslyFormattedCitation":"(Lui &amp; Ngo,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Lui and Ngo (2004, p. 478)</w:t>
      </w:r>
      <w:r w:rsidRPr="009672FC">
        <w:rPr>
          <w:rFonts w:ascii="Garamond" w:hAnsi="Garamond"/>
          <w:color w:val="000000"/>
        </w:rPr>
        <w:fldChar w:fldCharType="end"/>
      </w:r>
      <w:r w:rsidRPr="009672FC">
        <w:rPr>
          <w:rFonts w:ascii="Garamond" w:hAnsi="Garamond"/>
          <w:color w:val="000000" w:themeColor="text1"/>
        </w:rPr>
        <w:t xml:space="preserve"> to measure the degree of technical skills, experience, and capacity of a firm needed to fulfil its obligation. The authors report the alpha coefficient for this index was 0.81</w:t>
      </w:r>
      <w:bookmarkStart w:id="167" w:name="_Hlk43445210"/>
      <w:r w:rsidRPr="009672FC">
        <w:rPr>
          <w:rFonts w:ascii="Garamond" w:hAnsi="Garamond"/>
          <w:color w:val="000000" w:themeColor="text1"/>
          <w:shd w:val="clear" w:color="auto" w:fill="FFFFFF"/>
        </w:rPr>
        <w:t>.</w:t>
      </w:r>
      <w:bookmarkEnd w:id="167"/>
      <w:r w:rsidRPr="009672FC">
        <w:rPr>
          <w:rFonts w:ascii="Garamond" w:hAnsi="Garamond"/>
          <w:color w:val="000000" w:themeColor="text1"/>
        </w:rPr>
        <w:t xml:space="preserve"> Second,</w:t>
      </w:r>
      <w:r w:rsidRPr="009672FC">
        <w:rPr>
          <w:rFonts w:ascii="Garamond" w:hAnsi="Garamond"/>
          <w:i/>
          <w:iCs/>
          <w:color w:val="000000" w:themeColor="text1"/>
        </w:rPr>
        <w:t xml:space="preserve"> openness</w:t>
      </w:r>
      <w:r w:rsidRPr="009672FC">
        <w:rPr>
          <w:rFonts w:ascii="Garamond" w:hAnsi="Garamond"/>
          <w:color w:val="000000" w:themeColor="text1"/>
        </w:rPr>
        <w:t xml:space="preserve"> </w:t>
      </w:r>
      <w:r w:rsidRPr="009672FC">
        <w:rPr>
          <w:rFonts w:ascii="Garamond" w:hAnsi="Garamond"/>
          <w:i/>
          <w:iCs/>
          <w:color w:val="000000" w:themeColor="text1"/>
        </w:rPr>
        <w:t>trust</w:t>
      </w:r>
      <w:r w:rsidRPr="009672FC">
        <w:rPr>
          <w:rFonts w:ascii="Garamond" w:hAnsi="Garamond"/>
          <w:color w:val="000000" w:themeColor="text1"/>
        </w:rPr>
        <w:t xml:space="preserve"> was adopted from </w:t>
      </w:r>
      <w:r w:rsidRPr="009672FC">
        <w:rPr>
          <w:rFonts w:ascii="Garamond" w:hAnsi="Garamond"/>
        </w:rPr>
        <w:fldChar w:fldCharType="begin" w:fldLock="1"/>
      </w:r>
      <w:r w:rsidRPr="009672FC">
        <w:rPr>
          <w:rFonts w:ascii="Garamond" w:hAnsi="Garamond"/>
          <w:color w:val="000000"/>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 p. 228)","plainTextFormattedCitation":"(Ibrahim &amp; Ribbers, 2009)","previouslyFormattedCitation":"(Ibrahim &amp; Ribbers,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Ibrahim and Ribbers (2009, p. 228)</w:t>
      </w:r>
      <w:r w:rsidRPr="009672FC">
        <w:rPr>
          <w:rFonts w:ascii="Garamond" w:hAnsi="Garamond"/>
          <w:color w:val="000000"/>
        </w:rPr>
        <w:fldChar w:fldCharType="end"/>
      </w:r>
      <w:r w:rsidRPr="009672FC">
        <w:rPr>
          <w:rFonts w:ascii="Garamond" w:hAnsi="Garamond"/>
          <w:color w:val="000000" w:themeColor="text1"/>
        </w:rPr>
        <w:t xml:space="preserve">. The measurement scale- </w:t>
      </w:r>
      <w:r w:rsidRPr="009672FC">
        <w:rPr>
          <w:rFonts w:ascii="Garamond" w:hAnsi="Garamond"/>
          <w:i/>
          <w:iCs/>
          <w:color w:val="000000" w:themeColor="text1"/>
        </w:rPr>
        <w:t>similarity</w:t>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{"citationItems":[{"id":"ITEM-1","itemData":{"DOI":"10.1016/j.jbusres.2005.09.001","ISSN":"01482963","abstract":"Coercive strategy is an influential conflict resolution technique in interfirm cooperation. This paper examines how the use of coercive strategy is affected by partner and relationship characteristics (specifically firm similarity, partner reputation, and asset specificity), and how these relationships are mediated by trust. We test our hypotheses with a cross-sectional sample of 228 cooperative relationships between architects and contractors in Hong Kong. Measures of both interpersonal and interorganizational trust are included. The findings highlight the critical role played by trust as a full mediator in the relationships of firm similarity and partner reputation with coercive strategy. Asset specificity, in contrast, has a direct and positive effect on coercive strategy that is unrelated to the level of interpersonal trust. © 2005 Elsevier Inc. All rights reserved.","author":[{"dropping-particle":"","family":"Lui","given":"Steven S.","non-dropping-particle":"","parse-names":false,"suffix":""},{"dropping-particle":"","family":"Ngo","given":"Hang Yue","non-dropping-particle":"","parse-names":false,"suffix":""},{"dropping-particle":"","family":"Hon","given":"Alice H.Y.","non-dropping-particle":"","parse-names":false,"suffix":""}],"container-title":"Journal of Business Research","id":"ITEM-1","issue":"4","issued":{"date-parts":[["2006"]]},"page":"466-474","title":"Coercive strategy in interfirm cooperation: Mediating roles of interpersonal and interorganizational trust","type":"article-journal","volume":"59"},"uris":["http://www.mendeley.com/documents/?uuid=82bf53b3-1fdd-4c0d-97cf-3b2471d63119"]}],"mendeley":{"formattedCitation":"(Lui et al., 2006)","plainTextFormattedCitation":"(Lui et al., 2006)","previouslyFormattedCitation":"(Lui et al.,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(Lui et al., 2006)</w:t>
      </w:r>
      <w:r w:rsidRPr="009672FC">
        <w:rPr>
          <w:rFonts w:ascii="Garamond" w:hAnsi="Garamond"/>
          <w:color w:val="000000"/>
        </w:rPr>
        <w:fldChar w:fldCharType="end"/>
      </w:r>
      <w:r w:rsidRPr="009672FC">
        <w:rPr>
          <w:rFonts w:ascii="Garamond" w:hAnsi="Garamond"/>
          <w:color w:val="000000" w:themeColor="text1"/>
        </w:rPr>
        <w:t xml:space="preserve"> was used as a proxy for the third, </w:t>
      </w:r>
      <w:r w:rsidRPr="009672FC">
        <w:rPr>
          <w:rFonts w:ascii="Garamond" w:hAnsi="Garamond"/>
          <w:i/>
          <w:iCs/>
          <w:color w:val="000000" w:themeColor="text1"/>
        </w:rPr>
        <w:t>identification</w:t>
      </w:r>
      <w:r w:rsidRPr="009672FC">
        <w:rPr>
          <w:rFonts w:ascii="Garamond" w:hAnsi="Garamond"/>
          <w:color w:val="000000" w:themeColor="text1"/>
        </w:rPr>
        <w:t xml:space="preserve"> dimension of trust. The authors report an indexed alpha coefficient of 0.881. The similarity scale is synonymous with the identification and used by scholars to measure the degree of “cultural and processual differences between partners” </w:t>
      </w:r>
      <w:r w:rsidRPr="009672FC">
        <w:rPr>
          <w:rFonts w:ascii="Garamond" w:hAnsi="Garamond"/>
        </w:rPr>
        <w:fldChar w:fldCharType="begin" w:fldLock="1"/>
      </w:r>
      <w:r w:rsidRPr="009672FC">
        <w:rPr>
          <w:rFonts w:ascii="Garamond" w:hAnsi="Garamond"/>
          <w:color w:val="000000"/>
        </w:rPr>
        <w:instrText>ADDIN CSL_CITATION {"citationItems":[{"id":"ITEM-1","itemData":{"DOI":"10.1016/j.jbusres.2005.09.001","ISSN":"01482963","abstract":"Coercive strategy is an influential conflict resolution technique in interfirm cooperation. This paper examines how the use of coercive strategy is affected by partner and relationship characteristics (specifically firm similarity, partner reputation, and asset specificity), and how these relationships are mediated by trust. We test our hypotheses with a cross-sectional sample of 228 cooperative relationships between architects and contractors in Hong Kong. Measures of both interpersonal and interorganizational trust are included. The findings highlight the critical role played by trust as a full mediator in the relationships of firm similarity and partner reputation with coercive strategy. Asset specificity, in contrast, has a direct and positive effect on coercive strategy that is unrelated to the level of interpersonal trust. © 2005 Elsevier Inc. All rights reserved.","author":[{"dropping-particle":"","family":"Lui","given":"Steven S.","non-dropping-particle":"","parse-names":false,"suffix":""},{"dropping-particle":"","family":"Ngo","given":"Hang Yue","non-dropping-particle":"","parse-names":false,"suffix":""},{"dropping-particle":"","family":"Hon","given":"Alice H.Y.","non-dropping-particle":"","parse-names":false,"suffix":""}],"container-title":"Journal of Business Research","id":"ITEM-1","issue":"4","issued":{"date-parts":[["2006"]]},"page":"466-474","title":"Coercive strategy in interfirm cooperation: Mediating roles of interpersonal and interorganizational trust","type":"article-journal","volume":"59"},"uris":["http://www.mendeley.com/documents/?uuid=82bf53b3-1fdd-4c0d-97cf-3b2471d63119"]}],"mendeley":{"formattedCitation":"(Lui et al., 2006)","manualFormatting":"(Lui et al., 2006,","plainTextFormattedCitation":"(Lui et al., 2006)","previouslyFormattedCitation":"(Lui et al., 2006)"},"properties":{"noteIndex":0},"schema":"https://github.com/citation-style-language/schema/raw/master/csl-citation.json"}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(Lui et al., 2006,</w:t>
      </w:r>
      <w:r w:rsidRPr="009672FC">
        <w:rPr>
          <w:rFonts w:ascii="Garamond" w:hAnsi="Garamond"/>
          <w:color w:val="000000"/>
        </w:rPr>
        <w:fldChar w:fldCharType="end"/>
      </w:r>
      <w:r w:rsidRPr="009672FC">
        <w:rPr>
          <w:rFonts w:ascii="Garamond" w:hAnsi="Garamond"/>
          <w:color w:val="000000" w:themeColor="text1"/>
        </w:rPr>
        <w:t xml:space="preserve"> p. 468).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1997)","manualFormatting":"Saxton (1997)","plainTextFormattedCitation":"(Saxton, 1997)","previouslyFormattedCitation":"(Saxton, 1997)"},"properties":{"noteIndex":0},"schema":"https://github.com/citation-style-language/schema/raw/master/csl-citation.json"}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Saxton (1997)</w:t>
      </w:r>
      <w:r w:rsidRPr="009672FC">
        <w:rPr>
          <w:rFonts w:ascii="Garamond" w:hAnsi="Garamond"/>
          <w:color w:val="000000"/>
        </w:rPr>
        <w:fldChar w:fldCharType="end"/>
      </w:r>
      <w:r w:rsidRPr="009672FC">
        <w:rPr>
          <w:rFonts w:ascii="Garamond" w:hAnsi="Garamond"/>
          <w:color w:val="000000" w:themeColor="text1"/>
        </w:rPr>
        <w:t xml:space="preserve"> argues that a high degree of similarity between partner organizations establishes a good organizational fit, enabling high appreciation and easier knowledge exchange between firms. Finally, the </w:t>
      </w:r>
      <w:r w:rsidRPr="009672FC">
        <w:rPr>
          <w:rFonts w:ascii="Garamond" w:hAnsi="Garamond"/>
          <w:i/>
          <w:iCs/>
          <w:color w:val="000000" w:themeColor="text1"/>
        </w:rPr>
        <w:t>reliability</w:t>
      </w:r>
      <w:r w:rsidRPr="009672FC">
        <w:rPr>
          <w:rFonts w:ascii="Garamond" w:hAnsi="Garamond"/>
          <w:color w:val="000000" w:themeColor="text1"/>
        </w:rPr>
        <w:t xml:space="preserve"> </w:t>
      </w:r>
      <w:r w:rsidRPr="009672FC">
        <w:rPr>
          <w:rFonts w:ascii="Garamond" w:hAnsi="Garamond"/>
          <w:i/>
          <w:iCs/>
          <w:color w:val="000000" w:themeColor="text1"/>
        </w:rPr>
        <w:t xml:space="preserve">trust </w:t>
      </w:r>
      <w:r w:rsidRPr="009672FC">
        <w:rPr>
          <w:rFonts w:ascii="Garamond" w:hAnsi="Garamond"/>
          <w:color w:val="000000" w:themeColor="text1"/>
        </w:rPr>
        <w:t xml:space="preserve">scale reflects the expectation that a partner can be relied upon, be predictable and will act fairly consistently </w:t>
      </w:r>
      <w:r w:rsidRPr="009672FC">
        <w:rPr>
          <w:rFonts w:ascii="Garamond" w:hAnsi="Garamond"/>
        </w:rPr>
        <w:fldChar w:fldCharType="begin" w:fldLock="1"/>
      </w:r>
      <w:r w:rsidRPr="009672FC">
        <w:rPr>
          <w:rFonts w:ascii="Garamond" w:hAnsi="Garamond"/>
          <w:color w:val="000000"/>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(Six, 2007;</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1998)","manualFormatting":"Zaheer et al., 1998)","plainTextFormattedCitation":"(Zaheer et al., 1998)","previouslyFormattedCitation":"(Zaheer et al., 1998)"},"properties":{"noteIndex":0},"schema":"https://github.com/citation-style-language/schema/raw/master/csl-citation.json"}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Zaheer et al., 1998)</w:t>
      </w:r>
      <w:r w:rsidRPr="009672FC">
        <w:rPr>
          <w:rFonts w:ascii="Garamond" w:hAnsi="Garamond"/>
          <w:color w:val="000000"/>
        </w:rPr>
        <w:fldChar w:fldCharType="end"/>
      </w:r>
      <w:r w:rsidRPr="009672FC">
        <w:rPr>
          <w:rFonts w:ascii="Garamond" w:hAnsi="Garamond"/>
          <w:color w:val="000000" w:themeColor="text1"/>
        </w:rPr>
        <w:t>.</w:t>
      </w:r>
      <w:bookmarkStart w:id="168" w:name="_Hlk43444673"/>
    </w:p>
    <w:p w14:paraId="5438C122" w14:textId="6D43DE2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Innovation performance is the only endogenous (dependent) variable. </w:t>
      </w:r>
      <w:r w:rsidRPr="009672FC">
        <w:rPr>
          <w:rFonts w:ascii="Garamond" w:hAnsi="Garamond"/>
        </w:rPr>
        <w:fldChar w:fldCharType="begin" w:fldLock="1"/>
      </w:r>
      <w:r w:rsidRPr="009672FC">
        <w:rPr>
          <w:rFonts w:ascii="Garamond" w:hAnsi="Garamond"/>
          <w:color w:val="000000"/>
        </w:rPr>
        <w:instrText>ADDIN CSL_CITATION {"citationItems":[{"id":"ITEM-1","itemData":{"DOI":"10.1007/s11846-014-0160-6","ISSN":"18636691","abstract":"Small and medium-sized enterprises (SMEs) have to carefully decide their innovation timing and the associated market entry strategy to initiate change. The question of taking either a pioneer or a follower strategy for the innovation’s market entry has so far delivered controversial empirical results in large enterprises, while the performance implications of SMEs have been widely ignored. This is where our research sets out, investigating 169 established SMEs in a longitudinal study, with our results showing that SMEs take advantage of a pioneer strategy. As researched by a moderator analysis, a follower strategy can even have a reductive effect on performance: SMEs are not able to combine knowledge with allies downstream in the supply chain. Overall, our study delivers new insights into qualitative and quantitative change of established SMEs by employing a research design looking at the performance effects of strategies and knowledge combination among firms.","author":[{"dropping-particle":"","family":"Bouncken","given":"Ricarda B.","non-dropping-particle":"","parse-names":false,"suffix":""},{"dropping-particle":"","family":"Pesch","given":"Robin","non-dropping-particle":"","parse-names":false,"suffix":""},{"dropping-particle":"","family":"Kraus","given":"Sascha","non-dropping-particle":"","parse-names":false,"suffix":""}],"container-title":"Review of Managerial Science","id":"ITEM-1","issue":"2","issued":{"date-parts":[["2015"]]},"page":"361-384","title":"SME innovativeness in buyer–seller alliances: effects of entry timing strategies and inter-organizational learning","type":"article-journal","volume":"9"},"uris":["http://www.mendeley.com/documents/?uuid=c495019b-a730-478f-85bc-6966b0e26d78"]}],"mendeley":{"formattedCitation":"(Bouncken et al., 2015)","manualFormatting":"Bouncken's et al., (2015)","plainTextFormattedCitation":"(Bouncken et al., 2015)","previouslyFormattedCitation":"(Bouncken et al., 2015)"},"properties":{"noteIndex":0},"schema":"https://github.com/citation-style-language/schema/raw/master/csl-citation.json"}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Bouncken's et al., (2015)</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i/>
          <w:iCs/>
          <w:color w:val="000000" w:themeColor="text1"/>
        </w:rPr>
        <w:t>innovation performance</w:t>
      </w:r>
      <w:r w:rsidRPr="009672FC">
        <w:rPr>
          <w:rFonts w:ascii="Garamond" w:hAnsi="Garamond"/>
          <w:color w:val="000000" w:themeColor="text1"/>
        </w:rPr>
        <w:t xml:space="preserve"> scale was adapted to measure a firms’ innovation performance </w:t>
      </w:r>
      <w:proofErr w:type="gramStart"/>
      <w:r w:rsidRPr="009672FC">
        <w:rPr>
          <w:rFonts w:ascii="Garamond" w:hAnsi="Garamond"/>
          <w:color w:val="000000" w:themeColor="text1"/>
        </w:rPr>
        <w:t>as a result of</w:t>
      </w:r>
      <w:proofErr w:type="gramEnd"/>
      <w:r w:rsidRPr="009672FC">
        <w:rPr>
          <w:rFonts w:ascii="Garamond" w:hAnsi="Garamond"/>
          <w:color w:val="000000" w:themeColor="text1"/>
        </w:rPr>
        <w:t xml:space="preserve"> the alliance relationship, with a Cronbach’s alpha of 0.858. We adapted the original four statements to fit the current research problem.</w:t>
      </w:r>
      <w:bookmarkEnd w:id="168"/>
    </w:p>
    <w:p w14:paraId="2BD9607C" w14:textId="783CEC0E"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One mediating variable was used in this study. The </w:t>
      </w:r>
      <w:r w:rsidRPr="009672FC">
        <w:rPr>
          <w:rFonts w:ascii="Garamond" w:hAnsi="Garamond"/>
          <w:i/>
          <w:iCs/>
          <w:color w:val="000000" w:themeColor="text1"/>
        </w:rPr>
        <w:t>relational risk</w:t>
      </w:r>
      <w:r w:rsidRPr="009672FC">
        <w:rPr>
          <w:rFonts w:ascii="Garamond" w:hAnsi="Garamond"/>
          <w:color w:val="000000" w:themeColor="text1"/>
        </w:rPr>
        <w:t xml:space="preserve"> scale measures a partner’s perceived opportunism associated with a partner’s self-interest seeking behaviour in the relationship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{"citationItems":[{"id":"ITEM-1","itemData":{"author":[{"dropping-particle":"","family":"Cook","given":"Karen S.","non-dropping-particle":"","parse-names":false,"suffix":""},{"dropping-particle":"","family":"Yamagishi","given":"Toshio","non-dropping-particle":"","parse-names":false,"suffix":""},{"dropping-particle":"","family":"Cheshire","given":"Coye","non-dropping-particle":"","parse-names":false,"suffix":""},{"dropping-particle":"","family":"Cooper","given":"Robin","non-dropping-particle":"","parse-names":false,"suffix":""},{"dropping-particle":"","family":"Matsuda","given":"Masafumi","non-dropping-particle":"","parse-names":false,"suffix":""},{"dropping-particle":"","family":"Mashima","given":"Rie","non-dropping-particle":"","parse-names":false,"suffix":""}],"container-title":"Social Psychology Quarterly","id":"ITEM-1","issue":"2","issued":{"date-parts":[["2005"]]},"page":"121-142","title":"Trust Building via Risk Taking : A Cross-Societal Experiment","type":"article-journal","volume":"68"},"uris":["http://www.mendeley.com/documents/?uuid=a4c515e3-522d-4e00-b3b2-b3241c4ad7fd"]}],"mendeley":{"formattedCitation":"(Cook et al., 2005)","manualFormatting":"(e.g., Yang et al., 2011; Cook et al., 2005;","plainTextFormattedCitation":"(Cook et al., 2005)","previouslyFormattedCitation":"(Cook et al., 2005)"},"properties":{"noteIndex":0},"schema":"https://github.com/citation-style-language/schema/raw/master/csl-citation.json"}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(e.g., Yang et al., 2011; Cook et al., 2005;</w:t>
      </w:r>
      <w:r w:rsidRPr="009672FC">
        <w:rPr>
          <w:rFonts w:ascii="Garamond" w:hAnsi="Garamond"/>
          <w:color w:val="000000"/>
        </w:rPr>
        <w:fldChar w:fldCharType="end"/>
      </w:r>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Blomqvist and Ståhle, 2000)</w:t>
      </w:r>
      <w:r w:rsidRPr="009672FC">
        <w:rPr>
          <w:rFonts w:ascii="Garamond" w:hAnsi="Garamond"/>
          <w:color w:val="000000"/>
        </w:rPr>
        <w:fldChar w:fldCharType="end"/>
      </w:r>
      <w:r w:rsidRPr="009672FC">
        <w:rPr>
          <w:rFonts w:ascii="Garamond" w:hAnsi="Garamond"/>
          <w:color w:val="000000" w:themeColor="text1"/>
        </w:rPr>
        <w:t>. This scale has an indexed Cronbach’s alpha of 0.93, which is thus suitable for this study. The original four items were adapted to reflect the specific context of this study.</w:t>
      </w:r>
    </w:p>
    <w:p w14:paraId="4D573183" w14:textId="49CC6E4B" w:rsidR="003D5DE8" w:rsidRPr="009672FC" w:rsidRDefault="007549AA" w:rsidP="00890FB2">
      <w:pPr>
        <w:pStyle w:val="Title"/>
        <w:numPr>
          <w:ilvl w:val="2"/>
          <w:numId w:val="10"/>
        </w:numPr>
        <w:spacing w:before="240" w:line="360" w:lineRule="auto"/>
        <w:outlineLvl w:val="2"/>
        <w:rPr>
          <w:rFonts w:ascii="Garamond" w:hAnsi="Garamond" w:cs="Times New Roman"/>
          <w:b/>
          <w:bCs/>
          <w:sz w:val="24"/>
          <w:szCs w:val="24"/>
        </w:rPr>
      </w:pPr>
      <w:bookmarkStart w:id="169" w:name="_Toc85708752"/>
      <w:bookmarkStart w:id="170" w:name="_Toc85709766"/>
      <w:r w:rsidRPr="009672FC">
        <w:rPr>
          <w:rFonts w:ascii="Garamond" w:hAnsi="Garamond" w:cs="Times New Roman"/>
          <w:b/>
          <w:bCs/>
          <w:i/>
          <w:iCs/>
          <w:color w:val="000000" w:themeColor="text1"/>
          <w:sz w:val="24"/>
          <w:szCs w:val="24"/>
        </w:rPr>
        <w:t>Controls</w:t>
      </w:r>
      <w:bookmarkEnd w:id="169"/>
      <w:bookmarkEnd w:id="170"/>
    </w:p>
    <w:p w14:paraId="25135ED6" w14:textId="77777777" w:rsidR="003D5DE8" w:rsidRPr="009672FC" w:rsidRDefault="007549AA">
      <w:pPr>
        <w:spacing w:line="360" w:lineRule="auto"/>
        <w:jc w:val="both"/>
        <w:rPr>
          <w:rFonts w:ascii="Garamond" w:hAnsi="Garamond"/>
          <w:color w:val="000000" w:themeColor="text1"/>
        </w:rPr>
      </w:pPr>
      <w:r w:rsidRPr="009672FC">
        <w:rPr>
          <w:rFonts w:ascii="Garamond" w:hAnsi="Garamond"/>
          <w:color w:val="000000" w:themeColor="text1"/>
        </w:rPr>
        <w:t xml:space="preserve">The industry classification of SMEs according to the size of the enterprise (small, medium-sized enterprises) was used as a control variable in this research. The firm size is a useful indication of the institutionalized trust-building process </w:t>
      </w:r>
      <w:r w:rsidRPr="009672FC">
        <w:rPr>
          <w:rFonts w:ascii="Garamond" w:hAnsi="Garamond"/>
        </w:rPr>
        <w:fldChar w:fldCharType="begin" w:fldLock="1"/>
      </w:r>
      <w:r w:rsidRPr="009672FC">
        <w:rPr>
          <w:rFonts w:ascii="Garamond" w:hAnsi="Garamond"/>
          <w:color w:val="000000"/>
        </w:rPr>
        <w:instrText>ADDIN CSL_CITATION {"citationItems":[{"id":"ITEM-1","itemData":{"DOI":"10.1016/j.jbusres.2016.01.004","ISSN":"01482963","abstract":"Managers and researchers discuss the high potentials of business model innovation (BMI) that may bank upon alliances' value creation potentials. Yet, which circumstances allow best capture value from BMI? This paper's study investigates how firm size and age, the firm's alliance experience, and the alliance duration influence value capture from BMI. BMI has a positive effect on return on equity (ROE), even stronger for firms with greater alliance experience. Besides hypotheses testing, the study delivers insights about configurations of BMI, ROE, firm size and age as well as the firm's previous alliance experience and the alliance duration. FsQCA shows configurations to low, medium, and high ROE.","author":[{"dropping-particle":"","family":"Bouncken","given":"Ricarda B.","non-dropping-particle":"","parse-names":false,"suffix":""},{"dropping-particle":"","family":"Fredrich","given":"Viktor","non-dropping-particle":"","parse-names":false,"suffix":""}],"container-title":"Journal of Business Research","id":"ITEM-1","issue":"9","issued":{"date-parts":[["2016"]]},"page":"3584-3590","publisher":"Elsevier Inc.","title":"Business model innovation in alliances: Successful configurations","type":"article-journal","volume":"69"},"uris":["http://www.mendeley.com/documents/?uuid=ac20ffa8-4c12-4776-b307-39d94bfa2e49"]}],"mendeley":{"formattedCitation":"(Bouncken &amp; Fredrich, 2016)","plainTextFormattedCitation":"(Bouncken &amp; Fredrich, 2016)","previouslyFormattedCitation":"(Bouncken &amp; Fredrich,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&amp; Fredrich, 2016)</w:t>
      </w:r>
      <w:r w:rsidRPr="009672FC">
        <w:rPr>
          <w:rFonts w:ascii="Garamond" w:hAnsi="Garamond"/>
          <w:color w:val="000000"/>
        </w:rPr>
        <w:fldChar w:fldCharType="end"/>
      </w:r>
      <w:r w:rsidRPr="009672FC">
        <w:rPr>
          <w:rFonts w:ascii="Garamond" w:hAnsi="Garamond"/>
          <w:color w:val="000000" w:themeColor="text1"/>
        </w:rPr>
        <w:t xml:space="preserve">. The size of SMEs could influence the nature of trust-building practices. For instance, small firms which are often characterized by the owner/entrepreneur’s social network and personal ties are less likely to </w:t>
      </w:r>
      <w:r w:rsidRPr="009672FC">
        <w:rPr>
          <w:rFonts w:ascii="Garamond" w:hAnsi="Garamond"/>
          <w:color w:val="000000" w:themeColor="text1"/>
        </w:rPr>
        <w:lastRenderedPageBreak/>
        <w:t xml:space="preserve">establish structures that promote trust in a business relationship. Under such situations, firms with prior business relationships are more likely to know each other, and the risk in such a relationship is thus lowered </w:t>
      </w:r>
      <w:r w:rsidRPr="009672FC">
        <w:rPr>
          <w:rFonts w:ascii="Garamond" w:hAnsi="Garamond"/>
        </w:rPr>
        <w:fldChar w:fldCharType="begin" w:fldLock="1"/>
      </w:r>
      <w:r w:rsidRPr="009672FC">
        <w:rPr>
          <w:rFonts w:ascii="Garamond" w:hAnsi="Garamond"/>
          <w:color w:val="000000"/>
        </w:rPr>
        <w:instrText>ADDIN CSL_CITATION {"citationItems":[{"id":"ITEM-1","itemData":{"DOI":"10.1108/09555340510630563","ISSN":"0955534X","abstract":"Purpose: Strategic alliances are often described as risky, dangerous, and instable. When firms adopt these strategies, they are confronted with a relational risk. Nevertheless, little empirical work has been down on relational risk in alliances. For this reason, this research is founded and constructed on two principal questions: what is relational risk? And how is this risk to be managed? Design/methodology/approach: From a methodological point of view, neither one paradigm nor the other concerning previous research was favoured. The process of the empirical research is based on an inductive non-demonstrative step. It was carried out in two phases. Firstly, exploratory research was aimed at complementing previous research and formulating hypotheses. These hypotheses were tested with survey data on 87 partnerships of French biotechnology firms. Findings: The results demonstrate the multidimensional character of relational risk and the duality of relational control. Relational control includes autonomous control and informal control. Research limitations/implications: Nevertheless, this research adopts a static perspective. It is known that alliances evolve, and develop. Consequently, future research should include the interactive process to understand how these two forms of management - autonomous and informal - evolve and in what cases they complement themselves. Practical implications: From a managerial point of view, the results emphasize the need to be aware of existing dynamics between systems of control and relational risk perceptions. Originality/value: This research proposes an empirical study of risk management model in alliance relationships and demonstrates the importance to adopt a multidimensional view of relational risk. © Emerald Group Publishing Limited.","author":[{"dropping-particle":"","family":"Delerue","given":"Hélène","non-dropping-particle":"","parse-names":false,"suffix":""}],"container-title":"European Business Review","id":"ITEM-1","issue":"6","issued":{"date-parts":[["2005"]]},"page":"532-546","title":"Relational risk perception and alliance management in French biotechnology SMEs","type":"article-journal","volume":"17"},"uris":["http://www.mendeley.com/documents/?uuid=54bbfa97-e7c1-4ffb-b300-036c077ab562"]}],"mendeley":{"formattedCitation":"(Delerue, 2005)","plainTextFormattedCitation":"(Delerue, 2005)","previouslyFormattedCitation":"(Delerue, 2005)"},"properties":{"noteIndex":0},"schema":"https://github.com/citation-style-language/schema/raw/master/csl-citation.json"}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(Delerue, 2005)</w:t>
      </w:r>
      <w:r w:rsidRPr="009672FC">
        <w:rPr>
          <w:rFonts w:ascii="Garamond" w:hAnsi="Garamond"/>
          <w:color w:val="000000"/>
        </w:rPr>
        <w:fldChar w:fldCharType="end"/>
      </w:r>
      <w:r w:rsidRPr="009672FC">
        <w:rPr>
          <w:rFonts w:ascii="Garamond" w:hAnsi="Garamond"/>
          <w:color w:val="000000" w:themeColor="text1"/>
        </w:rPr>
        <w:t xml:space="preserve">. Since familiarity between partners promote trust and increase the potential for future business </w:t>
      </w:r>
      <w:r w:rsidRPr="009672FC">
        <w:rPr>
          <w:rFonts w:ascii="Garamond" w:hAnsi="Garamond"/>
        </w:rPr>
        <w:fldChar w:fldCharType="begin" w:fldLock="1"/>
      </w:r>
      <w:r w:rsidRPr="009672FC">
        <w:rPr>
          <w:rFonts w:ascii="Garamond" w:hAnsi="Garamond"/>
          <w:color w:val="000000"/>
        </w:rPr>
        <w:instrText>ADDIN CSL_CITATION {"citationItems":[{"id":"ITEM-1","itemData":{"DOI":"10.1016/j.electacta.2011.07.104","ISSN":"00134686","abstract":"Combined analysis by electrochemical impedance spectroscopy (EIS), time-of-flight secondary ion mass spectrometry (ToF-SIMS) and field emission scanning electron microscopy (FESEM) of the corrosion protection provided to carbon steel by thin (50&amp;#xa0;nm) Al2O3 coatings grown by atomic layer deposition (ALD) and its failure mechanism is reported. In spite of excellent sealing properties, the results show an average dissolution rate of the alumina coating of ?7&amp;#xa0;nm&amp;#xa0;h?1 in neutral 0.2&amp;#xa0;M NaCl and increasing porosity of the remaining layers with increasing immersion time. Alumina dissolution is triggered by the penetration of the solution via cracks/pinholes through the coating to the substrate surface where oxygen reduction takes place, raising the pH. At defective substrate surface sites of high aspect ratio and concentrated residual mechanical stress (along scratches) presumably exposing a higher steel surface fraction, localized dissolution of the coating is promoted by a more facile access of the solution to the substrate surface enhancing oxygen reduction. De-adhesion of the coating is also promoted in these sites by the ingress of the anodic dissolution trenching the steel surface. Localized corrosion of the alloy (i.e. pitting) is triggered prior to complete dissolution of the alumina film on the elsewhere still coated surface matrix.","author":[{"dropping-particle":"","family":"Gulati","given":"R.","non-dropping-particle":"","parse-names":false,"suffix":""}],"container-title":"The academy of management journal","id":"ITEM-1","issue":"1","issued":{"date-parts":[["1995"]]},"page":"85-112","title":"Does Familiarity Breed Trust ? The Implications of Repeated Ties for Contractual Choice in Alliances","type":"article-journal","volume":"38"},"uris":["http://www.mendeley.com/documents/?uuid=5e3a7c93-5688-4171-9912-bda4c3fa799b"]}],"mendeley":{"formattedCitation":"(R. Gulati, 1995)","plainTextFormattedCitation":"(R. Gulati, 1995)","previouslyFormattedCitation":"(R. Gulati, 1995)"},"properties":{"noteIndex":0},"schema":"https://github.com/citation-style-language/schema/raw/master/csl-citation.json"}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(R. Gulati, 1995)</w:t>
      </w:r>
      <w:r w:rsidRPr="009672FC">
        <w:rPr>
          <w:rFonts w:ascii="Garamond" w:hAnsi="Garamond"/>
          <w:color w:val="000000"/>
        </w:rPr>
        <w:fldChar w:fldCharType="end"/>
      </w:r>
      <w:r w:rsidRPr="009672FC">
        <w:rPr>
          <w:rFonts w:ascii="Garamond" w:hAnsi="Garamond"/>
          <w:color w:val="000000" w:themeColor="text1"/>
        </w:rPr>
        <w:t xml:space="preserve">, personal contacts with business actors may further promote the inter-firm trust-building process. Medium-sized enterprises are more likely to develop institutional practices such as a common culture, language, and industry best practices </w:t>
      </w:r>
      <w:r w:rsidRPr="009672FC">
        <w:rPr>
          <w:rFonts w:ascii="Garamond" w:hAnsi="Garamond"/>
        </w:rPr>
        <w:fldChar w:fldCharType="begin" w:fldLock="1"/>
      </w:r>
      <w:r w:rsidRPr="009672FC">
        <w:rPr>
          <w:rFonts w:ascii="Garamond" w:hAnsi="Garamond"/>
          <w:color w:val="000000"/>
        </w:rPr>
        <w:instrText>ADDIN CSL_CITATION {"citationItems":[{"id":"ITEM-1","itemData":{"DOI":"10.1016/j.jbusres.2016.01.004","ISSN":"01482963","abstract":"Managers and researchers discuss the high potentials of business model innovation (BMI) that may bank upon alliances' value creation potentials. Yet, which circumstances allow best capture value from BMI? This paper's study investigates how firm size and age, the firm's alliance experience, and the alliance duration influence value capture from BMI. BMI has a positive effect on return on equity (ROE), even stronger for firms with greater alliance experience. Besides hypotheses testing, the study delivers insights about configurations of BMI, ROE, firm size and age as well as the firm's previous alliance experience and the alliance duration. FsQCA shows configurations to low, medium, and high ROE.","author":[{"dropping-particle":"","family":"Bouncken","given":"Ricarda B.","non-dropping-particle":"","parse-names":false,"suffix":""},{"dropping-particle":"","family":"Fredrich","given":"Viktor","non-dropping-particle":"","parse-names":false,"suffix":""}],"container-title":"Journal of Business Research","id":"ITEM-1","issue":"9","issued":{"date-parts":[["2016"]]},"page":"3584-3590","publisher":"Elsevier Inc.","title":"Business model innovation in alliances: Successful configurations","type":"article-journal","volume":"69"},"uris":["http://www.mendeley.com/documents/?uuid=ac20ffa8-4c12-4776-b307-39d94bfa2e49"]}],"mendeley":{"formattedCitation":"(Bouncken &amp; Fredrich, 2016)","manualFormatting":"(Bouncken and Fredrich, 2016)","plainTextFormattedCitation":"(Bouncken &amp; Fredrich, 2016)","previouslyFormattedCitation":"(Bouncken &amp; Fredrich,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(Bouncken and Fredrich, 2016)</w:t>
      </w:r>
      <w:r w:rsidRPr="009672FC">
        <w:rPr>
          <w:rFonts w:ascii="Garamond" w:hAnsi="Garamond"/>
          <w:color w:val="000000"/>
        </w:rPr>
        <w:fldChar w:fldCharType="end"/>
      </w:r>
      <w:r w:rsidRPr="009672FC">
        <w:rPr>
          <w:rFonts w:ascii="Garamond" w:hAnsi="Garamond"/>
          <w:color w:val="000000" w:themeColor="text1"/>
        </w:rPr>
        <w:t>, reducing the cultural and regulatory effects on alliance innovation performance (</w:t>
      </w:r>
      <w:r w:rsidRPr="009672FC">
        <w:rPr>
          <w:rFonts w:ascii="Garamond" w:hAnsi="Garamond"/>
        </w:rPr>
        <w:fldChar w:fldCharType="begin" w:fldLock="1"/>
      </w:r>
      <w:r w:rsidRPr="009672FC">
        <w:rPr>
          <w:rFonts w:ascii="Garamond" w:hAnsi="Garamond"/>
          <w:color w:val="000000"/>
        </w:rPr>
        <w:instrText>ADDIN CSL_CITATION {"citationItems":[{"id":"ITEM-1","itemData":{"DOI":"10.1108/CCSM-03-2016-0065","ISSN":"20595794","abstract":"Purpose - While previous studies have primarily assumed dysfunctional effects of cultural distance in joint ventures and MandA, this paper elucidates from a positive organizational scholarship perspective how perceived cultural distance can advance firms' new product development within non-equity alliances. The purpose of this paper is to explain how perceived cultural distance stimulates task discourse that supports alliance partners' employees in recognizing and applying culture-related differences as complementary problem-solving potentials. Due to a lower integration level in non-equity alliances compared to joint ventures or MandA, this paper assumes that the positive effects outweigh the negative effects of cultural distance. Design/methodology/approach - This study applies structural equation modeling to test the hypothesized effects on a sample of 246 international alliances in the manufacturing industry. Findings - The analysis mainly supports the hypothesized model and unravels how positive effects can emerge from perceived cultural distance. Practical implications - The findings provide managerial implications. Alliance managers should note that cultural distance can have positive and negative effects, and thus it is not a barrier per se in alliances. Firms can benefit from cultural distance if they are able to leverage culture-specific complementarities through task discourse among partners in alliances. Originality/value - The manuscript uses a unique data set of 246 international alliances from the global manufacturing industry. The manuscript has not been published elsewhere.","author":[{"dropping-particle":"","family":"Pesch","given":"Robin","non-dropping-particle":"","parse-names":false,"suffix":""},{"dropping-particle":"","family":"Bouncken","given":"Ricarda B.","non-dropping-particle":"","parse-names":false,"suffix":""}],"container-title":"Cross Cultural and Strategic Management","id":"ITEM-1","issue":"1","issued":{"date-parts":[["2017"]]},"page":"33-54","title":"The double-edged sword of cultural distance in international alliances: How perceived cultural distance influences trust and task discourse to drive new product development performance.","type":"article-journal","volume":"24"},"uris":["http://www.mendeley.com/documents/?uuid=9e64004b-3857-4ef1-a874-fb1e9daf3ca7"]}],"mendeley":{"formattedCitation":"(Pesch &amp; Bouncken, 2017)","manualFormatting":"Pesch and Bouncken, 2017)","plainTextFormattedCitation":"(Pesch &amp; Bouncken, 2017)","previouslyFormattedCitation":"(Pesch &amp; Bouncken, 2017)"},"properties":{"noteIndex":0},"schema":"https://github.com/citation-style-language/schema/raw/master/csl-citation.json"}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Pesch and Bouncken, 2017)</w:t>
      </w:r>
      <w:r w:rsidRPr="009672FC">
        <w:rPr>
          <w:rFonts w:ascii="Garamond" w:hAnsi="Garamond"/>
          <w:color w:val="000000"/>
        </w:rPr>
        <w:fldChar w:fldCharType="end"/>
      </w:r>
      <w:r w:rsidRPr="009672FC">
        <w:rPr>
          <w:rFonts w:ascii="Garamond" w:hAnsi="Garamond"/>
          <w:color w:val="000000" w:themeColor="text1"/>
        </w:rPr>
        <w:t>.</w:t>
      </w:r>
    </w:p>
    <w:p w14:paraId="7329EEF6" w14:textId="618E2E68" w:rsidR="003D5DE8" w:rsidRPr="009672FC" w:rsidRDefault="007549AA">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71" w:name="_Toc85708753"/>
      <w:bookmarkStart w:id="172" w:name="_Toc85709767"/>
      <w:r w:rsidRPr="009672FC">
        <w:rPr>
          <w:rFonts w:ascii="Garamond" w:hAnsi="Garamond" w:cs="Times New Roman"/>
          <w:b/>
          <w:bCs/>
          <w:i/>
          <w:iCs/>
          <w:color w:val="000000" w:themeColor="text1"/>
          <w:sz w:val="24"/>
          <w:szCs w:val="24"/>
        </w:rPr>
        <w:t>The Sampling Setting.</w:t>
      </w:r>
      <w:bookmarkEnd w:id="171"/>
      <w:bookmarkEnd w:id="172"/>
    </w:p>
    <w:p w14:paraId="323E3B48" w14:textId="77777777" w:rsidR="00890FB2" w:rsidRPr="009672FC" w:rsidRDefault="007549AA" w:rsidP="00890FB2">
      <w:pPr>
        <w:spacing w:line="360" w:lineRule="auto"/>
        <w:jc w:val="both"/>
        <w:rPr>
          <w:rFonts w:ascii="Garamond" w:hAnsi="Garamond"/>
          <w:color w:val="000000" w:themeColor="text1"/>
        </w:rPr>
      </w:pPr>
      <w:r w:rsidRPr="009672FC">
        <w:rPr>
          <w:rFonts w:ascii="Garamond" w:hAnsi="Garamond"/>
          <w:color w:val="000000" w:themeColor="text1"/>
        </w:rPr>
        <w:t xml:space="preserve">A random sampling method is adopted </w:t>
      </w:r>
      <w:r w:rsidRPr="009672FC">
        <w:rPr>
          <w:rFonts w:ascii="Garamond" w:hAnsi="Garamond"/>
        </w:rPr>
        <w:fldChar w:fldCharType="begin" w:fldLock="1"/>
      </w:r>
      <w:r w:rsidRPr="009672FC">
        <w:rPr>
          <w:rFonts w:ascii="Garamond" w:hAnsi="Garamond"/>
          <w:color w:val="000000"/>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Editio","id":"ITEM-1","issued":{"date-parts":[["2009"]]},"publisher":"Pearson Education Limited","publisher-place":"Edinburgh Gate, Harlow, Essex CM20 2JE, England","title":"Research methods for business students","type":"book"},"uris":["http://www.mendeley.com/documents/?uuid=4bf0f9df-7383-4d65-8a69-66ac683dc8c8"]}],"mendeley":{"formattedCitation":"(M. Saunders et al., 2009)","manualFormatting":"(Saunders et al., 2009)","plainTextFormattedCitation":"(M. Saunders et al., 2009)","previouslyFormattedCitation":"(M. Saunders et al.,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(Saunders et al., 2009)</w:t>
      </w:r>
      <w:r w:rsidRPr="009672FC">
        <w:rPr>
          <w:rFonts w:ascii="Garamond" w:hAnsi="Garamond"/>
          <w:color w:val="000000"/>
        </w:rPr>
        <w:fldChar w:fldCharType="end"/>
      </w:r>
      <w:r w:rsidRPr="009672FC">
        <w:rPr>
          <w:rFonts w:ascii="Garamond" w:hAnsi="Garamond"/>
          <w:color w:val="000000" w:themeColor="text1"/>
        </w:rPr>
        <w:t xml:space="preserve">. Our informants comprised of senior manager, the entrepreneur, or the sales professional, who is directly involved in an alliance relationship with other firms, involving SMEs in Kanifing municipality of The Gambia. Respondents were drawn from a list of SMEs that constitute current membership in the Gambia Chamber of Commerce and Industry (GCCI) was obtained, and these respondents were reached through email and phone contacts. Each respondent was requested to participate in the survey a priori, and those that agreed to participate were either sent an online survey (questionnaire) link or administered a face-to-face questionnaire. </w:t>
      </w:r>
    </w:p>
    <w:p w14:paraId="54EF4260" w14:textId="2348930E" w:rsidR="003D5DE8"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 xml:space="preserve">We sought samples from an inter-firm relationship that is characterized not only by the purchase and selling, but also other forms of collaborative partnerships or relationships such as supply chain transportations, information sharing, and technology exchange. SMEs in The Gambia </w:t>
      </w:r>
      <w:proofErr w:type="gramStart"/>
      <w:r w:rsidRPr="009672FC">
        <w:rPr>
          <w:rFonts w:ascii="Garamond" w:hAnsi="Garamond"/>
          <w:color w:val="000000" w:themeColor="text1"/>
        </w:rPr>
        <w:t>are</w:t>
      </w:r>
      <w:proofErr w:type="gramEnd"/>
      <w:r w:rsidRPr="009672FC">
        <w:rPr>
          <w:rFonts w:ascii="Garamond" w:hAnsi="Garamond"/>
          <w:color w:val="000000" w:themeColor="text1"/>
        </w:rPr>
        <w:t xml:space="preserve"> dominant in various sectors of the country (e.g., clothing, food, furniture, computer and IT systems, Machinery, etc.,). Insights from such diverse groups help increase the representative nature of our findings to large SMEs categories in the country.</w:t>
      </w:r>
    </w:p>
    <w:p w14:paraId="79D23DD4" w14:textId="70188FE9" w:rsidR="003D5DE8" w:rsidRPr="009672FC" w:rsidRDefault="007549AA">
      <w:pPr>
        <w:pStyle w:val="Title"/>
        <w:numPr>
          <w:ilvl w:val="1"/>
          <w:numId w:val="10"/>
        </w:numPr>
        <w:spacing w:before="240" w:line="360" w:lineRule="auto"/>
        <w:jc w:val="both"/>
        <w:outlineLvl w:val="1"/>
        <w:rPr>
          <w:rFonts w:ascii="Garamond" w:hAnsi="Garamond" w:cs="Times New Roman"/>
          <w:b/>
          <w:bCs/>
          <w:color w:val="000000" w:themeColor="text1"/>
          <w:sz w:val="24"/>
          <w:szCs w:val="24"/>
        </w:rPr>
      </w:pPr>
      <w:r w:rsidRPr="009672FC">
        <w:rPr>
          <w:rFonts w:ascii="Garamond" w:hAnsi="Garamond" w:cs="Times New Roman"/>
          <w:b/>
          <w:bCs/>
          <w:color w:val="000000" w:themeColor="text1"/>
        </w:rPr>
        <w:t xml:space="preserve"> </w:t>
      </w:r>
      <w:bookmarkStart w:id="173" w:name="_Toc85708754"/>
      <w:bookmarkStart w:id="174" w:name="_Toc85709768"/>
      <w:r w:rsidRPr="009672FC">
        <w:rPr>
          <w:rFonts w:ascii="Garamond" w:hAnsi="Garamond" w:cs="Times New Roman"/>
          <w:b/>
          <w:bCs/>
          <w:color w:val="000000" w:themeColor="text1"/>
          <w:sz w:val="24"/>
          <w:szCs w:val="24"/>
        </w:rPr>
        <w:t>Data Analysis and Results</w:t>
      </w:r>
      <w:bookmarkEnd w:id="173"/>
      <w:bookmarkEnd w:id="174"/>
    </w:p>
    <w:p w14:paraId="119AEFDF" w14:textId="136B4FBB" w:rsidR="003D5DE8" w:rsidRPr="009672FC" w:rsidRDefault="007549AA" w:rsidP="00890FB2">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75" w:name="_Toc85708755"/>
      <w:bookmarkStart w:id="176" w:name="_Toc85709769"/>
      <w:r w:rsidRPr="009672FC">
        <w:rPr>
          <w:rFonts w:ascii="Garamond" w:hAnsi="Garamond" w:cs="Times New Roman"/>
          <w:b/>
          <w:bCs/>
          <w:i/>
          <w:iCs/>
          <w:color w:val="000000" w:themeColor="text1"/>
          <w:sz w:val="24"/>
          <w:szCs w:val="24"/>
        </w:rPr>
        <w:t>Descriptive statistics</w:t>
      </w:r>
      <w:bookmarkEnd w:id="175"/>
      <w:bookmarkEnd w:id="176"/>
    </w:p>
    <w:p w14:paraId="5C43F8A7" w14:textId="5E53453D" w:rsidR="00EB5D6B" w:rsidRPr="00F377A4" w:rsidRDefault="007549AA">
      <w:pPr>
        <w:spacing w:line="360" w:lineRule="auto"/>
        <w:jc w:val="both"/>
        <w:rPr>
          <w:rFonts w:ascii="Garamond" w:hAnsi="Garamond"/>
        </w:rPr>
      </w:pPr>
      <w:r w:rsidRPr="009672FC">
        <w:rPr>
          <w:rFonts w:ascii="Garamond" w:hAnsi="Garamond"/>
          <w:color w:val="000000" w:themeColor="text1"/>
        </w:rPr>
        <w:t xml:space="preserve">Of all the questionnaires dispatched to various managers/entrepreneurs of SMEs in the Gambia, a total of 114 respondents was received and only 7 incomplete forms were excluded from this list. Eventually, 108 complete questionnaires constituted in this study. The respondents include CEOs </w:t>
      </w:r>
      <w:r w:rsidRPr="009672FC">
        <w:rPr>
          <w:rFonts w:ascii="Garamond" w:hAnsi="Garamond"/>
          <w:i/>
          <w:iCs/>
          <w:color w:val="000000" w:themeColor="text1"/>
        </w:rPr>
        <w:t>(39.8%)</w:t>
      </w:r>
      <w:r w:rsidRPr="009672FC">
        <w:rPr>
          <w:rFonts w:ascii="Garamond" w:hAnsi="Garamond"/>
          <w:color w:val="000000" w:themeColor="text1"/>
        </w:rPr>
        <w:t xml:space="preserve">, Entrepreneurs </w:t>
      </w:r>
      <w:r w:rsidRPr="009672FC">
        <w:rPr>
          <w:rFonts w:ascii="Garamond" w:hAnsi="Garamond"/>
          <w:i/>
          <w:iCs/>
          <w:color w:val="000000" w:themeColor="text1"/>
        </w:rPr>
        <w:t>(27.8%),</w:t>
      </w:r>
      <w:r w:rsidRPr="009672FC">
        <w:rPr>
          <w:rFonts w:ascii="Garamond" w:hAnsi="Garamond"/>
          <w:color w:val="000000" w:themeColor="text1"/>
        </w:rPr>
        <w:t xml:space="preserve"> Sales manager (15.7%), CIO (8.3%), CMO (4.6%), CPO (.9%) </w:t>
      </w:r>
      <w:r w:rsidRPr="009672FC">
        <w:rPr>
          <w:rFonts w:ascii="Garamond" w:hAnsi="Garamond"/>
          <w:color w:val="000000" w:themeColor="text1"/>
        </w:rPr>
        <w:lastRenderedPageBreak/>
        <w:t xml:space="preserve">and others </w:t>
      </w:r>
      <w:r w:rsidRPr="009672FC">
        <w:rPr>
          <w:rFonts w:ascii="Garamond" w:hAnsi="Garamond"/>
          <w:i/>
          <w:iCs/>
          <w:color w:val="000000" w:themeColor="text1"/>
        </w:rPr>
        <w:t>(2.8%).</w:t>
      </w:r>
      <w:r w:rsidRPr="009672FC">
        <w:rPr>
          <w:rFonts w:ascii="Garamond" w:hAnsi="Garamond"/>
          <w:color w:val="000000" w:themeColor="text1"/>
        </w:rPr>
        <w:t xml:space="preserve"> Respondents were drawn from various sectors of food processing (13%), clothing/apparel </w:t>
      </w:r>
      <w:r w:rsidRPr="009672FC">
        <w:rPr>
          <w:rFonts w:ascii="Garamond" w:hAnsi="Garamond"/>
          <w:i/>
          <w:iCs/>
          <w:color w:val="000000" w:themeColor="text1"/>
        </w:rPr>
        <w:t>(11%),</w:t>
      </w:r>
      <w:r w:rsidRPr="009672FC">
        <w:rPr>
          <w:rFonts w:ascii="Garamond" w:hAnsi="Garamond"/>
          <w:color w:val="000000" w:themeColor="text1"/>
        </w:rPr>
        <w:t xml:space="preserve"> poultry farming </w:t>
      </w:r>
      <w:r w:rsidRPr="009672FC">
        <w:rPr>
          <w:rFonts w:ascii="Garamond" w:hAnsi="Garamond"/>
          <w:i/>
          <w:iCs/>
          <w:color w:val="000000" w:themeColor="text1"/>
        </w:rPr>
        <w:t>(19%)</w:t>
      </w:r>
      <w:r w:rsidRPr="009672FC">
        <w:rPr>
          <w:rFonts w:ascii="Garamond" w:hAnsi="Garamond"/>
          <w:color w:val="000000" w:themeColor="text1"/>
        </w:rPr>
        <w:t xml:space="preserve">, restaurants/catering </w:t>
      </w:r>
      <w:r w:rsidRPr="009672FC">
        <w:rPr>
          <w:rFonts w:ascii="Garamond" w:hAnsi="Garamond"/>
          <w:i/>
          <w:iCs/>
          <w:color w:val="000000" w:themeColor="text1"/>
        </w:rPr>
        <w:t>(12%),</w:t>
      </w:r>
      <w:r w:rsidRPr="009672FC">
        <w:rPr>
          <w:rFonts w:ascii="Garamond" w:hAnsi="Garamond"/>
          <w:color w:val="000000" w:themeColor="text1"/>
        </w:rPr>
        <w:t xml:space="preserve"> general farming </w:t>
      </w:r>
      <w:r w:rsidRPr="009672FC">
        <w:rPr>
          <w:rFonts w:ascii="Garamond" w:hAnsi="Garamond"/>
          <w:i/>
          <w:iCs/>
          <w:color w:val="000000" w:themeColor="text1"/>
        </w:rPr>
        <w:t>(26%),</w:t>
      </w:r>
      <w:r w:rsidRPr="009672FC">
        <w:rPr>
          <w:rFonts w:ascii="Garamond" w:hAnsi="Garamond"/>
          <w:color w:val="000000" w:themeColor="text1"/>
        </w:rPr>
        <w:t xml:space="preserve"> manufacturing and general merchandising (less than 4%) of respondents. These industries were further grouped and classified according to size: small-sized and medium-sized enterprises. </w:t>
      </w:r>
      <w:r w:rsidRPr="009672FC">
        <w:rPr>
          <w:rFonts w:ascii="Garamond" w:hAnsi="Garamond"/>
        </w:rPr>
        <w:t>Of 108 responses, 64 were categorized as “small-sized enterprises” and 48 as “medium-sized enterprises” which represent 59% and 41% respectively.</w:t>
      </w:r>
    </w:p>
    <w:p w14:paraId="5830E84F" w14:textId="2E25A4E7" w:rsidR="003D5DE8" w:rsidRPr="009672FC" w:rsidRDefault="007549AA">
      <w:pPr>
        <w:pStyle w:val="Title"/>
        <w:numPr>
          <w:ilvl w:val="2"/>
          <w:numId w:val="10"/>
        </w:numPr>
        <w:spacing w:before="240" w:line="360" w:lineRule="auto"/>
        <w:outlineLvl w:val="2"/>
        <w:rPr>
          <w:rFonts w:ascii="Garamond" w:hAnsi="Garamond" w:cs="Times New Roman"/>
          <w:b/>
          <w:bCs/>
          <w:i/>
          <w:iCs/>
          <w:sz w:val="24"/>
          <w:szCs w:val="24"/>
        </w:rPr>
      </w:pPr>
      <w:bookmarkStart w:id="177" w:name="_Toc85708756"/>
      <w:bookmarkStart w:id="178" w:name="_Toc85709770"/>
      <w:r w:rsidRPr="009672FC">
        <w:rPr>
          <w:rFonts w:ascii="Garamond" w:hAnsi="Garamond" w:cs="Times New Roman"/>
          <w:b/>
          <w:bCs/>
          <w:i/>
          <w:iCs/>
          <w:sz w:val="24"/>
          <w:szCs w:val="24"/>
        </w:rPr>
        <w:t>Procedure and Evaluation of Measurement Model</w:t>
      </w:r>
      <w:bookmarkEnd w:id="177"/>
      <w:bookmarkEnd w:id="178"/>
      <w:r w:rsidRPr="009672FC">
        <w:rPr>
          <w:rFonts w:ascii="Garamond" w:hAnsi="Garamond" w:cs="Times New Roman"/>
          <w:b/>
          <w:bCs/>
          <w:i/>
          <w:iCs/>
          <w:sz w:val="24"/>
          <w:szCs w:val="24"/>
        </w:rPr>
        <w:t xml:space="preserve"> </w:t>
      </w:r>
    </w:p>
    <w:p w14:paraId="674CF10B" w14:textId="34268CF7" w:rsidR="003D5DE8" w:rsidRPr="009672FC" w:rsidRDefault="007549AA">
      <w:pPr>
        <w:spacing w:line="360" w:lineRule="auto"/>
        <w:jc w:val="both"/>
        <w:rPr>
          <w:rFonts w:ascii="Garamond" w:hAnsi="Garamond"/>
        </w:rPr>
      </w:pPr>
      <w:r w:rsidRPr="009672FC">
        <w:rPr>
          <w:rFonts w:ascii="Garamond" w:hAnsi="Garamond"/>
        </w:rPr>
        <w:t xml:space="preserve">The partial least squares structural equation modelling (PLS-SEM) technique using Smart-PLS software (version 3 for windows) was used to test the hypotheses of the study. Smart-PLS is a widely used advanced tool for multivariate structural modelling in social science research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{"citationItems":[{"id":"ITEM-1","itemData":{"ISBN":"9788578110796","ISSN":"1098-6596","PMID":"25246403","abstract":"Advances in causal modeling techniques have made it possible for researchers to simultaneously examine theory and measures. However, researchers must use these new techniques appropri- ately. In addition to dealing with the methodological concerns associated with more traditional methods of analysis, researchers using causal modeling approaches must understand their underlying assumptions and limitations. Most researchers are well equipped with a basic understanding of LISREL-type models. In contrast, current familiarity with PLS in the strategic management area is low. The current paper reviews four recent studies in the strategic management area which use PLS. The review notes that the technique has been applied inconsistently, and at times inappropriately, and suggests standards for evaluating future PLS applications.","author":[{"dropping-particle":"","family":"Hulland","given":"John","non-dropping-particle":"","parse-names":false,"suffix":""}],"container-title":"Strategic Management Journal","id":"ITEM-1","issue":"2","issued":{"date-parts":[["1999"]]},"page":"195-204","title":"Use of Partial Least Squares (PLS) in Strategic Management Research: A Review of Four Recent Studies","type":"article-journal","volume":"20"},"uris":["http://www.mendeley.com/documents/?uuid=0964d1a3-5fae-4df8-9b5a-e110afd38c3a"]}],"mendeley":{"formattedCitation":"(Hulland, 1999)","manualFormatting":"Hulland, 1999)","plainTextFormattedCitation":"(Hulland, 1999)","previouslyFormattedCitation":"(Hulland, 1999)"},"properties":{"noteIndex":0},"schema":"https://github.com/citation-style-language/schema/raw/master/csl-citation.json"}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Hulland, 1999)</w:t>
      </w:r>
      <w:r w:rsidRPr="009672FC">
        <w:rPr>
          <w:rFonts w:ascii="Garamond" w:hAnsi="Garamond"/>
        </w:rPr>
        <w:fldChar w:fldCharType="end"/>
      </w:r>
      <w:r w:rsidRPr="009672FC">
        <w:rPr>
          <w:rFonts w:ascii="Garamond" w:hAnsi="Garamond"/>
        </w:rPr>
        <w:t xml:space="preserve">. SmartPLS helps </w:t>
      </w:r>
      <w:proofErr w:type="spellStart"/>
      <w:r w:rsidRPr="009672FC">
        <w:rPr>
          <w:rFonts w:ascii="Garamond" w:hAnsi="Garamond"/>
        </w:rPr>
        <w:t>analyse</w:t>
      </w:r>
      <w:proofErr w:type="spellEnd"/>
      <w:r w:rsidRPr="009672FC">
        <w:rPr>
          <w:rFonts w:ascii="Garamond" w:hAnsi="Garamond"/>
        </w:rPr>
        <w:t xml:space="preserve"> the causal relationship amongst variables, tests the study hypotheses through path modelling, and also help to predict the relevance of the study model </w:t>
      </w:r>
      <w:r w:rsidRPr="009672FC">
        <w:rPr>
          <w:rFonts w:ascii="Garamond" w:hAnsi="Garamond"/>
        </w:rPr>
        <w:fldChar w:fldCharType="begin" w:fldLock="1"/>
      </w:r>
      <w:r w:rsidR="00813D37" w:rsidRPr="009672FC">
        <w:rPr>
          <w:rFonts w:ascii="Garamond" w:hAnsi="Garamond"/>
        </w:rPr>
        <w:instrText>ADDIN CSL_CITATION {"citationItems":[{"id":"ITEM-1","itemData":{"DOI":"10.1016/j.im.2019.05.003","ISSN":"03787206","abstract":"Partial least squares path modeling (PLS-PM) is an estimator that has found widespread application for causal information systems (IS) research. Recently, the method has been subject to many improvements, such as consistent PLS (PLSc) for latent variable models, a bootstrap-based test for overall model fit, and the heterotrait-to-monotrait ratio of correlations for assessing discriminant validity. Scholars who would like to rigorously apply PLS-PM need updated guidelines for its use. This paper explains how to perform and report empirical analyses using PLS-PM including the latest enhancements, and illustrates its application with a fictive example on business value of social media.","author":[{"dropping-particle":"","family":"Benitez","given":"Jose","non-dropping-particle":"","parse-names":false,"suffix":""},{"dropping-particle":"","family":"Henseler","given":"Jörg","non-dropping-particle":"","parse-names":false,"suffix":""},{"dropping-particle":"","family":"Castillo","given":"Ana","non-dropping-particle":"","parse-names":false,"suffix":""},{"dropping-particle":"","family":"Schuberth","given":"Florian","non-dropping-particle":"","parse-names":false,"suffix":""}],"container-title":"Information and Management","id":"ITEM-1","issue":"2","issued":{"date-parts":[["2020"]]},"page":"103168","publisher":"Elsevier","title":"How to perform and report an impactful analysis using partial least squares: Guidelines for confirmatory and explanatory IS research","type":"article-journal","volume":"57"},"uris":["http://www.mendeley.com/documents/?uuid=cb68b4d4-3711-4a23-a0a7-aa9ca093c82e"]}],"mendeley":{"formattedCitation":"(Benitez, Henseler, Castillo, &amp; Schuberth, 2020)","manualFormatting":"(Benitez et al., 2020; Wong, 2013)","plainTextFormattedCitation":"(Benitez, Henseler, Castillo, &amp; Schuberth, 2020)","previouslyFormattedCitation":"(Benitez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(Benitez </w:t>
      </w:r>
      <w:r w:rsidRPr="009672FC">
        <w:rPr>
          <w:rFonts w:ascii="Garamond" w:hAnsi="Garamond"/>
          <w:i/>
          <w:noProof/>
        </w:rPr>
        <w:t>et al.</w:t>
      </w:r>
      <w:r w:rsidRPr="009672FC">
        <w:rPr>
          <w:rFonts w:ascii="Garamond" w:hAnsi="Garamond"/>
          <w:noProof/>
        </w:rPr>
        <w:t xml:space="preserve">, 2020; </w:t>
      </w:r>
      <w:r w:rsidRPr="009672FC">
        <w:rPr>
          <w:rFonts w:ascii="Garamond" w:hAnsi="Garamond"/>
          <w:noProof/>
        </w:rPr>
        <w:fldChar w:fldCharType="begin" w:fldLock="1"/>
      </w:r>
      <w:r w:rsidRPr="009672FC">
        <w:rPr>
          <w:rFonts w:ascii="Garamond" w:hAnsi="Garamond"/>
          <w:noProof/>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Wong, 2013</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Four exogenous latent variables (competence trust, openness trust, reliability trust, and similarity/identification trust), one mediating variable (relational risk), and one endogenous outcome variable (innovation performance) are used in this study.</w:t>
      </w:r>
    </w:p>
    <w:p w14:paraId="41F3139B" w14:textId="77777777" w:rsidR="00890FB2" w:rsidRPr="009672FC" w:rsidRDefault="007549AA" w:rsidP="00890FB2">
      <w:pPr>
        <w:spacing w:before="240" w:line="360" w:lineRule="auto"/>
        <w:jc w:val="both"/>
        <w:rPr>
          <w:rFonts w:ascii="Garamond" w:hAnsi="Garamond"/>
        </w:rPr>
      </w:pPr>
      <w:r w:rsidRPr="009672FC">
        <w:rPr>
          <w:rFonts w:ascii="Garamond" w:hAnsi="Garamond"/>
        </w:rPr>
        <w:t>Results of the standardized path coefficients (Figure 4) for the inner model (the arrows connecting latent variables) was observed between variables. As a rule of thumb, standardized path coefficients weights (-1 to +1), where numbers close to 1 reflect the strongest paths, and closest to 0 reflect the weakest paths were evaluated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For instance, the path from relational risk </w:t>
      </w:r>
      <w:r w:rsidRPr="009672FC">
        <w:rPr>
          <w:rFonts w:ascii="Garamond" w:hAnsi="Garamond"/>
          <w:i/>
          <w:iCs/>
        </w:rPr>
        <w:t>(RRm)</w:t>
      </w:r>
      <w:r w:rsidRPr="009672FC">
        <w:rPr>
          <w:rFonts w:ascii="Garamond" w:hAnsi="Garamond"/>
        </w:rPr>
        <w:t xml:space="preserve"> to innovation performance </w:t>
      </w:r>
      <w:r w:rsidRPr="009672FC">
        <w:rPr>
          <w:rFonts w:ascii="Garamond" w:hAnsi="Garamond"/>
          <w:i/>
          <w:iCs/>
        </w:rPr>
        <w:t>(IPm)</w:t>
      </w:r>
      <w:r w:rsidRPr="009672FC">
        <w:rPr>
          <w:rFonts w:ascii="Garamond" w:hAnsi="Garamond"/>
        </w:rPr>
        <w:t xml:space="preserve"> has the strongest path (0.491), followed by the paths from openness trust </w:t>
      </w:r>
      <w:r w:rsidRPr="009672FC">
        <w:rPr>
          <w:rFonts w:ascii="Garamond" w:hAnsi="Garamond"/>
          <w:i/>
          <w:iCs/>
        </w:rPr>
        <w:t>(OTm)</w:t>
      </w:r>
      <w:r w:rsidRPr="009672FC">
        <w:rPr>
          <w:rFonts w:ascii="Garamond" w:hAnsi="Garamond"/>
        </w:rPr>
        <w:t xml:space="preserve"> to innovation performance </w:t>
      </w:r>
      <w:r w:rsidRPr="009672FC">
        <w:rPr>
          <w:rFonts w:ascii="Garamond" w:hAnsi="Garamond"/>
          <w:i/>
          <w:iCs/>
        </w:rPr>
        <w:t>(IPm)</w:t>
      </w:r>
      <w:r w:rsidRPr="009672FC">
        <w:rPr>
          <w:rFonts w:ascii="Garamond" w:hAnsi="Garamond"/>
        </w:rPr>
        <w:t xml:space="preserve"> (0.348), reliability trust </w:t>
      </w:r>
      <w:r w:rsidRPr="009672FC">
        <w:rPr>
          <w:rFonts w:ascii="Garamond" w:hAnsi="Garamond"/>
          <w:i/>
          <w:iCs/>
        </w:rPr>
        <w:t>(RTm)</w:t>
      </w:r>
      <w:r w:rsidRPr="009672FC">
        <w:rPr>
          <w:rFonts w:ascii="Garamond" w:hAnsi="Garamond"/>
        </w:rPr>
        <w:t xml:space="preserve"> relational risk (</w:t>
      </w:r>
      <w:r w:rsidRPr="009672FC">
        <w:rPr>
          <w:rFonts w:ascii="Garamond" w:hAnsi="Garamond"/>
          <w:i/>
          <w:iCs/>
        </w:rPr>
        <w:t>RRm)</w:t>
      </w:r>
      <w:r w:rsidRPr="009672FC">
        <w:rPr>
          <w:rFonts w:ascii="Garamond" w:hAnsi="Garamond"/>
        </w:rPr>
        <w:t xml:space="preserve"> (0.244), and innovation performance </w:t>
      </w:r>
      <w:r w:rsidRPr="009672FC">
        <w:rPr>
          <w:rFonts w:ascii="Garamond" w:hAnsi="Garamond"/>
          <w:i/>
          <w:iCs/>
        </w:rPr>
        <w:t>(IPm)</w:t>
      </w:r>
      <w:r w:rsidRPr="009672FC">
        <w:rPr>
          <w:rFonts w:ascii="Garamond" w:hAnsi="Garamond"/>
        </w:rPr>
        <w:t xml:space="preserve"> (0.206). </w:t>
      </w:r>
    </w:p>
    <w:p w14:paraId="52363629" w14:textId="1B12ED50" w:rsidR="003D5DE8" w:rsidRPr="009672FC" w:rsidRDefault="007549AA" w:rsidP="00890FB2">
      <w:pPr>
        <w:spacing w:before="240" w:line="360" w:lineRule="auto"/>
        <w:jc w:val="both"/>
        <w:rPr>
          <w:rFonts w:ascii="Garamond" w:hAnsi="Garamond"/>
        </w:rPr>
      </w:pPr>
      <w:r w:rsidRPr="009672FC">
        <w:rPr>
          <w:rFonts w:ascii="Garamond" w:hAnsi="Garamond"/>
        </w:rPr>
        <w:t xml:space="preserve">However, negative coefficients weights were reported in the paths from competence trust </w:t>
      </w:r>
      <w:r w:rsidRPr="009672FC">
        <w:rPr>
          <w:rFonts w:ascii="Garamond" w:hAnsi="Garamond"/>
          <w:i/>
          <w:iCs/>
        </w:rPr>
        <w:t>(CTm)</w:t>
      </w:r>
      <w:r w:rsidRPr="009672FC">
        <w:rPr>
          <w:rFonts w:ascii="Garamond" w:hAnsi="Garamond"/>
        </w:rPr>
        <w:t xml:space="preserve"> to relational risk </w:t>
      </w:r>
      <w:r w:rsidRPr="009672FC">
        <w:rPr>
          <w:rFonts w:ascii="Garamond" w:hAnsi="Garamond"/>
          <w:i/>
          <w:iCs/>
        </w:rPr>
        <w:t>(RRm)</w:t>
      </w:r>
      <w:r w:rsidRPr="009672FC">
        <w:rPr>
          <w:rFonts w:ascii="Garamond" w:hAnsi="Garamond"/>
        </w:rPr>
        <w:t xml:space="preserve"> (-0.206), similarity/identification trust </w:t>
      </w:r>
      <w:r w:rsidRPr="009672FC">
        <w:rPr>
          <w:rFonts w:ascii="Garamond" w:hAnsi="Garamond"/>
          <w:i/>
          <w:iCs/>
        </w:rPr>
        <w:t>(SITm)</w:t>
      </w:r>
      <w:r w:rsidRPr="009672FC">
        <w:rPr>
          <w:rFonts w:ascii="Garamond" w:hAnsi="Garamond"/>
        </w:rPr>
        <w:t xml:space="preserve"> to relational risk </w:t>
      </w:r>
      <w:r w:rsidRPr="009672FC">
        <w:rPr>
          <w:rFonts w:ascii="Garamond" w:hAnsi="Garamond"/>
          <w:i/>
          <w:iCs/>
        </w:rPr>
        <w:t>(RRm)</w:t>
      </w:r>
      <w:r w:rsidRPr="009672FC">
        <w:rPr>
          <w:rFonts w:ascii="Garamond" w:hAnsi="Garamond"/>
        </w:rPr>
        <w:t xml:space="preserve"> (-0.014), and openness trust </w:t>
      </w:r>
      <w:r w:rsidRPr="009672FC">
        <w:rPr>
          <w:rFonts w:ascii="Garamond" w:hAnsi="Garamond"/>
          <w:i/>
          <w:iCs/>
        </w:rPr>
        <w:t>(OTm)</w:t>
      </w:r>
      <w:r w:rsidRPr="009672FC">
        <w:rPr>
          <w:rFonts w:ascii="Garamond" w:hAnsi="Garamond"/>
        </w:rPr>
        <w:t xml:space="preserve"> to innovation performance </w:t>
      </w:r>
      <w:r w:rsidRPr="009672FC">
        <w:rPr>
          <w:rFonts w:ascii="Garamond" w:hAnsi="Garamond"/>
          <w:i/>
          <w:iCs/>
        </w:rPr>
        <w:t>(IPm)</w:t>
      </w:r>
      <w:r w:rsidRPr="009672FC">
        <w:rPr>
          <w:rFonts w:ascii="Garamond" w:hAnsi="Garamond"/>
        </w:rPr>
        <w:t xml:space="preserve"> (-0.146). These results imply that the paths with negative relationships have the weakest ties compared to the positive paths coefficients.</w:t>
      </w:r>
    </w:p>
    <w:p w14:paraId="4026D304" w14:textId="7FB5D651" w:rsidR="00890FB2" w:rsidRPr="009672FC" w:rsidRDefault="00890FB2" w:rsidP="00890FB2">
      <w:pPr>
        <w:spacing w:before="240" w:line="360" w:lineRule="auto"/>
        <w:jc w:val="both"/>
        <w:rPr>
          <w:rFonts w:ascii="Garamond" w:hAnsi="Garamond"/>
        </w:rPr>
      </w:pPr>
      <w:r w:rsidRPr="009672FC">
        <w:rPr>
          <w:rFonts w:ascii="Garamond" w:hAnsi="Garamond"/>
        </w:rPr>
        <w:lastRenderedPageBreak/>
        <w:t>Furthermore, a test of convergence between indicators was checked using the results of the PLS algorithm. Researchers stress that lack of convergence between variables signals that paths coefficient in the output results is unrealistic (</w:t>
      </w:r>
      <w:proofErr w:type="spellStart"/>
      <w:r w:rsidRPr="009672FC">
        <w:rPr>
          <w:rFonts w:ascii="Garamond" w:hAnsi="Garamond"/>
        </w:rPr>
        <w:t>Ringle</w:t>
      </w:r>
      <w:proofErr w:type="spellEnd"/>
      <w:r w:rsidRPr="009672FC">
        <w:rPr>
          <w:rFonts w:ascii="Garamond" w:hAnsi="Garamond"/>
        </w:rPr>
        <w:t xml:space="preserve">, Wende, and Becker, 2015). The empirical results established that convergence was reached after 11 iterations. Out of the original number of items (20 questions), a total of 16 items (questions) were finally used in the analysis of the results. All items were subject to factor loading at an acceptable loading of 0.60 or higher </w:t>
      </w:r>
      <w:r w:rsidRPr="009672FC">
        <w:rPr>
          <w:rFonts w:ascii="Garamond" w:hAnsi="Garamond"/>
        </w:rPr>
        <w:fldChar w:fldCharType="begin" w:fldLock="1"/>
      </w:r>
      <w:r w:rsidR="00813D37" w:rsidRPr="009672FC">
        <w:rPr>
          <w:rFonts w:ascii="Garamond" w:hAnsi="Garamond"/>
        </w:rPr>
        <w:instrText>ADDIN CSL_CITATION {"citationItems":[{"id":"ITEM-1","itemData":{"DOI":"10.2307/1266874","ISSN":"00401706","abstract":"KEY BENEFIT: For over 30 years, this text has provided students with the information they need to understand and apply multivariate data analysis. Hair, et. al provides an applications-oriented introduction to multivariate analysis for the non-statistician. By reducing heavy statistical research into fundamental concepts, the text explains to students how to understand and make use of the results of specific statistical techniques. In this seventh revision, the organization of the chapters has been greatly simplified. New chapters have been added on structural equations modeling, and all sections have been updated to reflect advances in technology, capability, and mathematical techniques. Preparing For a MV Analysis; Dependence Techniques; Interdependence Techniques; Moving Beyond the Basic Techniques MARKET: Statistics and statistical research can provide managers with invaluable data. This textbook teaches them the different kinds of analysis that can be done and how to apply the techniques in the workplace.","author":[{"dropping-particle":"","family":"Hair","given":"Joe F","non-dropping-particle":"","parse-names":false,"suffix":""},{"dropping-particle":"","family":"Black","given":"William C","non-dropping-particle":"","parse-names":false,"suffix":""},{"dropping-particle":"","family":"Babin","given":"Barry J","non-dropping-particle":"","parse-names":false,"suffix":""},{"dropping-particle":"","family":"Anderson","given":"Rolph E","non-dropping-particle":"","parse-names":false,"suffix":""}],"container-title":"Journal of Research Methodology (JRM)","id":"ITEM-1","issue":"2","issued":{"date-parts":[["2015"]]},"number-of-pages":"265-268","title":"Multivariate Data Analysis","type":"book","volume":"22"},"uris":["http://www.mendeley.com/documents/?uuid=b61a3be9-e6f0-4690-8f71-2e586939a07f"]}],"mendeley":{"formattedCitation":"(Joe F Hair, Black, Babin, &amp; Anderson, 2015)","manualFormatting":"(Hair et al., 2015;","plainTextFormattedCitation":"(Joe F Hair, Black, Babin, &amp; Anderson, 2015)","previouslyFormattedCitation":"(Joe F Hair et al.,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(Hair </w:t>
      </w:r>
      <w:r w:rsidRPr="009672FC">
        <w:rPr>
          <w:rFonts w:ascii="Garamond" w:hAnsi="Garamond"/>
          <w:i/>
          <w:noProof/>
        </w:rPr>
        <w:t>et al.</w:t>
      </w:r>
      <w:r w:rsidRPr="009672FC">
        <w:rPr>
          <w:rFonts w:ascii="Garamond" w:hAnsi="Garamond"/>
          <w:noProof/>
        </w:rPr>
        <w:t>, 2015;</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 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Wong, 2013)</w:t>
      </w:r>
      <w:r w:rsidRPr="009672FC">
        <w:rPr>
          <w:rFonts w:ascii="Garamond" w:hAnsi="Garamond"/>
        </w:rPr>
        <w:fldChar w:fldCharType="end"/>
      </w:r>
      <w:r w:rsidRPr="009672FC">
        <w:rPr>
          <w:rFonts w:ascii="Garamond" w:hAnsi="Garamond"/>
        </w:rPr>
        <w:t>.</w:t>
      </w:r>
    </w:p>
    <w:p w14:paraId="04C89206" w14:textId="0DEFB698" w:rsidR="003D5DE8" w:rsidRPr="00F377A4" w:rsidRDefault="00EB5D6B" w:rsidP="00EB5D6B">
      <w:pPr>
        <w:pStyle w:val="Caption"/>
        <w:jc w:val="center"/>
        <w:rPr>
          <w:rFonts w:ascii="Garamond" w:hAnsi="Garamond"/>
          <w:b/>
          <w:bCs/>
          <w:sz w:val="22"/>
          <w:szCs w:val="22"/>
        </w:rPr>
      </w:pPr>
      <w:bookmarkStart w:id="179" w:name="_Toc85710581"/>
      <w:r w:rsidRPr="00F377A4">
        <w:rPr>
          <w:rFonts w:ascii="Garamond" w:hAnsi="Garamond"/>
          <w:sz w:val="22"/>
          <w:szCs w:val="22"/>
        </w:rPr>
        <w:t xml:space="preserve">Figure </w:t>
      </w:r>
      <w:r w:rsidR="00C10BC3" w:rsidRPr="00F377A4">
        <w:rPr>
          <w:rFonts w:ascii="Garamond" w:hAnsi="Garamond"/>
          <w:sz w:val="22"/>
          <w:szCs w:val="22"/>
        </w:rPr>
        <w:fldChar w:fldCharType="begin"/>
      </w:r>
      <w:r w:rsidR="00C10BC3" w:rsidRPr="00F377A4">
        <w:rPr>
          <w:rFonts w:ascii="Garamond" w:hAnsi="Garamond"/>
          <w:sz w:val="22"/>
          <w:szCs w:val="22"/>
        </w:rPr>
        <w:instrText xml:space="preserve"> SEQ Figure \* ARABIC </w:instrText>
      </w:r>
      <w:r w:rsidR="00C10BC3" w:rsidRPr="00F377A4">
        <w:rPr>
          <w:rFonts w:ascii="Garamond" w:hAnsi="Garamond"/>
          <w:sz w:val="22"/>
          <w:szCs w:val="22"/>
        </w:rPr>
        <w:fldChar w:fldCharType="separate"/>
      </w:r>
      <w:r w:rsidR="001C1648">
        <w:rPr>
          <w:rFonts w:ascii="Garamond" w:hAnsi="Garamond"/>
          <w:noProof/>
          <w:sz w:val="22"/>
          <w:szCs w:val="22"/>
        </w:rPr>
        <w:t>6</w:t>
      </w:r>
      <w:r w:rsidR="00C10BC3" w:rsidRPr="00F377A4">
        <w:rPr>
          <w:rFonts w:ascii="Garamond" w:hAnsi="Garamond"/>
          <w:noProof/>
          <w:sz w:val="22"/>
          <w:szCs w:val="22"/>
        </w:rPr>
        <w:fldChar w:fldCharType="end"/>
      </w:r>
      <w:r w:rsidRPr="00F377A4">
        <w:rPr>
          <w:rFonts w:ascii="Garamond" w:hAnsi="Garamond"/>
          <w:sz w:val="22"/>
          <w:szCs w:val="22"/>
        </w:rPr>
        <w:t>. The path coefficients/path relationships</w:t>
      </w:r>
      <w:bookmarkEnd w:id="179"/>
    </w:p>
    <w:p w14:paraId="1D969C77" w14:textId="77777777" w:rsidR="003D5DE8" w:rsidRPr="009672FC" w:rsidRDefault="007549AA">
      <w:pPr>
        <w:ind w:firstLine="720"/>
        <w:rPr>
          <w:rFonts w:ascii="Garamond" w:hAnsi="Garamond"/>
        </w:rPr>
      </w:pPr>
      <w:r w:rsidRPr="009672FC">
        <w:rPr>
          <w:rFonts w:ascii="Garamond" w:hAnsi="Garamond"/>
          <w:noProof/>
          <w:lang w:eastAsia="en-US"/>
        </w:rPr>
        <w:drawing>
          <wp:inline distT="0" distB="0" distL="0" distR="0" wp14:anchorId="7D868D72" wp14:editId="2DED519D">
            <wp:extent cx="4945380" cy="3308985"/>
            <wp:effectExtent l="0" t="0" r="0" b="0"/>
            <wp:docPr id="8"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Diagram&#10;&#10;Description automatically generated"/>
                    <pic:cNvPicPr>
                      <a:picLocks noChangeAspect="1" noChangeArrowheads="1"/>
                    </pic:cNvPicPr>
                  </pic:nvPicPr>
                  <pic:blipFill>
                    <a:blip r:embed="rId30"/>
                    <a:stretch>
                      <a:fillRect/>
                    </a:stretch>
                  </pic:blipFill>
                  <pic:spPr bwMode="auto">
                    <a:xfrm>
                      <a:off x="0" y="0"/>
                      <a:ext cx="4945380" cy="3308985"/>
                    </a:xfrm>
                    <a:prstGeom prst="rect">
                      <a:avLst/>
                    </a:prstGeom>
                  </pic:spPr>
                </pic:pic>
              </a:graphicData>
            </a:graphic>
          </wp:inline>
        </w:drawing>
      </w:r>
    </w:p>
    <w:p w14:paraId="35FD421F" w14:textId="77777777" w:rsidR="003D5DE8" w:rsidRPr="00F377A4" w:rsidRDefault="007549AA">
      <w:pPr>
        <w:ind w:firstLine="720"/>
        <w:jc w:val="center"/>
        <w:rPr>
          <w:rFonts w:ascii="Garamond" w:hAnsi="Garamond"/>
          <w:i/>
          <w:iCs/>
          <w:sz w:val="22"/>
          <w:szCs w:val="22"/>
        </w:rPr>
      </w:pPr>
      <w:r w:rsidRPr="00F377A4">
        <w:rPr>
          <w:rFonts w:ascii="Garamond" w:hAnsi="Garamond"/>
          <w:i/>
          <w:iCs/>
          <w:sz w:val="22"/>
          <w:szCs w:val="22"/>
        </w:rPr>
        <w:t>Source, empirical data, June, SmartPLS model algorithm output.</w:t>
      </w:r>
    </w:p>
    <w:p w14:paraId="4FDE5E47" w14:textId="65B59053" w:rsidR="003D5DE8" w:rsidRPr="009672FC" w:rsidRDefault="007549AA" w:rsidP="00890FB2">
      <w:pPr>
        <w:spacing w:before="240" w:line="360" w:lineRule="auto"/>
        <w:jc w:val="both"/>
        <w:rPr>
          <w:rFonts w:ascii="Garamond" w:hAnsi="Garamond"/>
        </w:rPr>
      </w:pPr>
      <w:r w:rsidRPr="009672FC">
        <w:rPr>
          <w:rFonts w:ascii="Garamond" w:hAnsi="Garamond"/>
        </w:rPr>
        <w:t xml:space="preserve">Following the convention, all other factors below the minimum threshold (&lt; 0.60) were removed. The test of </w:t>
      </w:r>
      <w:bookmarkStart w:id="180" w:name="_Hlk75481791"/>
      <w:r w:rsidRPr="009672FC">
        <w:rPr>
          <w:rFonts w:ascii="Garamond" w:hAnsi="Garamond"/>
        </w:rPr>
        <w:t xml:space="preserve">convergent </w:t>
      </w:r>
      <w:bookmarkEnd w:id="180"/>
      <w:r w:rsidRPr="009672FC">
        <w:rPr>
          <w:rFonts w:ascii="Garamond" w:hAnsi="Garamond"/>
        </w:rPr>
        <w:t xml:space="preserve">validity demonstrates that the indicators are a good measure of constructs used in this study. Indicators of competence trust </w:t>
      </w:r>
      <w:r w:rsidRPr="009672FC">
        <w:rPr>
          <w:rFonts w:ascii="Garamond" w:hAnsi="Garamond"/>
          <w:i/>
          <w:iCs/>
        </w:rPr>
        <w:t>(CT1, CT2, CT3)</w:t>
      </w:r>
      <w:r w:rsidRPr="009672FC">
        <w:rPr>
          <w:rFonts w:ascii="Garamond" w:hAnsi="Garamond"/>
        </w:rPr>
        <w:t xml:space="preserve">, openness trust </w:t>
      </w:r>
      <w:r w:rsidRPr="009672FC">
        <w:rPr>
          <w:rFonts w:ascii="Garamond" w:hAnsi="Garamond"/>
          <w:i/>
          <w:iCs/>
        </w:rPr>
        <w:t>(OT1, OT2)</w:t>
      </w:r>
      <w:r w:rsidRPr="009672FC">
        <w:rPr>
          <w:rFonts w:ascii="Garamond" w:hAnsi="Garamond"/>
        </w:rPr>
        <w:t xml:space="preserve">, similarity or identification trust </w:t>
      </w:r>
      <w:r w:rsidRPr="009672FC">
        <w:rPr>
          <w:rFonts w:ascii="Garamond" w:hAnsi="Garamond"/>
          <w:i/>
          <w:iCs/>
        </w:rPr>
        <w:t>(SIT1, SIT2, SIT3, SIT5)</w:t>
      </w:r>
      <w:r w:rsidRPr="009672FC">
        <w:rPr>
          <w:rFonts w:ascii="Garamond" w:hAnsi="Garamond"/>
        </w:rPr>
        <w:t xml:space="preserve">, and reliability trust </w:t>
      </w:r>
      <w:r w:rsidRPr="009672FC">
        <w:rPr>
          <w:rFonts w:ascii="Garamond" w:hAnsi="Garamond"/>
          <w:i/>
          <w:iCs/>
        </w:rPr>
        <w:t>(RT1, RT2)</w:t>
      </w:r>
      <w:r w:rsidRPr="009672FC">
        <w:rPr>
          <w:rFonts w:ascii="Garamond" w:hAnsi="Garamond"/>
        </w:rPr>
        <w:t xml:space="preserve">, relational risk </w:t>
      </w:r>
      <w:r w:rsidRPr="009672FC">
        <w:rPr>
          <w:rFonts w:ascii="Garamond" w:hAnsi="Garamond"/>
          <w:i/>
          <w:iCs/>
        </w:rPr>
        <w:t>(RR1, RR2)</w:t>
      </w:r>
      <w:r w:rsidRPr="009672FC">
        <w:rPr>
          <w:rFonts w:ascii="Garamond" w:hAnsi="Garamond"/>
        </w:rPr>
        <w:t xml:space="preserve">, and </w:t>
      </w:r>
      <w:r w:rsidRPr="009672FC">
        <w:rPr>
          <w:rFonts w:ascii="Garamond" w:hAnsi="Garamond"/>
          <w:i/>
          <w:iCs/>
        </w:rPr>
        <w:t>IPm</w:t>
      </w:r>
      <w:r w:rsidRPr="009672FC">
        <w:rPr>
          <w:rFonts w:ascii="Garamond" w:hAnsi="Garamond"/>
        </w:rPr>
        <w:t xml:space="preserve"> </w:t>
      </w:r>
      <w:r w:rsidRPr="009672FC">
        <w:rPr>
          <w:rFonts w:ascii="Garamond" w:hAnsi="Garamond"/>
          <w:i/>
          <w:iCs/>
        </w:rPr>
        <w:t xml:space="preserve">(IP1, IP2, IP3) </w:t>
      </w:r>
      <w:r w:rsidRPr="009672FC">
        <w:rPr>
          <w:rFonts w:ascii="Garamond" w:hAnsi="Garamond"/>
        </w:rPr>
        <w:t>satisfactorily meet the minimum threshold for convergent validity (0.60)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{"citationItems":[{"id":"ITEM-1","itemData":{"ISBN":"9788578110796","ISSN":"1098-6596","PMID":"25246403","abstract":"Advances in causal modeling techniques have made it possible for researchers to simultaneously examine theory and measures. However, researchers must use these new techniques appropri- ately. In addition to dealing with the methodological concerns associated with more traditional methods of analysis, researchers using causal modeling approaches must understand their underlying assumptions and limitations. Most researchers are well equipped with a basic understanding of LISREL-type models. In contrast, current familiarity with PLS in the strategic management area is low. The current paper reviews four recent studies in the strategic management area which use PLS. The review notes that the technique has been applied inconsistently, and at times inappropriately, and suggests standards for evaluating future PLS applications.","author":[{"dropping-particle":"","family":"Hulland","given":"John","non-dropping-particle":"","parse-names":false,"suffix":""}],"container-title":"Strategic Management Journal","id":"ITEM-1","issue":"2","issued":{"date-parts":[["1999"]]},"page":"195-204","title":"Use of Partial Least Squares (PLS) in Strategic Management Research: A Review of Four Recent Studies","type":"article-journal","volume":"20"},"uris":["http://www.mendeley.com/documents/?uuid=0964d1a3-5fae-4df8-9b5a-e110afd38c3a"]}],"mendeley":{"formattedCitation":"(Hulland, 1999)","manualFormatting":"Hulland, 1999)","plainTextFormattedCitation":"(Hulland, 1999)","previouslyFormattedCitation":"(Hulland, 1999)"},"properties":{"noteIndex":0},"schema":"https://github.com/citation-style-language/schema/raw/master/csl-citation.json"}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Hulland, 1999)</w:t>
      </w:r>
      <w:r w:rsidRPr="009672FC">
        <w:rPr>
          <w:rFonts w:ascii="Garamond" w:hAnsi="Garamond"/>
        </w:rPr>
        <w:fldChar w:fldCharType="end"/>
      </w:r>
      <w:r w:rsidRPr="009672FC">
        <w:rPr>
          <w:rFonts w:ascii="Garamond" w:hAnsi="Garamond"/>
        </w:rPr>
        <w:t xml:space="preserve">. However, cross-loading scores less than the acceptable were established for indicators of relational risks </w:t>
      </w:r>
      <w:r w:rsidRPr="009672FC">
        <w:rPr>
          <w:rFonts w:ascii="Garamond" w:hAnsi="Garamond"/>
          <w:i/>
          <w:iCs/>
        </w:rPr>
        <w:t>(RR3)</w:t>
      </w:r>
      <w:r w:rsidRPr="009672FC">
        <w:rPr>
          <w:rFonts w:ascii="Garamond" w:hAnsi="Garamond"/>
        </w:rPr>
        <w:t xml:space="preserve">, reliability trust </w:t>
      </w:r>
      <w:r w:rsidRPr="009672FC">
        <w:rPr>
          <w:rFonts w:ascii="Garamond" w:hAnsi="Garamond"/>
          <w:i/>
          <w:iCs/>
        </w:rPr>
        <w:t>(RT3)</w:t>
      </w:r>
      <w:r w:rsidRPr="009672FC">
        <w:rPr>
          <w:rFonts w:ascii="Garamond" w:hAnsi="Garamond"/>
        </w:rPr>
        <w:t xml:space="preserve">, and similarity/identification trust </w:t>
      </w:r>
      <w:r w:rsidRPr="009672FC">
        <w:rPr>
          <w:rFonts w:ascii="Garamond" w:hAnsi="Garamond"/>
          <w:i/>
          <w:iCs/>
        </w:rPr>
        <w:t>(SIT4)</w:t>
      </w:r>
      <w:r w:rsidRPr="009672FC">
        <w:rPr>
          <w:rFonts w:ascii="Garamond" w:hAnsi="Garamond"/>
        </w:rPr>
        <w:t xml:space="preserve"> and are thus removed and excluded from the final analysis of the structured model.</w:t>
      </w:r>
    </w:p>
    <w:p w14:paraId="7D2E4B9A" w14:textId="2ABCD03C" w:rsidR="00890FB2" w:rsidRPr="009672FC" w:rsidRDefault="007549AA" w:rsidP="00890FB2">
      <w:pPr>
        <w:spacing w:before="240" w:line="360" w:lineRule="auto"/>
        <w:jc w:val="both"/>
        <w:rPr>
          <w:rFonts w:ascii="Garamond" w:hAnsi="Garamond"/>
        </w:rPr>
      </w:pPr>
      <w:r w:rsidRPr="009672FC">
        <w:rPr>
          <w:rFonts w:ascii="Garamond" w:hAnsi="Garamond"/>
        </w:rPr>
        <w:lastRenderedPageBreak/>
        <w:t xml:space="preserve">A multicollinearity test of the inner structural model was employed. Following several studies, </w:t>
      </w:r>
      <w:r w:rsidRPr="009672FC">
        <w:rPr>
          <w:rFonts w:ascii="Garamond" w:hAnsi="Garamond"/>
        </w:rPr>
        <w:fldChar w:fldCharType="begin" w:fldLock="1"/>
      </w:r>
      <w:r w:rsidRPr="009672FC">
        <w:rPr>
          <w:rFonts w:ascii="Garamond" w:hAnsi="Garamond"/>
        </w:rPr>
        <w:instrText>ADDIN CSL_CITATION {"citationItems":[{"id":"ITEM-1","itemData":{"DOI":"10.1016/j.im.2019.05.003","ISSN":"03787206","abstract":"Partial least squares path modeling (PLS-PM) is an estimator that has found widespread application for causal information systems (IS) research. Recently, the method has been subject to many improvements, such as consistent PLS (PLSc) for latent variable models, a bootstrap-based test for overall model fit, and the heterotrait-to-monotrait ratio of correlations for assessing discriminant validity. Scholars who would like to rigorously apply PLS-PM need updated guidelines for its use. This paper explains how to perform and report empirical analyses using PLS-PM including the latest enhancements, and illustrates its application with a fictive example on business value of social media.","author":[{"dropping-particle":"","family":"Benitez","given":"Jose","non-dropping-particle":"","parse-names":false,"suffix":""},{"dropping-particle":"","family":"Henseler","given":"Jörg","non-dropping-particle":"","parse-names":false,"suffix":""},{"dropping-particle":"","family":"Castillo","given":"Ana","non-dropping-particle":"","parse-names":false,"suffix":""},{"dropping-particle":"","family":"Schuberth","given":"Florian","non-dropping-particle":"","parse-names":false,"suffix":""}],"container-title":"Information and Management","id":"ITEM-1","issue":"2","issued":{"date-parts":[["2020"]]},"page":"103168","publisher":"Elsevier","title":"How to perform and report an impactful analysis using partial least squares: Guidelines for confirmatory and explanatory IS research","type":"article-journal","volume":"57"},"uris":["http://www.mendeley.com/documents/?uuid=cb68b4d4-3711-4a23-a0a7-aa9ca093c82e"]}],"mendeley":{"formattedCitation":"(Benitez et al., 2020)","manualFormatting":"(e.g., Benitez et al., 2020;","plainTextFormattedCitation":"(Benitez et al., 2020)","previouslyFormattedCitation":"(Benitez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(e.g., Benitez </w:t>
      </w:r>
      <w:r w:rsidRPr="009672FC">
        <w:rPr>
          <w:rFonts w:ascii="Garamond" w:hAnsi="Garamond"/>
          <w:i/>
          <w:noProof/>
        </w:rPr>
        <w:t>et al.</w:t>
      </w:r>
      <w:r w:rsidRPr="009672FC">
        <w:rPr>
          <w:rFonts w:ascii="Garamond" w:hAnsi="Garamond"/>
          <w:noProof/>
        </w:rPr>
        <w:t>, 2020;</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{"citationItems":[{"id":"ITEM-1","itemData":{"DOI":"10.1007/s11846-014-0127-7","ISSN":"18636691","abstract":"In this study we investigate the impact of trust on the performance of cooperating firms, taking into account two core aspects: First, we look at environmental uncertainty, which shows in the degree of change there is in business freedom. Second, we account for behavioral uncertainty—captured as the average level of freedom from corruption in a country. Based on survey data from 791 firms engaged in national cooperation in Austria, the Czech Republic, Finland, Hungary, Slovakia and Slovenia, we find that behavioral coordination based on trust impacts on cooperating firms’ performance positively in dynamic and negatively in stable contexts. Freedom from corruption enhances firm performance in dynamic contexts but is not a significant predictor in stable contexts. Further, we find the trust–performance relationship to be moderated by freedom from corruption in dynamic but not in stable contexts. The findings contribute to a more contextualized research on trust and interorganizational cooperation, as has been called for recently.","author":[{"dropping-particle":"","family":"Hatak","given":"Isabella","non-dropping-particle":"","parse-names":false,"suffix":""},{"dropping-particle":"","family":"Fink","given":"Matthias","non-dropping-particle":"","parse-names":false,"suffix":""},{"dropping-particle":"","family":"Frank","given":"Hermann","non-dropping-particle":"","parse-names":false,"suffix":""}],"container-title":"Review of Managerial Science","id":"ITEM-1","issue":"3","issued":{"date-parts":[["2015"]]},"page":"523-547","publisher":"Springer Berlin Heidelberg","title":"Business freedom, corruption and the performance of trusting cooperation partners: empirical findings from six European countries","type":"article-journal","volume":"9"},"uris":["http://www.mendeley.com/documents/?uuid=c8adb13d-5d68-4824-933f-767141c4e869"]}],"mendeley":{"formattedCitation":"(Hatak et al., 2015)","manualFormatting":" Hatak, Fink and Frank, 2015)","plainTextFormattedCitation":"(Hatak et al., 2015)","previouslyFormattedCitation":"(Hatak et al.,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Hatak, Fink and Frank, 2015)</w:t>
      </w:r>
      <w:r w:rsidRPr="009672FC">
        <w:rPr>
          <w:rFonts w:ascii="Garamond" w:hAnsi="Garamond"/>
        </w:rPr>
        <w:fldChar w:fldCharType="end"/>
      </w:r>
      <w:r w:rsidRPr="009672FC">
        <w:rPr>
          <w:rFonts w:ascii="Garamond" w:hAnsi="Garamond"/>
        </w:rPr>
        <w:t xml:space="preserve"> tolerance inflation factor (VIF) is a popular criterion used to assess the presence of multicollinearity problem. Typically, researchers use a cut-off value &gt; 5 as indications of problematic multicollinearity </w:t>
      </w:r>
      <w:r w:rsidRPr="009672FC">
        <w:rPr>
          <w:rFonts w:ascii="Garamond" w:hAnsi="Garamond"/>
        </w:rPr>
        <w:fldChar w:fldCharType="begin" w:fldLock="1"/>
      </w:r>
      <w:r w:rsidR="00813D37" w:rsidRPr="009672FC">
        <w:rPr>
          <w:rFonts w:ascii="Garamond" w:hAnsi="Garamond"/>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Ringle, &amp; Sarstedt, 2011)","manualFormatting":"(Benitez et al., 2020; Hair, Ringle, &amp; Sarstedt, 2011)","plainTextFormattedCitation":"(Joe F Hair, Ringle, &amp; Sarstedt, 2011)","previouslyFormattedCitation":"(Joe F Hair et al.,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noProof/>
        </w:rPr>
        <w:fldChar w:fldCharType="begin" w:fldLock="1"/>
      </w:r>
      <w:r w:rsidRPr="009672FC">
        <w:rPr>
          <w:rFonts w:ascii="Garamond" w:hAnsi="Garamond"/>
          <w:noProof/>
        </w:rPr>
        <w:instrText>ADDIN CSL_CITATION {"citationItems":[{"id":"ITEM-1","itemData":{"DOI":"10.1016/j.im.2019.05.003","ISSN":"03787206","abstract":"Partial least squares path modeling (PLS-PM) is an estimator that has found widespread application for causal information systems (IS) research. Recently, the method has been subject to many improvements, such as consistent PLS (PLSc) for latent variable models, a bootstrap-based test for overall model fit, and the heterotrait-to-monotrait ratio of correlations for assessing discriminant validity. Scholars who would like to rigorously apply PLS-PM need updated guidelines for its use. This paper explains how to perform and report empirical analyses using PLS-PM including the latest enhancements, and illustrates its application with a fictive example on business value of social media.","author":[{"dropping-particle":"","family":"Benitez","given":"Jose","non-dropping-particle":"","parse-names":false,"suffix":""},{"dropping-particle":"","family":"Henseler","given":"Jörg","non-dropping-particle":"","parse-names":false,"suffix":""},{"dropping-particle":"","family":"Castillo","given":"Ana","non-dropping-particle":"","parse-names":false,"suffix":""},{"dropping-particle":"","family":"Schuberth","given":"Florian","non-dropping-particle":"","parse-names":false,"suffix":""}],"container-title":"Information and Management","id":"ITEM-1","issue":"2","issued":{"date-parts":[["2020"]]},"page":"103168","publisher":"Elsevier","title":"How to perform and report an impactful analysis using partial least squares: Guidelines for confirmatory and explanatory IS research","type":"article-journal","volume":"57"},"uris":["http://www.mendeley.com/documents/?uuid=cb68b4d4-3711-4a23-a0a7-aa9ca093c82e"]}],"mendeley":{"formattedCitation":"(Benitez et al., 2020)","manualFormatting":"Benitez et al., 2020;","plainTextFormattedCitation":"(Benitez et al., 2020)","previouslyFormattedCitation":"(Benitez et al., 2020)"},"properties":{"noteIndex":0},"schema":"https://github.com/citation-style-language/schema/raw/master/csl-citation.json"}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Benitez et al., 2020;</w:t>
      </w:r>
      <w:r w:rsidRPr="009672FC">
        <w:rPr>
          <w:rFonts w:ascii="Garamond" w:hAnsi="Garamond"/>
          <w:noProof/>
        </w:rPr>
        <w:fldChar w:fldCharType="end"/>
      </w:r>
      <w:r w:rsidRPr="009672FC">
        <w:rPr>
          <w:rFonts w:ascii="Garamond" w:hAnsi="Garamond"/>
          <w:noProof/>
        </w:rPr>
        <w:t xml:space="preserve"> Hair, Ringle, &amp; Sarstedt, 2011)</w:t>
      </w:r>
      <w:r w:rsidRPr="009672FC">
        <w:rPr>
          <w:rFonts w:ascii="Garamond" w:hAnsi="Garamond"/>
        </w:rPr>
        <w:fldChar w:fldCharType="end"/>
      </w:r>
      <w:r w:rsidRPr="009672FC">
        <w:rPr>
          <w:rFonts w:ascii="Garamond" w:hAnsi="Garamond"/>
        </w:rPr>
        <w:t xml:space="preserve">. In that regard, VIF scores a far below this threshold (&lt; 5) (in Table 6) thus established that the absence of serious multicollinearity problem, as the highest VIF score of 2.355 </w:t>
      </w:r>
      <w:r w:rsidRPr="009672FC">
        <w:rPr>
          <w:rFonts w:ascii="Garamond" w:hAnsi="Garamond"/>
          <w:i/>
          <w:iCs/>
        </w:rPr>
        <w:t>(IP_3)</w:t>
      </w:r>
      <w:r w:rsidRPr="009672FC">
        <w:rPr>
          <w:rFonts w:ascii="Garamond" w:hAnsi="Garamond"/>
        </w:rPr>
        <w:t xml:space="preserve"> is clearly below the conventional threshold. </w:t>
      </w:r>
    </w:p>
    <w:p w14:paraId="038053EA" w14:textId="77777777" w:rsidR="00890FB2" w:rsidRPr="009672FC" w:rsidRDefault="007549AA" w:rsidP="00890FB2">
      <w:pPr>
        <w:spacing w:before="240" w:line="360" w:lineRule="auto"/>
        <w:jc w:val="both"/>
        <w:rPr>
          <w:rFonts w:ascii="Garamond" w:hAnsi="Garamond"/>
        </w:rPr>
      </w:pPr>
      <w:r w:rsidRPr="009672FC">
        <w:rPr>
          <w:rFonts w:ascii="Garamond" w:hAnsi="Garamond"/>
        </w:rPr>
        <w:t xml:space="preserve">A discriminant analysis of constructs (Table 7) was performed using Average Variance Extracted (AVE), Fornell and Larcker criterion (FL) and composite reliability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{"citationItems":[{"id":"ITEM-1","itemData":{"ISBN":"9788578110796","ISSN":"1098-6596","PMID":"25246403","abstract":"Advances in causal modeling techniques have made it possible for researchers to simultaneously examine theory and measures. However, researchers must use these new techniques appropri- ately. In addition to dealing with the methodological concerns associated with more traditional methods of analysis, researchers using causal modeling approaches must understand their underlying assumptions and limitations. Most researchers are well equipped with a basic understanding of LISREL-type models. In contrast, current familiarity with PLS in the strategic management area is low. The current paper reviews four recent studies in the strategic management area which use PLS. The review notes that the technique has been applied inconsistently, and at times inappropriately, and suggests standards for evaluating future PLS applications.","author":[{"dropping-particle":"","family":"Hulland","given":"John","non-dropping-particle":"","parse-names":false,"suffix":""}],"container-title":"Strategic Management Journal","id":"ITEM-1","issue":"2","issued":{"date-parts":[["1999"]]},"page":"195-204","title":"Use of Partial Least Squares (PLS) in Strategic Management Research: A Review of Four Recent Studies","type":"article-journal","volume":"20"},"uris":["http://www.mendeley.com/documents/?uuid=0964d1a3-5fae-4df8-9b5a-e110afd38c3a"]}],"mendeley":{"formattedCitation":"(Hulland, 1999)","manualFormatting":"Hulland, 1999)","plainTextFormattedCitation":"(Hulland, 1999)","previouslyFormattedCitation":"(Hulland, 1999)"},"properties":{"noteIndex":0},"schema":"https://github.com/citation-style-language/schema/raw/master/csl-citation.json"}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Hulland, 1999)</w:t>
      </w:r>
      <w:r w:rsidRPr="009672FC">
        <w:rPr>
          <w:rFonts w:ascii="Garamond" w:hAnsi="Garamond"/>
        </w:rPr>
        <w:fldChar w:fldCharType="end"/>
      </w:r>
      <w:r w:rsidRPr="009672FC">
        <w:rPr>
          <w:rFonts w:ascii="Garamond" w:hAnsi="Garamond"/>
        </w:rPr>
        <w:t xml:space="preserve">. Scholars suggest a minimum value for the discriminant analysis using (AVE) (0.50) is necessary for exploratory research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{"citationItems":[{"id":"ITEM-1","itemData":{"DOI":"10.1007/BF02723327","ISSN":"00920703","abstract":"Criteria for evaluating structural equation models with latent variables are defined, critiqued, and illustrated. An overall program for model evaluation is proposed based upon an interpretation of converging and diverging evidence. Model assessment is considered to be a complex process mixing statistical criteria with philosophical, historical, and theoretical elements. Inevitably the process entails some attempt at a reconcilation between so-called objective and subjective norms. © 1988 Academy of Marketing Science.","author":[{"dropping-particle":"","family":"Bagozzi","given":"Richard P.","non-dropping-particle":"","parse-names":false,"suffix":""},{"dropping-particle":"","family":"Yi","given":"Youjae","non-dropping-particle":"","parse-names":false,"suffix":""}],"container-title":"Journal of the Academy of Marketing Science","id":"ITEM-1","issue":"1","issued":{"date-parts":[["1988"]]},"page":"74-94","title":"On the evaluation of structural equation models","type":"article-journal","volume":"16"},"uris":["http://www.mendeley.com/documents/?uuid=7f10ed24-1366-4c86-80ff-7b178006aabf"]}],"mendeley":{"formattedCitation":"(Bagozzi &amp; Yi, 1988)","manualFormatting":"Bagozzi and Yi, 1988)","plainTextFormattedCitation":"(Bagozzi &amp; Yi, 1988)","previouslyFormattedCitation":"(Bagozzi &amp; Yi, 1988)"},"properties":{"noteIndex":0},"schema":"https://github.com/citation-style-language/schema/raw/master/csl-citation.json"}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Bagozzi and Yi, 1988)</w:t>
      </w:r>
      <w:r w:rsidRPr="009672FC">
        <w:rPr>
          <w:rFonts w:ascii="Garamond" w:hAnsi="Garamond"/>
        </w:rPr>
        <w:fldChar w:fldCharType="end"/>
      </w:r>
      <w:r w:rsidRPr="009672FC">
        <w:rPr>
          <w:rFonts w:ascii="Garamond" w:hAnsi="Garamond"/>
        </w:rPr>
        <w:t xml:space="preserve">. The composite reliability scores (&gt; 0.5 and 0.7) instead of Cronbach’s Alpha, was used to check for the Construct reliability also called internal consistency of the constructs. In fact, researchers suggest that composite reliability is a better test for internal consistency than Cronbach’s Alpha </w:t>
      </w:r>
      <w:r w:rsidRPr="009672FC">
        <w:rPr>
          <w:rFonts w:ascii="Garamond" w:hAnsi="Garamond"/>
        </w:rPr>
        <w:fldChar w:fldCharType="begin" w:fldLock="1"/>
      </w:r>
      <w:r w:rsidRPr="009672FC">
        <w:rPr>
          <w:rFonts w:ascii="Garamond" w:hAnsi="Garamond"/>
        </w:rPr>
        <w:instrText>ADDIN CSL_CITATION {"citationItems":[{"id":"ITEM-1","itemData":{"DOI":"10.1007/BF02723327","ISSN":"00920703","abstract":"Criteria for evaluating structural equation models with latent variables are defined, critiqued, and illustrated. An overall program for model evaluation is proposed based upon an interpretation of converging and diverging evidence. Model assessment is considered to be a complex process mixing statistical criteria with philosophical, historical, and theoretical elements. Inevitably the process entails some attempt at a reconcilation between so-called objective and subjective norms. © 1988 Academy of Marketing Science.","author":[{"dropping-particle":"","family":"Bagozzi","given":"Richard P.","non-dropping-particle":"","parse-names":false,"suffix":""},{"dropping-particle":"","family":"Yi","given":"Youjae","non-dropping-particle":"","parse-names":false,"suffix":""}],"container-title":"Journal of the Academy of Marketing Science","id":"ITEM-1","issue":"1","issued":{"date-parts":[["1988"]]},"page":"74-94","title":"On the evaluation of structural equation models","type":"article-journal","volume":"16"},"uris":["http://www.mendeley.com/documents/?uuid=7f10ed24-1366-4c86-80ff-7b178006aabf"]}],"mendeley":{"formattedCitation":"(Bagozzi &amp; Yi, 1988)","manualFormatting":"(e.g., Bagozzi and Yi, 1988","plainTextFormattedCitation":"(Bagozzi &amp; Yi, 1988)","previouslyFormattedCitation":"(Bagozzi &amp; Yi, 1988)"},"properties":{"noteIndex":0},"schema":"https://github.com/citation-style-language/schema/raw/master/csl-citation.json"}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(e.g., Bagozzi and Yi, 1988</w:t>
      </w:r>
      <w:r w:rsidRPr="009672FC">
        <w:rPr>
          <w:rFonts w:ascii="Garamond" w:hAnsi="Garamond"/>
        </w:rPr>
        <w:fldChar w:fldCharType="end"/>
      </w:r>
      <w:r w:rsidRPr="009672FC">
        <w:rPr>
          <w:rFonts w:ascii="Garamond" w:hAnsi="Garamond"/>
          <w:color w:val="000000"/>
        </w:rPr>
        <w:t xml:space="preserve">; Hair et al., 2012). Following the </w:t>
      </w:r>
      <w:r w:rsidRPr="009672FC">
        <w:rPr>
          <w:rFonts w:ascii="Garamond" w:hAnsi="Garamond"/>
        </w:rPr>
        <w:t xml:space="preserve">rule of thumb, Composite reliability (CR) for all constructs was met (0.70), thus establishing the internal reliability and consistency of constructs. </w:t>
      </w:r>
    </w:p>
    <w:p w14:paraId="43C06F5C" w14:textId="1E2E7045" w:rsidR="00EB5D6B" w:rsidRPr="009672FC" w:rsidRDefault="007549AA" w:rsidP="00F377A4">
      <w:pPr>
        <w:spacing w:line="360" w:lineRule="auto"/>
        <w:jc w:val="both"/>
        <w:rPr>
          <w:rFonts w:ascii="Garamond" w:hAnsi="Garamond"/>
        </w:rPr>
      </w:pPr>
      <w:r w:rsidRPr="009672FC">
        <w:rPr>
          <w:rFonts w:ascii="Garamond" w:hAnsi="Garamond"/>
        </w:rPr>
        <w:t>Moreover, the model’s convergent validity was checked through the average variance extracted (AVE) at a recommended threshold score of above 0.50 as established in this study (</w:t>
      </w:r>
      <w:proofErr w:type="spellStart"/>
      <w:r w:rsidRPr="009672FC">
        <w:rPr>
          <w:rFonts w:ascii="Garamond" w:hAnsi="Garamond"/>
        </w:rPr>
        <w:t>Ringle</w:t>
      </w:r>
      <w:proofErr w:type="spellEnd"/>
      <w:r w:rsidRPr="009672FC">
        <w:rPr>
          <w:rFonts w:ascii="Garamond" w:hAnsi="Garamond"/>
        </w:rPr>
        <w:t xml:space="preserve">, Wende &amp; Becker, 2015), thus indicating that the constructs are theoretically and indeed empirically related. The minimum Dijkstra-Henseler’s indicator’s correlation (rho_A) marked a satisfactory score (rho_A = 0.70 and above) </w:t>
      </w:r>
      <w:r w:rsidRPr="009672FC">
        <w:rPr>
          <w:rFonts w:ascii="Garamond" w:hAnsi="Garamond"/>
        </w:rPr>
        <w:fldChar w:fldCharType="begin" w:fldLock="1"/>
      </w:r>
      <w:r w:rsidRPr="009672FC">
        <w:rPr>
          <w:rFonts w:ascii="Garamond" w:hAnsi="Garamond"/>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Ringle and Sarstedt, 2011;","plainTextFormattedCitation":"(Joe F Hair et al., 2011)","previouslyFormattedCitation":"(Joe F Hair et al., 2011)"},"properties":{"noteIndex":0},"schema":"https://github.com/citation-style-language/schema/raw/master/csl-citation.json"}</w:instrText>
      </w:r>
      <w:r w:rsidRPr="009672FC">
        <w:rPr>
          <w:rFonts w:ascii="Garamond" w:hAnsi="Garamond"/>
        </w:rPr>
        <w:fldChar w:fldCharType="separate"/>
      </w:r>
      <w:r w:rsidRPr="009672FC">
        <w:rPr>
          <w:rFonts w:ascii="Garamond" w:hAnsi="Garamond"/>
          <w:bCs/>
          <w:noProof/>
        </w:rPr>
        <w:t>(Hair, Ringle and Sarstedt, 2011;</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Wong, 2013)</w:t>
      </w:r>
      <w:r w:rsidRPr="009672FC">
        <w:rPr>
          <w:rFonts w:ascii="Garamond" w:hAnsi="Garamond"/>
        </w:rPr>
        <w:fldChar w:fldCharType="end"/>
      </w:r>
      <w:r w:rsidRPr="009672FC">
        <w:rPr>
          <w:rFonts w:ascii="Garamond" w:hAnsi="Garamond"/>
        </w:rPr>
        <w:t xml:space="preserve">, confirming a strong to a weak correlation between constructs, except for </w:t>
      </w:r>
      <w:r w:rsidRPr="009672FC">
        <w:rPr>
          <w:rFonts w:ascii="Garamond" w:hAnsi="Garamond"/>
          <w:i/>
          <w:iCs/>
        </w:rPr>
        <w:t>OTm</w:t>
      </w:r>
      <w:r w:rsidRPr="009672FC">
        <w:rPr>
          <w:rFonts w:ascii="Garamond" w:hAnsi="Garamond"/>
        </w:rPr>
        <w:t xml:space="preserve"> (with rho_A = 0.329, &lt; 0.70) respectively. These results thus confirmed the internal consistency and validity of the model’s constructs.</w:t>
      </w:r>
      <w:r w:rsidR="00890FB2" w:rsidRPr="009672FC">
        <w:rPr>
          <w:rFonts w:ascii="Garamond" w:hAnsi="Garamond"/>
          <w:color w:val="000000"/>
        </w:rPr>
        <w:t xml:space="preserve"> Furthermore, </w:t>
      </w:r>
      <w:r w:rsidR="00890FB2" w:rsidRPr="009672FC">
        <w:rPr>
          <w:rFonts w:ascii="Garamond" w:hAnsi="Garamond"/>
        </w:rPr>
        <w:t xml:space="preserve">Fornell and Larcker criterion scores (Table 7) was used to </w:t>
      </w:r>
      <w:r w:rsidR="00890FB2" w:rsidRPr="009672FC">
        <w:rPr>
          <w:rFonts w:ascii="Garamond" w:hAnsi="Garamond"/>
          <w:color w:val="000000"/>
        </w:rPr>
        <w:t xml:space="preserve">evaluate the discriminant validity of the measurement model. </w:t>
      </w:r>
      <w:r w:rsidR="00890FB2" w:rsidRPr="009672FC">
        <w:rPr>
          <w:rFonts w:ascii="Garamond" w:hAnsi="Garamond"/>
        </w:rPr>
        <w:fldChar w:fldCharType="begin" w:fldLock="1"/>
      </w:r>
      <w:r w:rsidR="00890FB2" w:rsidRPr="009672FC">
        <w:rPr>
          <w:rFonts w:ascii="Garamond" w:hAnsi="Garamond"/>
          <w:color w:val="000000"/>
        </w:rPr>
        <w:instrText>ADDIN CSL_CITATION {"citationItems":[{"id":"ITEM-1","itemData":{"DOI":"10.2307/3151312","ISSN":"00222437","abstract":"The statistical tests used in the analysis of structural equation models with unobservable variables and measurement error are examined. A drawback of the commonly applied chi square test, in addition to the known problems related to sample size and power, is that it may indicate an increasing correspondence between the hypothesized model and the observed data as both the measurement properties and the relationship between constructs decline. Further, and contrary to common assertion, the risk of making a Type II error can be substantial even when the sample size is large. Moreover, the present testing methods are unable to assess a model's explanatory power. To overcome these problems, the authors develop and apply a testing system based on measures of shared variance within the structural model, measurement model, and overall model.","author":[{"dropping-particle":"","family":"Fornell","given":"Claes","non-dropping-particle":"","parse-names":false,"suffix":""},{"dropping-particle":"","family":"Larcker","given":"David F.","non-dropping-particle":"","parse-names":false,"suffix":""}],"container-title":"Journal of Marketing Research","id":"ITEM-1","issue":"1","issued":{"date-parts":[["1981"]]},"page":"39","title":"Evaluating Structural Equation Models with Unobservable Variables and Measurement Error","type":"article-journal","volume":"18"},"uris":["http://www.mendeley.com/documents/?uuid=031b074d-4c0d-469b-bb8b-303f1003fa91"]}],"mendeley":{"formattedCitation":"(Fornell &amp; Larcker, 1981)","manualFormatting":"Fornell and Larcker (1981)","plainTextFormattedCitation":"(Fornell &amp; Larcker, 1981)","previouslyFormattedCitation":"(Fornell &amp; Larcker, 1981)"},"properties":{"noteIndex":0},"schema":"https://github.com/citation-style-language/schema/raw/master/csl-citation.json"}</w:instrText>
      </w:r>
      <w:r w:rsidR="00890FB2" w:rsidRPr="009672FC">
        <w:rPr>
          <w:rFonts w:ascii="Garamond" w:hAnsi="Garamond"/>
          <w:color w:val="000000"/>
        </w:rPr>
        <w:fldChar w:fldCharType="separate"/>
      </w:r>
      <w:bookmarkStart w:id="181" w:name="_Hlk75480725"/>
      <w:r w:rsidR="00890FB2" w:rsidRPr="009672FC">
        <w:rPr>
          <w:rFonts w:ascii="Garamond" w:hAnsi="Garamond"/>
          <w:noProof/>
        </w:rPr>
        <w:t>Fornell and Larcker (1981)</w:t>
      </w:r>
      <w:r w:rsidR="00890FB2" w:rsidRPr="009672FC">
        <w:rPr>
          <w:rFonts w:ascii="Garamond" w:hAnsi="Garamond"/>
          <w:color w:val="000000"/>
        </w:rPr>
        <w:fldChar w:fldCharType="end"/>
      </w:r>
      <w:bookmarkEnd w:id="181"/>
      <w:r w:rsidR="00890FB2" w:rsidRPr="009672FC">
        <w:rPr>
          <w:rFonts w:ascii="Garamond" w:hAnsi="Garamond"/>
        </w:rPr>
        <w:t xml:space="preserve"> suggest that the square root of the Average Variance Extracted (AVE) for each latent variable can be used to establish the discriminant validity, maintaining that this value must be higher than the correlation between any two latent variables. This means discriminant validity is established if “the AVE of each latent construct is higher than the construct's highest squared correlation with any other latent construct </w:t>
      </w:r>
      <w:r w:rsidR="00890FB2" w:rsidRPr="009672FC">
        <w:rPr>
          <w:rFonts w:ascii="Garamond" w:hAnsi="Garamond"/>
        </w:rPr>
        <w:lastRenderedPageBreak/>
        <w:fldChar w:fldCharType="begin" w:fldLock="1"/>
      </w:r>
      <w:r w:rsidR="00890FB2" w:rsidRPr="009672FC">
        <w:rPr>
          <w:rFonts w:ascii="Garamond" w:hAnsi="Garamond"/>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Ringle and Sarstedt, 2011, pp.145)","plainTextFormattedCitation":"(Joe F Hair et al., 2011)","previouslyFormattedCitation":"(Joe F Hair et al., 2011)"},"properties":{"noteIndex":0},"schema":"https://github.com/citation-style-language/schema/raw/master/csl-citation.json"}</w:instrText>
      </w:r>
      <w:r w:rsidR="00890FB2" w:rsidRPr="009672FC">
        <w:rPr>
          <w:rFonts w:ascii="Garamond" w:hAnsi="Garamond"/>
        </w:rPr>
        <w:fldChar w:fldCharType="separate"/>
      </w:r>
      <w:r w:rsidR="00890FB2" w:rsidRPr="009672FC">
        <w:rPr>
          <w:rFonts w:ascii="Garamond" w:hAnsi="Garamond"/>
          <w:noProof/>
        </w:rPr>
        <w:t>(Hair, Ringle and Sarstedt, 2011, pp.145)</w:t>
      </w:r>
      <w:r w:rsidR="00890FB2" w:rsidRPr="009672FC">
        <w:rPr>
          <w:rFonts w:ascii="Garamond" w:hAnsi="Garamond"/>
        </w:rPr>
        <w:fldChar w:fldCharType="end"/>
      </w:r>
      <w:r w:rsidR="00890FB2" w:rsidRPr="009672FC">
        <w:rPr>
          <w:rFonts w:ascii="Garamond" w:hAnsi="Garamond"/>
        </w:rPr>
        <w:t xml:space="preserve">. For example, </w:t>
      </w:r>
      <w:r w:rsidR="00890FB2" w:rsidRPr="009672FC">
        <w:rPr>
          <w:rFonts w:ascii="Garamond" w:hAnsi="Garamond"/>
          <w:i/>
          <w:iCs/>
        </w:rPr>
        <w:t>CTm</w:t>
      </w:r>
      <w:r w:rsidR="00890FB2" w:rsidRPr="009672FC">
        <w:rPr>
          <w:rFonts w:ascii="Garamond" w:hAnsi="Garamond"/>
        </w:rPr>
        <w:t xml:space="preserve"> (0.837), </w:t>
      </w:r>
      <w:r w:rsidR="00890FB2" w:rsidRPr="009672FC">
        <w:rPr>
          <w:rFonts w:ascii="Garamond" w:hAnsi="Garamond"/>
          <w:i/>
          <w:iCs/>
        </w:rPr>
        <w:t>IPm</w:t>
      </w:r>
      <w:r w:rsidR="00890FB2" w:rsidRPr="009672FC">
        <w:rPr>
          <w:rFonts w:ascii="Garamond" w:hAnsi="Garamond"/>
        </w:rPr>
        <w:t xml:space="preserve"> (0.809), etc. are greater than the values of the correlation between them and other variables.</w:t>
      </w:r>
    </w:p>
    <w:p w14:paraId="084AE513" w14:textId="70A14FBD" w:rsidR="00EB5D6B" w:rsidRPr="00F377A4" w:rsidRDefault="00EB5D6B" w:rsidP="00F377A4">
      <w:pPr>
        <w:pStyle w:val="Caption"/>
        <w:jc w:val="center"/>
        <w:rPr>
          <w:rFonts w:ascii="Garamond" w:hAnsi="Garamond"/>
          <w:b/>
          <w:bCs/>
          <w:sz w:val="22"/>
          <w:szCs w:val="22"/>
        </w:rPr>
      </w:pPr>
      <w:bookmarkStart w:id="182" w:name="_Toc85711315"/>
      <w:r w:rsidRPr="00F377A4">
        <w:rPr>
          <w:rFonts w:ascii="Garamond" w:hAnsi="Garamond"/>
          <w:sz w:val="22"/>
          <w:szCs w:val="22"/>
        </w:rPr>
        <w:t xml:space="preserve">Table </w:t>
      </w:r>
      <w:r w:rsidR="00C10BC3" w:rsidRPr="00F377A4">
        <w:rPr>
          <w:rFonts w:ascii="Garamond" w:hAnsi="Garamond"/>
          <w:sz w:val="22"/>
          <w:szCs w:val="22"/>
        </w:rPr>
        <w:fldChar w:fldCharType="begin"/>
      </w:r>
      <w:r w:rsidR="00C10BC3" w:rsidRPr="00F377A4">
        <w:rPr>
          <w:rFonts w:ascii="Garamond" w:hAnsi="Garamond"/>
          <w:sz w:val="22"/>
          <w:szCs w:val="22"/>
        </w:rPr>
        <w:instrText xml:space="preserve"> SEQ Table \* ARABIC </w:instrText>
      </w:r>
      <w:r w:rsidR="00C10BC3" w:rsidRPr="00F377A4">
        <w:rPr>
          <w:rFonts w:ascii="Garamond" w:hAnsi="Garamond"/>
          <w:sz w:val="22"/>
          <w:szCs w:val="22"/>
        </w:rPr>
        <w:fldChar w:fldCharType="separate"/>
      </w:r>
      <w:r w:rsidR="001C1648">
        <w:rPr>
          <w:rFonts w:ascii="Garamond" w:hAnsi="Garamond"/>
          <w:noProof/>
          <w:sz w:val="22"/>
          <w:szCs w:val="22"/>
        </w:rPr>
        <w:t>8</w:t>
      </w:r>
      <w:r w:rsidR="00C10BC3" w:rsidRPr="00F377A4">
        <w:rPr>
          <w:rFonts w:ascii="Garamond" w:hAnsi="Garamond"/>
          <w:noProof/>
          <w:sz w:val="22"/>
          <w:szCs w:val="22"/>
        </w:rPr>
        <w:fldChar w:fldCharType="end"/>
      </w:r>
      <w:r w:rsidRPr="00F377A4">
        <w:rPr>
          <w:rFonts w:ascii="Garamond" w:hAnsi="Garamond"/>
          <w:sz w:val="22"/>
          <w:szCs w:val="22"/>
        </w:rPr>
        <w:t>. Reliability and validity of measurement scales</w:t>
      </w:r>
      <w:bookmarkEnd w:id="182"/>
    </w:p>
    <w:tbl>
      <w:tblPr>
        <w:tblW w:w="8997" w:type="dxa"/>
        <w:jc w:val="center"/>
        <w:tblLayout w:type="fixed"/>
        <w:tblLook w:val="04A0" w:firstRow="1" w:lastRow="0" w:firstColumn="1" w:lastColumn="0" w:noHBand="0" w:noVBand="1"/>
      </w:tblPr>
      <w:tblGrid>
        <w:gridCol w:w="1080"/>
        <w:gridCol w:w="1081"/>
        <w:gridCol w:w="1529"/>
        <w:gridCol w:w="901"/>
        <w:gridCol w:w="1197"/>
        <w:gridCol w:w="827"/>
        <w:gridCol w:w="1242"/>
        <w:gridCol w:w="1140"/>
      </w:tblGrid>
      <w:tr w:rsidR="003D5DE8" w:rsidRPr="009672FC" w14:paraId="06166EC0" w14:textId="77777777">
        <w:trPr>
          <w:trHeight w:val="887"/>
          <w:jc w:val="center"/>
        </w:trPr>
        <w:tc>
          <w:tcPr>
            <w:tcW w:w="1079" w:type="dxa"/>
            <w:tcBorders>
              <w:top w:val="single" w:sz="4" w:space="0" w:color="000000"/>
            </w:tcBorders>
            <w:shd w:val="clear" w:color="auto" w:fill="D9D9D9" w:themeFill="background1" w:themeFillShade="D9"/>
          </w:tcPr>
          <w:p w14:paraId="59F1594F"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Variable</w:t>
            </w:r>
          </w:p>
        </w:tc>
        <w:tc>
          <w:tcPr>
            <w:tcW w:w="1081" w:type="dxa"/>
            <w:tcBorders>
              <w:top w:val="single" w:sz="4" w:space="0" w:color="000000"/>
            </w:tcBorders>
            <w:shd w:val="clear" w:color="auto" w:fill="D9D9D9" w:themeFill="background1" w:themeFillShade="D9"/>
          </w:tcPr>
          <w:p w14:paraId="1AFC1846"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 xml:space="preserve">Indicator </w:t>
            </w:r>
          </w:p>
        </w:tc>
        <w:tc>
          <w:tcPr>
            <w:tcW w:w="1529" w:type="dxa"/>
            <w:tcBorders>
              <w:top w:val="single" w:sz="4" w:space="0" w:color="000000"/>
            </w:tcBorders>
            <w:shd w:val="clear" w:color="auto" w:fill="D9D9D9" w:themeFill="background1" w:themeFillShade="D9"/>
          </w:tcPr>
          <w:p w14:paraId="543BF079"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Factor Loadings</w:t>
            </w:r>
          </w:p>
        </w:tc>
        <w:tc>
          <w:tcPr>
            <w:tcW w:w="901" w:type="dxa"/>
            <w:tcBorders>
              <w:top w:val="single" w:sz="4" w:space="0" w:color="000000"/>
            </w:tcBorders>
            <w:shd w:val="clear" w:color="auto" w:fill="D9D9D9" w:themeFill="background1" w:themeFillShade="D9"/>
          </w:tcPr>
          <w:p w14:paraId="1A8530E5" w14:textId="49E3F1A8"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VIF</w:t>
            </w:r>
            <w:r w:rsidR="001A5E30">
              <w:rPr>
                <w:rStyle w:val="FootnoteReference"/>
                <w:rFonts w:ascii="Garamond" w:hAnsi="Garamond"/>
                <w:b/>
                <w:bCs/>
                <w:color w:val="000000" w:themeColor="text1"/>
                <w:sz w:val="18"/>
                <w:szCs w:val="18"/>
              </w:rPr>
              <w:footnoteReference w:id="4"/>
            </w:r>
          </w:p>
        </w:tc>
        <w:tc>
          <w:tcPr>
            <w:tcW w:w="1197" w:type="dxa"/>
            <w:tcBorders>
              <w:top w:val="single" w:sz="4" w:space="0" w:color="000000"/>
            </w:tcBorders>
            <w:shd w:val="clear" w:color="auto" w:fill="D9D9D9" w:themeFill="background1" w:themeFillShade="D9"/>
          </w:tcPr>
          <w:p w14:paraId="02B179FE"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Cronbach's Alpha</w:t>
            </w:r>
          </w:p>
        </w:tc>
        <w:tc>
          <w:tcPr>
            <w:tcW w:w="827" w:type="dxa"/>
            <w:tcBorders>
              <w:top w:val="single" w:sz="4" w:space="0" w:color="000000"/>
            </w:tcBorders>
            <w:shd w:val="clear" w:color="auto" w:fill="D9D9D9" w:themeFill="background1" w:themeFillShade="D9"/>
            <w:vAlign w:val="center"/>
          </w:tcPr>
          <w:p w14:paraId="6DA1AC9C"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rho_A</w:t>
            </w:r>
          </w:p>
        </w:tc>
        <w:tc>
          <w:tcPr>
            <w:tcW w:w="1242" w:type="dxa"/>
            <w:tcBorders>
              <w:top w:val="single" w:sz="4" w:space="0" w:color="000000"/>
            </w:tcBorders>
            <w:shd w:val="clear" w:color="auto" w:fill="D9D9D9" w:themeFill="background1" w:themeFillShade="D9"/>
          </w:tcPr>
          <w:p w14:paraId="6E67C45F" w14:textId="22729001"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Composite Reliability</w:t>
            </w:r>
            <w:r w:rsidR="001A5E30">
              <w:rPr>
                <w:rStyle w:val="FootnoteReference"/>
                <w:rFonts w:ascii="Garamond" w:hAnsi="Garamond"/>
                <w:b/>
                <w:bCs/>
                <w:color w:val="000000" w:themeColor="text1"/>
                <w:sz w:val="18"/>
                <w:szCs w:val="18"/>
              </w:rPr>
              <w:footnoteReference w:id="5"/>
            </w:r>
          </w:p>
        </w:tc>
        <w:tc>
          <w:tcPr>
            <w:tcW w:w="1140" w:type="dxa"/>
            <w:tcBorders>
              <w:top w:val="single" w:sz="4" w:space="0" w:color="000000"/>
            </w:tcBorders>
            <w:shd w:val="clear" w:color="auto" w:fill="D9D9D9" w:themeFill="background1" w:themeFillShade="D9"/>
          </w:tcPr>
          <w:p w14:paraId="1DE5706B" w14:textId="269DC4DF"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Average Variance Extracted (AVE)</w:t>
            </w:r>
            <w:r w:rsidR="001A5E30">
              <w:rPr>
                <w:rStyle w:val="FootnoteReference"/>
                <w:rFonts w:ascii="Garamond" w:hAnsi="Garamond"/>
                <w:b/>
                <w:bCs/>
                <w:color w:val="000000" w:themeColor="text1"/>
                <w:sz w:val="18"/>
                <w:szCs w:val="18"/>
              </w:rPr>
              <w:footnoteReference w:id="6"/>
            </w:r>
          </w:p>
        </w:tc>
      </w:tr>
      <w:tr w:rsidR="003D5DE8" w:rsidRPr="009672FC" w14:paraId="6CE39FC7" w14:textId="77777777">
        <w:trPr>
          <w:trHeight w:val="314"/>
          <w:jc w:val="center"/>
        </w:trPr>
        <w:tc>
          <w:tcPr>
            <w:tcW w:w="1079" w:type="dxa"/>
            <w:shd w:val="clear" w:color="auto" w:fill="D9D9D9" w:themeFill="background1" w:themeFillShade="D9"/>
            <w:vAlign w:val="center"/>
          </w:tcPr>
          <w:p w14:paraId="25A35FDE"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CTm</w:t>
            </w:r>
          </w:p>
        </w:tc>
        <w:tc>
          <w:tcPr>
            <w:tcW w:w="1081" w:type="dxa"/>
            <w:shd w:val="clear" w:color="auto" w:fill="F2F2F2" w:themeFill="background1" w:themeFillShade="F2"/>
            <w:vAlign w:val="center"/>
          </w:tcPr>
          <w:p w14:paraId="07A19042"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CT_1</w:t>
            </w:r>
          </w:p>
        </w:tc>
        <w:tc>
          <w:tcPr>
            <w:tcW w:w="1529" w:type="dxa"/>
            <w:shd w:val="clear" w:color="auto" w:fill="F2F2F2" w:themeFill="background1" w:themeFillShade="F2"/>
            <w:vAlign w:val="center"/>
          </w:tcPr>
          <w:p w14:paraId="5C27E7D3"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0.798</w:t>
            </w:r>
          </w:p>
        </w:tc>
        <w:tc>
          <w:tcPr>
            <w:tcW w:w="901" w:type="dxa"/>
            <w:shd w:val="clear" w:color="auto" w:fill="F2F2F2" w:themeFill="background1" w:themeFillShade="F2"/>
            <w:vAlign w:val="center"/>
          </w:tcPr>
          <w:p w14:paraId="01F57E2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1.425</w:t>
            </w:r>
          </w:p>
        </w:tc>
        <w:tc>
          <w:tcPr>
            <w:tcW w:w="1197" w:type="dxa"/>
            <w:shd w:val="clear" w:color="auto" w:fill="F2F2F2" w:themeFill="background1" w:themeFillShade="F2"/>
            <w:vAlign w:val="center"/>
          </w:tcPr>
          <w:p w14:paraId="41F5FC6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0.788</w:t>
            </w:r>
          </w:p>
        </w:tc>
        <w:tc>
          <w:tcPr>
            <w:tcW w:w="827" w:type="dxa"/>
            <w:shd w:val="clear" w:color="auto" w:fill="F2F2F2" w:themeFill="background1" w:themeFillShade="F2"/>
            <w:vAlign w:val="center"/>
          </w:tcPr>
          <w:p w14:paraId="14E0F1E3"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0.813</w:t>
            </w:r>
          </w:p>
        </w:tc>
        <w:tc>
          <w:tcPr>
            <w:tcW w:w="1242" w:type="dxa"/>
            <w:shd w:val="clear" w:color="auto" w:fill="F2F2F2" w:themeFill="background1" w:themeFillShade="F2"/>
            <w:vAlign w:val="center"/>
          </w:tcPr>
          <w:p w14:paraId="14AC3C40"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0.875</w:t>
            </w:r>
          </w:p>
        </w:tc>
        <w:tc>
          <w:tcPr>
            <w:tcW w:w="1140" w:type="dxa"/>
            <w:shd w:val="clear" w:color="auto" w:fill="F2F2F2" w:themeFill="background1" w:themeFillShade="F2"/>
            <w:vAlign w:val="center"/>
          </w:tcPr>
          <w:p w14:paraId="2E90323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0.701</w:t>
            </w:r>
          </w:p>
        </w:tc>
      </w:tr>
      <w:tr w:rsidR="003D5DE8" w:rsidRPr="009672FC" w14:paraId="25D6C771" w14:textId="77777777">
        <w:trPr>
          <w:trHeight w:val="314"/>
          <w:jc w:val="center"/>
        </w:trPr>
        <w:tc>
          <w:tcPr>
            <w:tcW w:w="1079" w:type="dxa"/>
            <w:shd w:val="clear" w:color="auto" w:fill="D9D9D9" w:themeFill="background1" w:themeFillShade="D9"/>
            <w:vAlign w:val="center"/>
          </w:tcPr>
          <w:p w14:paraId="737584C9" w14:textId="77777777" w:rsidR="003D5DE8" w:rsidRPr="009672FC" w:rsidRDefault="003D5DE8">
            <w:pPr>
              <w:widowControl w:val="0"/>
              <w:jc w:val="both"/>
              <w:rPr>
                <w:rFonts w:ascii="Garamond" w:hAnsi="Garamond"/>
                <w:b/>
                <w:bCs/>
                <w:color w:val="000000" w:themeColor="text1"/>
                <w:sz w:val="18"/>
                <w:szCs w:val="18"/>
              </w:rPr>
            </w:pPr>
          </w:p>
        </w:tc>
        <w:tc>
          <w:tcPr>
            <w:tcW w:w="1081" w:type="dxa"/>
            <w:shd w:val="clear" w:color="auto" w:fill="F2F2F2" w:themeFill="background1" w:themeFillShade="F2"/>
            <w:vAlign w:val="center"/>
          </w:tcPr>
          <w:p w14:paraId="7E73F7A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CT_2</w:t>
            </w:r>
          </w:p>
        </w:tc>
        <w:tc>
          <w:tcPr>
            <w:tcW w:w="1529" w:type="dxa"/>
            <w:shd w:val="clear" w:color="auto" w:fill="F2F2F2" w:themeFill="background1" w:themeFillShade="F2"/>
            <w:vAlign w:val="center"/>
          </w:tcPr>
          <w:p w14:paraId="41F0730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0.818</w:t>
            </w:r>
          </w:p>
        </w:tc>
        <w:tc>
          <w:tcPr>
            <w:tcW w:w="901" w:type="dxa"/>
            <w:shd w:val="clear" w:color="auto" w:fill="F2F2F2" w:themeFill="background1" w:themeFillShade="F2"/>
            <w:vAlign w:val="center"/>
          </w:tcPr>
          <w:p w14:paraId="407A61CF"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1.874</w:t>
            </w:r>
          </w:p>
        </w:tc>
        <w:tc>
          <w:tcPr>
            <w:tcW w:w="1197" w:type="dxa"/>
            <w:shd w:val="clear" w:color="auto" w:fill="F2F2F2" w:themeFill="background1" w:themeFillShade="F2"/>
            <w:vAlign w:val="center"/>
          </w:tcPr>
          <w:p w14:paraId="320722DC" w14:textId="77777777" w:rsidR="003D5DE8" w:rsidRPr="009672FC" w:rsidRDefault="003D5DE8">
            <w:pPr>
              <w:widowControl w:val="0"/>
              <w:jc w:val="both"/>
              <w:rPr>
                <w:rFonts w:ascii="Garamond" w:hAnsi="Garamond"/>
                <w:color w:val="000000" w:themeColor="text1"/>
                <w:sz w:val="18"/>
                <w:szCs w:val="18"/>
              </w:rPr>
            </w:pPr>
          </w:p>
        </w:tc>
        <w:tc>
          <w:tcPr>
            <w:tcW w:w="827" w:type="dxa"/>
            <w:shd w:val="clear" w:color="auto" w:fill="F2F2F2" w:themeFill="background1" w:themeFillShade="F2"/>
            <w:vAlign w:val="center"/>
          </w:tcPr>
          <w:p w14:paraId="56D11189" w14:textId="77777777" w:rsidR="003D5DE8" w:rsidRPr="009672FC" w:rsidRDefault="003D5DE8">
            <w:pPr>
              <w:widowControl w:val="0"/>
              <w:jc w:val="both"/>
              <w:rPr>
                <w:rFonts w:ascii="Garamond" w:hAnsi="Garamond"/>
                <w:color w:val="000000" w:themeColor="text1"/>
                <w:sz w:val="18"/>
                <w:szCs w:val="18"/>
              </w:rPr>
            </w:pPr>
          </w:p>
        </w:tc>
        <w:tc>
          <w:tcPr>
            <w:tcW w:w="1242" w:type="dxa"/>
            <w:shd w:val="clear" w:color="auto" w:fill="F2F2F2" w:themeFill="background1" w:themeFillShade="F2"/>
            <w:vAlign w:val="center"/>
          </w:tcPr>
          <w:p w14:paraId="2D9A96C7" w14:textId="77777777" w:rsidR="003D5DE8" w:rsidRPr="009672FC" w:rsidRDefault="003D5DE8">
            <w:pPr>
              <w:widowControl w:val="0"/>
              <w:jc w:val="both"/>
              <w:rPr>
                <w:rFonts w:ascii="Garamond" w:hAnsi="Garamond"/>
                <w:color w:val="000000" w:themeColor="text1"/>
                <w:sz w:val="18"/>
                <w:szCs w:val="18"/>
              </w:rPr>
            </w:pPr>
          </w:p>
        </w:tc>
        <w:tc>
          <w:tcPr>
            <w:tcW w:w="1140" w:type="dxa"/>
            <w:shd w:val="clear" w:color="auto" w:fill="F2F2F2" w:themeFill="background1" w:themeFillShade="F2"/>
            <w:vAlign w:val="center"/>
          </w:tcPr>
          <w:p w14:paraId="1E971A40" w14:textId="77777777" w:rsidR="003D5DE8" w:rsidRPr="009672FC" w:rsidRDefault="003D5DE8">
            <w:pPr>
              <w:widowControl w:val="0"/>
              <w:jc w:val="both"/>
              <w:rPr>
                <w:rFonts w:ascii="Garamond" w:hAnsi="Garamond"/>
                <w:color w:val="000000" w:themeColor="text1"/>
                <w:sz w:val="18"/>
                <w:szCs w:val="18"/>
              </w:rPr>
            </w:pPr>
          </w:p>
        </w:tc>
      </w:tr>
      <w:tr w:rsidR="003D5DE8" w:rsidRPr="009672FC" w14:paraId="7F34ED76" w14:textId="77777777">
        <w:trPr>
          <w:trHeight w:val="314"/>
          <w:jc w:val="center"/>
        </w:trPr>
        <w:tc>
          <w:tcPr>
            <w:tcW w:w="1079" w:type="dxa"/>
            <w:shd w:val="clear" w:color="auto" w:fill="D9D9D9" w:themeFill="background1" w:themeFillShade="D9"/>
            <w:vAlign w:val="center"/>
          </w:tcPr>
          <w:p w14:paraId="3BAE0AC0" w14:textId="77777777" w:rsidR="003D5DE8" w:rsidRPr="009672FC" w:rsidRDefault="003D5DE8">
            <w:pPr>
              <w:widowControl w:val="0"/>
              <w:jc w:val="both"/>
              <w:rPr>
                <w:rFonts w:ascii="Garamond" w:hAnsi="Garamond"/>
                <w:b/>
                <w:bCs/>
                <w:color w:val="000000" w:themeColor="text1"/>
                <w:sz w:val="18"/>
                <w:szCs w:val="18"/>
              </w:rPr>
            </w:pPr>
          </w:p>
        </w:tc>
        <w:tc>
          <w:tcPr>
            <w:tcW w:w="1081" w:type="dxa"/>
            <w:tcBorders>
              <w:bottom w:val="single" w:sz="4" w:space="0" w:color="000000"/>
            </w:tcBorders>
            <w:shd w:val="clear" w:color="auto" w:fill="F2F2F2" w:themeFill="background1" w:themeFillShade="F2"/>
            <w:vAlign w:val="center"/>
          </w:tcPr>
          <w:p w14:paraId="1EDF334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CT_3</w:t>
            </w:r>
          </w:p>
        </w:tc>
        <w:tc>
          <w:tcPr>
            <w:tcW w:w="1529" w:type="dxa"/>
            <w:tcBorders>
              <w:bottom w:val="single" w:sz="4" w:space="0" w:color="000000"/>
            </w:tcBorders>
            <w:shd w:val="clear" w:color="auto" w:fill="F2F2F2" w:themeFill="background1" w:themeFillShade="F2"/>
            <w:vAlign w:val="center"/>
          </w:tcPr>
          <w:p w14:paraId="73BF083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0.892</w:t>
            </w:r>
          </w:p>
        </w:tc>
        <w:tc>
          <w:tcPr>
            <w:tcW w:w="901" w:type="dxa"/>
            <w:tcBorders>
              <w:bottom w:val="single" w:sz="4" w:space="0" w:color="000000"/>
            </w:tcBorders>
            <w:shd w:val="clear" w:color="auto" w:fill="F2F2F2" w:themeFill="background1" w:themeFillShade="F2"/>
            <w:vAlign w:val="center"/>
          </w:tcPr>
          <w:p w14:paraId="02AB8652"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2.012</w:t>
            </w:r>
          </w:p>
        </w:tc>
        <w:tc>
          <w:tcPr>
            <w:tcW w:w="1197" w:type="dxa"/>
            <w:tcBorders>
              <w:bottom w:val="single" w:sz="4" w:space="0" w:color="000000"/>
            </w:tcBorders>
            <w:shd w:val="clear" w:color="auto" w:fill="F2F2F2" w:themeFill="background1" w:themeFillShade="F2"/>
            <w:vAlign w:val="center"/>
          </w:tcPr>
          <w:p w14:paraId="094CA4F9" w14:textId="77777777" w:rsidR="003D5DE8" w:rsidRPr="009672FC" w:rsidRDefault="003D5DE8">
            <w:pPr>
              <w:widowControl w:val="0"/>
              <w:jc w:val="both"/>
              <w:rPr>
                <w:rFonts w:ascii="Garamond" w:hAnsi="Garamond"/>
                <w:color w:val="000000" w:themeColor="text1"/>
                <w:sz w:val="18"/>
                <w:szCs w:val="18"/>
              </w:rPr>
            </w:pPr>
          </w:p>
        </w:tc>
        <w:tc>
          <w:tcPr>
            <w:tcW w:w="827" w:type="dxa"/>
            <w:tcBorders>
              <w:bottom w:val="single" w:sz="4" w:space="0" w:color="000000"/>
            </w:tcBorders>
            <w:shd w:val="clear" w:color="auto" w:fill="F2F2F2" w:themeFill="background1" w:themeFillShade="F2"/>
            <w:vAlign w:val="center"/>
          </w:tcPr>
          <w:p w14:paraId="5C61AC3D" w14:textId="77777777" w:rsidR="003D5DE8" w:rsidRPr="009672FC" w:rsidRDefault="003D5DE8">
            <w:pPr>
              <w:widowControl w:val="0"/>
              <w:jc w:val="both"/>
              <w:rPr>
                <w:rFonts w:ascii="Garamond" w:hAnsi="Garamond"/>
                <w:color w:val="000000" w:themeColor="text1"/>
                <w:sz w:val="18"/>
                <w:szCs w:val="18"/>
              </w:rPr>
            </w:pPr>
          </w:p>
        </w:tc>
        <w:tc>
          <w:tcPr>
            <w:tcW w:w="1242" w:type="dxa"/>
            <w:tcBorders>
              <w:bottom w:val="single" w:sz="4" w:space="0" w:color="000000"/>
            </w:tcBorders>
            <w:shd w:val="clear" w:color="auto" w:fill="F2F2F2" w:themeFill="background1" w:themeFillShade="F2"/>
            <w:vAlign w:val="center"/>
          </w:tcPr>
          <w:p w14:paraId="2A199172" w14:textId="77777777" w:rsidR="003D5DE8" w:rsidRPr="009672FC" w:rsidRDefault="003D5DE8">
            <w:pPr>
              <w:widowControl w:val="0"/>
              <w:jc w:val="both"/>
              <w:rPr>
                <w:rFonts w:ascii="Garamond" w:hAnsi="Garamond"/>
                <w:color w:val="000000" w:themeColor="text1"/>
                <w:sz w:val="18"/>
                <w:szCs w:val="18"/>
              </w:rPr>
            </w:pPr>
          </w:p>
        </w:tc>
        <w:tc>
          <w:tcPr>
            <w:tcW w:w="1140" w:type="dxa"/>
            <w:tcBorders>
              <w:bottom w:val="single" w:sz="4" w:space="0" w:color="000000"/>
            </w:tcBorders>
            <w:shd w:val="clear" w:color="auto" w:fill="F2F2F2" w:themeFill="background1" w:themeFillShade="F2"/>
            <w:vAlign w:val="center"/>
          </w:tcPr>
          <w:p w14:paraId="31ED7F2F" w14:textId="77777777" w:rsidR="003D5DE8" w:rsidRPr="009672FC" w:rsidRDefault="003D5DE8">
            <w:pPr>
              <w:widowControl w:val="0"/>
              <w:jc w:val="both"/>
              <w:rPr>
                <w:rFonts w:ascii="Garamond" w:hAnsi="Garamond"/>
                <w:color w:val="000000" w:themeColor="text1"/>
                <w:sz w:val="18"/>
                <w:szCs w:val="18"/>
              </w:rPr>
            </w:pPr>
          </w:p>
        </w:tc>
      </w:tr>
      <w:tr w:rsidR="003D5DE8" w:rsidRPr="009672FC" w14:paraId="07D77B72" w14:textId="77777777">
        <w:trPr>
          <w:trHeight w:val="314"/>
          <w:jc w:val="center"/>
        </w:trPr>
        <w:tc>
          <w:tcPr>
            <w:tcW w:w="1079" w:type="dxa"/>
            <w:shd w:val="clear" w:color="auto" w:fill="D9D9D9" w:themeFill="background1" w:themeFillShade="D9"/>
            <w:vAlign w:val="center"/>
          </w:tcPr>
          <w:p w14:paraId="2C86BB55"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OTm</w:t>
            </w:r>
          </w:p>
        </w:tc>
        <w:tc>
          <w:tcPr>
            <w:tcW w:w="1081" w:type="dxa"/>
            <w:tcBorders>
              <w:top w:val="single" w:sz="4" w:space="0" w:color="000000"/>
            </w:tcBorders>
            <w:shd w:val="clear" w:color="auto" w:fill="F2F2F2" w:themeFill="background1" w:themeFillShade="F2"/>
            <w:vAlign w:val="center"/>
          </w:tcPr>
          <w:p w14:paraId="47CD824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OT_1</w:t>
            </w:r>
          </w:p>
        </w:tc>
        <w:tc>
          <w:tcPr>
            <w:tcW w:w="1529" w:type="dxa"/>
            <w:tcBorders>
              <w:top w:val="single" w:sz="4" w:space="0" w:color="000000"/>
            </w:tcBorders>
            <w:shd w:val="clear" w:color="auto" w:fill="F2F2F2" w:themeFill="background1" w:themeFillShade="F2"/>
            <w:vAlign w:val="center"/>
          </w:tcPr>
          <w:p w14:paraId="320B7B77"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0.760</w:t>
            </w:r>
          </w:p>
        </w:tc>
        <w:tc>
          <w:tcPr>
            <w:tcW w:w="901" w:type="dxa"/>
            <w:tcBorders>
              <w:top w:val="single" w:sz="4" w:space="0" w:color="000000"/>
            </w:tcBorders>
            <w:shd w:val="clear" w:color="auto" w:fill="F2F2F2" w:themeFill="background1" w:themeFillShade="F2"/>
            <w:vAlign w:val="center"/>
          </w:tcPr>
          <w:p w14:paraId="7D8C5B5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1.040</w:t>
            </w:r>
          </w:p>
        </w:tc>
        <w:tc>
          <w:tcPr>
            <w:tcW w:w="1197" w:type="dxa"/>
            <w:tcBorders>
              <w:top w:val="single" w:sz="4" w:space="0" w:color="000000"/>
            </w:tcBorders>
            <w:shd w:val="clear" w:color="auto" w:fill="F2F2F2" w:themeFill="background1" w:themeFillShade="F2"/>
            <w:vAlign w:val="center"/>
          </w:tcPr>
          <w:p w14:paraId="0C9A2EDF"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0.329</w:t>
            </w:r>
          </w:p>
        </w:tc>
        <w:tc>
          <w:tcPr>
            <w:tcW w:w="827" w:type="dxa"/>
            <w:tcBorders>
              <w:top w:val="single" w:sz="4" w:space="0" w:color="000000"/>
            </w:tcBorders>
            <w:shd w:val="clear" w:color="auto" w:fill="F2F2F2" w:themeFill="background1" w:themeFillShade="F2"/>
            <w:vAlign w:val="center"/>
          </w:tcPr>
          <w:p w14:paraId="1204CF19"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0.329</w:t>
            </w:r>
          </w:p>
        </w:tc>
        <w:tc>
          <w:tcPr>
            <w:tcW w:w="1242" w:type="dxa"/>
            <w:tcBorders>
              <w:top w:val="single" w:sz="4" w:space="0" w:color="000000"/>
            </w:tcBorders>
            <w:shd w:val="clear" w:color="auto" w:fill="F2F2F2" w:themeFill="background1" w:themeFillShade="F2"/>
            <w:vAlign w:val="center"/>
          </w:tcPr>
          <w:p w14:paraId="5D899A6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0.748</w:t>
            </w:r>
          </w:p>
        </w:tc>
        <w:tc>
          <w:tcPr>
            <w:tcW w:w="1140" w:type="dxa"/>
            <w:tcBorders>
              <w:top w:val="single" w:sz="4" w:space="0" w:color="000000"/>
            </w:tcBorders>
            <w:shd w:val="clear" w:color="auto" w:fill="F2F2F2" w:themeFill="background1" w:themeFillShade="F2"/>
            <w:vAlign w:val="center"/>
          </w:tcPr>
          <w:p w14:paraId="02F4E3E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0.598</w:t>
            </w:r>
          </w:p>
        </w:tc>
      </w:tr>
      <w:tr w:rsidR="003D5DE8" w:rsidRPr="009672FC" w14:paraId="43203B9F" w14:textId="77777777">
        <w:trPr>
          <w:trHeight w:val="314"/>
          <w:jc w:val="center"/>
        </w:trPr>
        <w:tc>
          <w:tcPr>
            <w:tcW w:w="1079" w:type="dxa"/>
            <w:shd w:val="clear" w:color="auto" w:fill="D9D9D9" w:themeFill="background1" w:themeFillShade="D9"/>
            <w:vAlign w:val="center"/>
          </w:tcPr>
          <w:p w14:paraId="70A7812E" w14:textId="77777777" w:rsidR="003D5DE8" w:rsidRPr="009672FC" w:rsidRDefault="003D5DE8">
            <w:pPr>
              <w:widowControl w:val="0"/>
              <w:jc w:val="both"/>
              <w:rPr>
                <w:rFonts w:ascii="Garamond" w:hAnsi="Garamond"/>
                <w:b/>
                <w:bCs/>
                <w:color w:val="000000" w:themeColor="text1"/>
                <w:sz w:val="18"/>
                <w:szCs w:val="18"/>
              </w:rPr>
            </w:pPr>
          </w:p>
        </w:tc>
        <w:tc>
          <w:tcPr>
            <w:tcW w:w="1081" w:type="dxa"/>
            <w:tcBorders>
              <w:bottom w:val="single" w:sz="4" w:space="0" w:color="000000"/>
            </w:tcBorders>
            <w:shd w:val="clear" w:color="auto" w:fill="F2F2F2" w:themeFill="background1" w:themeFillShade="F2"/>
            <w:vAlign w:val="center"/>
          </w:tcPr>
          <w:p w14:paraId="6513BE7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OT_2</w:t>
            </w:r>
          </w:p>
        </w:tc>
        <w:tc>
          <w:tcPr>
            <w:tcW w:w="1529" w:type="dxa"/>
            <w:tcBorders>
              <w:bottom w:val="single" w:sz="4" w:space="0" w:color="000000"/>
            </w:tcBorders>
            <w:shd w:val="clear" w:color="auto" w:fill="F2F2F2" w:themeFill="background1" w:themeFillShade="F2"/>
            <w:vAlign w:val="center"/>
          </w:tcPr>
          <w:p w14:paraId="417E69B1"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0.787</w:t>
            </w:r>
          </w:p>
        </w:tc>
        <w:tc>
          <w:tcPr>
            <w:tcW w:w="901" w:type="dxa"/>
            <w:tcBorders>
              <w:bottom w:val="single" w:sz="4" w:space="0" w:color="000000"/>
            </w:tcBorders>
            <w:shd w:val="clear" w:color="auto" w:fill="F2F2F2" w:themeFill="background1" w:themeFillShade="F2"/>
            <w:vAlign w:val="center"/>
          </w:tcPr>
          <w:p w14:paraId="29A98750"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1.040</w:t>
            </w:r>
          </w:p>
        </w:tc>
        <w:tc>
          <w:tcPr>
            <w:tcW w:w="1197" w:type="dxa"/>
            <w:tcBorders>
              <w:bottom w:val="single" w:sz="4" w:space="0" w:color="000000"/>
            </w:tcBorders>
            <w:shd w:val="clear" w:color="auto" w:fill="F2F2F2" w:themeFill="background1" w:themeFillShade="F2"/>
            <w:vAlign w:val="center"/>
          </w:tcPr>
          <w:p w14:paraId="67B8E3FF" w14:textId="77777777" w:rsidR="003D5DE8" w:rsidRPr="009672FC" w:rsidRDefault="003D5DE8">
            <w:pPr>
              <w:widowControl w:val="0"/>
              <w:jc w:val="both"/>
              <w:rPr>
                <w:rFonts w:ascii="Garamond" w:hAnsi="Garamond"/>
                <w:color w:val="000000" w:themeColor="text1"/>
                <w:sz w:val="18"/>
                <w:szCs w:val="18"/>
              </w:rPr>
            </w:pPr>
          </w:p>
        </w:tc>
        <w:tc>
          <w:tcPr>
            <w:tcW w:w="827" w:type="dxa"/>
            <w:tcBorders>
              <w:bottom w:val="single" w:sz="4" w:space="0" w:color="000000"/>
            </w:tcBorders>
            <w:shd w:val="clear" w:color="auto" w:fill="F2F2F2" w:themeFill="background1" w:themeFillShade="F2"/>
            <w:vAlign w:val="center"/>
          </w:tcPr>
          <w:p w14:paraId="3B0FA8F8" w14:textId="77777777" w:rsidR="003D5DE8" w:rsidRPr="009672FC" w:rsidRDefault="003D5DE8">
            <w:pPr>
              <w:widowControl w:val="0"/>
              <w:jc w:val="both"/>
              <w:rPr>
                <w:rFonts w:ascii="Garamond" w:hAnsi="Garamond"/>
                <w:color w:val="000000" w:themeColor="text1"/>
                <w:sz w:val="18"/>
                <w:szCs w:val="18"/>
              </w:rPr>
            </w:pPr>
          </w:p>
        </w:tc>
        <w:tc>
          <w:tcPr>
            <w:tcW w:w="1242" w:type="dxa"/>
            <w:tcBorders>
              <w:bottom w:val="single" w:sz="4" w:space="0" w:color="000000"/>
            </w:tcBorders>
            <w:shd w:val="clear" w:color="auto" w:fill="F2F2F2" w:themeFill="background1" w:themeFillShade="F2"/>
            <w:vAlign w:val="center"/>
          </w:tcPr>
          <w:p w14:paraId="62D20B2F" w14:textId="77777777" w:rsidR="003D5DE8" w:rsidRPr="009672FC" w:rsidRDefault="003D5DE8">
            <w:pPr>
              <w:widowControl w:val="0"/>
              <w:jc w:val="both"/>
              <w:rPr>
                <w:rFonts w:ascii="Garamond" w:hAnsi="Garamond"/>
                <w:color w:val="000000" w:themeColor="text1"/>
                <w:sz w:val="18"/>
                <w:szCs w:val="18"/>
              </w:rPr>
            </w:pPr>
          </w:p>
        </w:tc>
        <w:tc>
          <w:tcPr>
            <w:tcW w:w="1140" w:type="dxa"/>
            <w:tcBorders>
              <w:bottom w:val="single" w:sz="4" w:space="0" w:color="000000"/>
            </w:tcBorders>
            <w:shd w:val="clear" w:color="auto" w:fill="F2F2F2" w:themeFill="background1" w:themeFillShade="F2"/>
            <w:vAlign w:val="center"/>
          </w:tcPr>
          <w:p w14:paraId="2F03E2CA" w14:textId="77777777" w:rsidR="003D5DE8" w:rsidRPr="009672FC" w:rsidRDefault="003D5DE8">
            <w:pPr>
              <w:widowControl w:val="0"/>
              <w:jc w:val="both"/>
              <w:rPr>
                <w:rFonts w:ascii="Garamond" w:hAnsi="Garamond"/>
                <w:color w:val="000000" w:themeColor="text1"/>
                <w:sz w:val="18"/>
                <w:szCs w:val="18"/>
              </w:rPr>
            </w:pPr>
          </w:p>
        </w:tc>
      </w:tr>
      <w:tr w:rsidR="003D5DE8" w:rsidRPr="009672FC" w14:paraId="2380ACCC" w14:textId="77777777">
        <w:trPr>
          <w:trHeight w:val="314"/>
          <w:jc w:val="center"/>
        </w:trPr>
        <w:tc>
          <w:tcPr>
            <w:tcW w:w="1079" w:type="dxa"/>
            <w:shd w:val="clear" w:color="auto" w:fill="D9D9D9" w:themeFill="background1" w:themeFillShade="D9"/>
            <w:vAlign w:val="center"/>
          </w:tcPr>
          <w:p w14:paraId="469C0D3E"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IPm</w:t>
            </w:r>
          </w:p>
        </w:tc>
        <w:tc>
          <w:tcPr>
            <w:tcW w:w="1081" w:type="dxa"/>
            <w:tcBorders>
              <w:top w:val="single" w:sz="4" w:space="0" w:color="000000"/>
            </w:tcBorders>
            <w:shd w:val="clear" w:color="auto" w:fill="F2F2F2" w:themeFill="background1" w:themeFillShade="F2"/>
            <w:vAlign w:val="center"/>
          </w:tcPr>
          <w:p w14:paraId="6BB4CC20"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IP_1</w:t>
            </w:r>
          </w:p>
        </w:tc>
        <w:tc>
          <w:tcPr>
            <w:tcW w:w="1529" w:type="dxa"/>
            <w:tcBorders>
              <w:top w:val="single" w:sz="4" w:space="0" w:color="000000"/>
            </w:tcBorders>
            <w:shd w:val="clear" w:color="auto" w:fill="F2F2F2" w:themeFill="background1" w:themeFillShade="F2"/>
            <w:vAlign w:val="center"/>
          </w:tcPr>
          <w:p w14:paraId="1207E83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0.882</w:t>
            </w:r>
          </w:p>
        </w:tc>
        <w:tc>
          <w:tcPr>
            <w:tcW w:w="901" w:type="dxa"/>
            <w:tcBorders>
              <w:top w:val="single" w:sz="4" w:space="0" w:color="000000"/>
            </w:tcBorders>
            <w:shd w:val="clear" w:color="auto" w:fill="F2F2F2" w:themeFill="background1" w:themeFillShade="F2"/>
            <w:vAlign w:val="center"/>
          </w:tcPr>
          <w:p w14:paraId="5463E10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2.221</w:t>
            </w:r>
          </w:p>
        </w:tc>
        <w:tc>
          <w:tcPr>
            <w:tcW w:w="1197" w:type="dxa"/>
            <w:tcBorders>
              <w:top w:val="single" w:sz="4" w:space="0" w:color="000000"/>
            </w:tcBorders>
            <w:shd w:val="clear" w:color="auto" w:fill="F2F2F2" w:themeFill="background1" w:themeFillShade="F2"/>
            <w:vAlign w:val="center"/>
          </w:tcPr>
          <w:p w14:paraId="16BD27C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0.724</w:t>
            </w:r>
          </w:p>
        </w:tc>
        <w:tc>
          <w:tcPr>
            <w:tcW w:w="827" w:type="dxa"/>
            <w:tcBorders>
              <w:top w:val="single" w:sz="4" w:space="0" w:color="000000"/>
            </w:tcBorders>
            <w:shd w:val="clear" w:color="auto" w:fill="F2F2F2" w:themeFill="background1" w:themeFillShade="F2"/>
            <w:vAlign w:val="center"/>
          </w:tcPr>
          <w:p w14:paraId="71ABF3C0"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0.761</w:t>
            </w:r>
          </w:p>
        </w:tc>
        <w:tc>
          <w:tcPr>
            <w:tcW w:w="1242" w:type="dxa"/>
            <w:tcBorders>
              <w:top w:val="single" w:sz="4" w:space="0" w:color="000000"/>
            </w:tcBorders>
            <w:shd w:val="clear" w:color="auto" w:fill="F2F2F2" w:themeFill="background1" w:themeFillShade="F2"/>
            <w:vAlign w:val="center"/>
          </w:tcPr>
          <w:p w14:paraId="6CB3139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0.847</w:t>
            </w:r>
          </w:p>
        </w:tc>
        <w:tc>
          <w:tcPr>
            <w:tcW w:w="1140" w:type="dxa"/>
            <w:tcBorders>
              <w:top w:val="single" w:sz="4" w:space="0" w:color="000000"/>
            </w:tcBorders>
            <w:shd w:val="clear" w:color="auto" w:fill="F2F2F2" w:themeFill="background1" w:themeFillShade="F2"/>
            <w:vAlign w:val="center"/>
          </w:tcPr>
          <w:p w14:paraId="2D0492C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0.655</w:t>
            </w:r>
          </w:p>
        </w:tc>
      </w:tr>
      <w:tr w:rsidR="003D5DE8" w:rsidRPr="009672FC" w14:paraId="583B8B7A" w14:textId="77777777">
        <w:trPr>
          <w:trHeight w:val="314"/>
          <w:jc w:val="center"/>
        </w:trPr>
        <w:tc>
          <w:tcPr>
            <w:tcW w:w="1079" w:type="dxa"/>
            <w:shd w:val="clear" w:color="auto" w:fill="D9D9D9" w:themeFill="background1" w:themeFillShade="D9"/>
            <w:vAlign w:val="center"/>
          </w:tcPr>
          <w:p w14:paraId="1A71DE49" w14:textId="77777777" w:rsidR="003D5DE8" w:rsidRPr="009672FC" w:rsidRDefault="003D5DE8">
            <w:pPr>
              <w:widowControl w:val="0"/>
              <w:jc w:val="both"/>
              <w:rPr>
                <w:rFonts w:ascii="Garamond" w:hAnsi="Garamond"/>
                <w:b/>
                <w:bCs/>
                <w:color w:val="000000" w:themeColor="text1"/>
                <w:sz w:val="18"/>
                <w:szCs w:val="18"/>
              </w:rPr>
            </w:pPr>
          </w:p>
        </w:tc>
        <w:tc>
          <w:tcPr>
            <w:tcW w:w="1081" w:type="dxa"/>
            <w:shd w:val="clear" w:color="auto" w:fill="F2F2F2" w:themeFill="background1" w:themeFillShade="F2"/>
            <w:vAlign w:val="center"/>
          </w:tcPr>
          <w:p w14:paraId="1D6957A2"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IP_2</w:t>
            </w:r>
          </w:p>
        </w:tc>
        <w:tc>
          <w:tcPr>
            <w:tcW w:w="1529" w:type="dxa"/>
            <w:shd w:val="clear" w:color="auto" w:fill="F2F2F2" w:themeFill="background1" w:themeFillShade="F2"/>
            <w:vAlign w:val="center"/>
          </w:tcPr>
          <w:p w14:paraId="6D53B5C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0.629</w:t>
            </w:r>
          </w:p>
        </w:tc>
        <w:tc>
          <w:tcPr>
            <w:tcW w:w="901" w:type="dxa"/>
            <w:shd w:val="clear" w:color="auto" w:fill="F2F2F2" w:themeFill="background1" w:themeFillShade="F2"/>
            <w:vAlign w:val="center"/>
          </w:tcPr>
          <w:p w14:paraId="3F713131"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1.159</w:t>
            </w:r>
          </w:p>
        </w:tc>
        <w:tc>
          <w:tcPr>
            <w:tcW w:w="1197" w:type="dxa"/>
            <w:shd w:val="clear" w:color="auto" w:fill="F2F2F2" w:themeFill="background1" w:themeFillShade="F2"/>
            <w:vAlign w:val="center"/>
          </w:tcPr>
          <w:p w14:paraId="7478EA8E" w14:textId="77777777" w:rsidR="003D5DE8" w:rsidRPr="009672FC" w:rsidRDefault="003D5DE8">
            <w:pPr>
              <w:widowControl w:val="0"/>
              <w:jc w:val="both"/>
              <w:rPr>
                <w:rFonts w:ascii="Garamond" w:hAnsi="Garamond"/>
                <w:color w:val="000000" w:themeColor="text1"/>
                <w:sz w:val="18"/>
                <w:szCs w:val="18"/>
              </w:rPr>
            </w:pPr>
          </w:p>
        </w:tc>
        <w:tc>
          <w:tcPr>
            <w:tcW w:w="827" w:type="dxa"/>
            <w:shd w:val="clear" w:color="auto" w:fill="F2F2F2" w:themeFill="background1" w:themeFillShade="F2"/>
            <w:vAlign w:val="center"/>
          </w:tcPr>
          <w:p w14:paraId="5DCB4DE8" w14:textId="77777777" w:rsidR="003D5DE8" w:rsidRPr="009672FC" w:rsidRDefault="003D5DE8">
            <w:pPr>
              <w:widowControl w:val="0"/>
              <w:jc w:val="both"/>
              <w:rPr>
                <w:rFonts w:ascii="Garamond" w:hAnsi="Garamond"/>
                <w:color w:val="000000" w:themeColor="text1"/>
                <w:sz w:val="18"/>
                <w:szCs w:val="18"/>
              </w:rPr>
            </w:pPr>
          </w:p>
        </w:tc>
        <w:tc>
          <w:tcPr>
            <w:tcW w:w="1242" w:type="dxa"/>
            <w:shd w:val="clear" w:color="auto" w:fill="F2F2F2" w:themeFill="background1" w:themeFillShade="F2"/>
            <w:vAlign w:val="center"/>
          </w:tcPr>
          <w:p w14:paraId="5B78B517" w14:textId="77777777" w:rsidR="003D5DE8" w:rsidRPr="009672FC" w:rsidRDefault="003D5DE8">
            <w:pPr>
              <w:widowControl w:val="0"/>
              <w:jc w:val="both"/>
              <w:rPr>
                <w:rFonts w:ascii="Garamond" w:hAnsi="Garamond"/>
                <w:color w:val="000000" w:themeColor="text1"/>
                <w:sz w:val="18"/>
                <w:szCs w:val="18"/>
              </w:rPr>
            </w:pPr>
          </w:p>
        </w:tc>
        <w:tc>
          <w:tcPr>
            <w:tcW w:w="1140" w:type="dxa"/>
            <w:shd w:val="clear" w:color="auto" w:fill="F2F2F2" w:themeFill="background1" w:themeFillShade="F2"/>
            <w:vAlign w:val="center"/>
          </w:tcPr>
          <w:p w14:paraId="40C81E34" w14:textId="77777777" w:rsidR="003D5DE8" w:rsidRPr="009672FC" w:rsidRDefault="003D5DE8">
            <w:pPr>
              <w:widowControl w:val="0"/>
              <w:jc w:val="both"/>
              <w:rPr>
                <w:rFonts w:ascii="Garamond" w:hAnsi="Garamond"/>
                <w:color w:val="000000" w:themeColor="text1"/>
                <w:sz w:val="18"/>
                <w:szCs w:val="18"/>
              </w:rPr>
            </w:pPr>
          </w:p>
        </w:tc>
      </w:tr>
      <w:tr w:rsidR="003D5DE8" w:rsidRPr="009672FC" w14:paraId="2483D6E5" w14:textId="77777777">
        <w:trPr>
          <w:trHeight w:val="314"/>
          <w:jc w:val="center"/>
        </w:trPr>
        <w:tc>
          <w:tcPr>
            <w:tcW w:w="1079" w:type="dxa"/>
            <w:shd w:val="clear" w:color="auto" w:fill="D9D9D9" w:themeFill="background1" w:themeFillShade="D9"/>
            <w:vAlign w:val="center"/>
          </w:tcPr>
          <w:p w14:paraId="7F62B84F" w14:textId="77777777" w:rsidR="003D5DE8" w:rsidRPr="009672FC" w:rsidRDefault="003D5DE8">
            <w:pPr>
              <w:widowControl w:val="0"/>
              <w:jc w:val="both"/>
              <w:rPr>
                <w:rFonts w:ascii="Garamond" w:hAnsi="Garamond"/>
                <w:b/>
                <w:bCs/>
                <w:color w:val="000000" w:themeColor="text1"/>
                <w:sz w:val="18"/>
                <w:szCs w:val="18"/>
              </w:rPr>
            </w:pPr>
          </w:p>
        </w:tc>
        <w:tc>
          <w:tcPr>
            <w:tcW w:w="1081" w:type="dxa"/>
            <w:tcBorders>
              <w:bottom w:val="single" w:sz="4" w:space="0" w:color="000000"/>
            </w:tcBorders>
            <w:shd w:val="clear" w:color="auto" w:fill="F2F2F2" w:themeFill="background1" w:themeFillShade="F2"/>
            <w:vAlign w:val="center"/>
          </w:tcPr>
          <w:p w14:paraId="0945AB9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IP_3</w:t>
            </w:r>
          </w:p>
        </w:tc>
        <w:tc>
          <w:tcPr>
            <w:tcW w:w="1529" w:type="dxa"/>
            <w:tcBorders>
              <w:bottom w:val="single" w:sz="4" w:space="0" w:color="000000"/>
            </w:tcBorders>
            <w:shd w:val="clear" w:color="auto" w:fill="F2F2F2" w:themeFill="background1" w:themeFillShade="F2"/>
            <w:vAlign w:val="center"/>
          </w:tcPr>
          <w:p w14:paraId="50D52B5B"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0.889</w:t>
            </w:r>
          </w:p>
        </w:tc>
        <w:tc>
          <w:tcPr>
            <w:tcW w:w="901" w:type="dxa"/>
            <w:tcBorders>
              <w:bottom w:val="single" w:sz="4" w:space="0" w:color="000000"/>
            </w:tcBorders>
            <w:shd w:val="clear" w:color="auto" w:fill="F2F2F2" w:themeFill="background1" w:themeFillShade="F2"/>
            <w:vAlign w:val="center"/>
          </w:tcPr>
          <w:p w14:paraId="1CED17E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2.355</w:t>
            </w:r>
          </w:p>
        </w:tc>
        <w:tc>
          <w:tcPr>
            <w:tcW w:w="1197" w:type="dxa"/>
            <w:tcBorders>
              <w:bottom w:val="single" w:sz="4" w:space="0" w:color="000000"/>
            </w:tcBorders>
            <w:shd w:val="clear" w:color="auto" w:fill="F2F2F2" w:themeFill="background1" w:themeFillShade="F2"/>
            <w:vAlign w:val="center"/>
          </w:tcPr>
          <w:p w14:paraId="4EBBBF15" w14:textId="77777777" w:rsidR="003D5DE8" w:rsidRPr="009672FC" w:rsidRDefault="003D5DE8">
            <w:pPr>
              <w:widowControl w:val="0"/>
              <w:jc w:val="both"/>
              <w:rPr>
                <w:rFonts w:ascii="Garamond" w:hAnsi="Garamond"/>
                <w:color w:val="000000" w:themeColor="text1"/>
                <w:sz w:val="18"/>
                <w:szCs w:val="18"/>
              </w:rPr>
            </w:pPr>
          </w:p>
        </w:tc>
        <w:tc>
          <w:tcPr>
            <w:tcW w:w="827" w:type="dxa"/>
            <w:tcBorders>
              <w:bottom w:val="single" w:sz="4" w:space="0" w:color="000000"/>
            </w:tcBorders>
            <w:shd w:val="clear" w:color="auto" w:fill="F2F2F2" w:themeFill="background1" w:themeFillShade="F2"/>
            <w:vAlign w:val="center"/>
          </w:tcPr>
          <w:p w14:paraId="139E5642" w14:textId="77777777" w:rsidR="003D5DE8" w:rsidRPr="009672FC" w:rsidRDefault="003D5DE8">
            <w:pPr>
              <w:widowControl w:val="0"/>
              <w:jc w:val="both"/>
              <w:rPr>
                <w:rFonts w:ascii="Garamond" w:hAnsi="Garamond"/>
                <w:color w:val="000000" w:themeColor="text1"/>
                <w:sz w:val="18"/>
                <w:szCs w:val="18"/>
              </w:rPr>
            </w:pPr>
          </w:p>
        </w:tc>
        <w:tc>
          <w:tcPr>
            <w:tcW w:w="1242" w:type="dxa"/>
            <w:tcBorders>
              <w:bottom w:val="single" w:sz="4" w:space="0" w:color="000000"/>
            </w:tcBorders>
            <w:shd w:val="clear" w:color="auto" w:fill="F2F2F2" w:themeFill="background1" w:themeFillShade="F2"/>
            <w:vAlign w:val="center"/>
          </w:tcPr>
          <w:p w14:paraId="3C5FDC59" w14:textId="77777777" w:rsidR="003D5DE8" w:rsidRPr="009672FC" w:rsidRDefault="003D5DE8">
            <w:pPr>
              <w:widowControl w:val="0"/>
              <w:jc w:val="both"/>
              <w:rPr>
                <w:rFonts w:ascii="Garamond" w:hAnsi="Garamond"/>
                <w:color w:val="000000" w:themeColor="text1"/>
                <w:sz w:val="18"/>
                <w:szCs w:val="18"/>
              </w:rPr>
            </w:pPr>
          </w:p>
        </w:tc>
        <w:tc>
          <w:tcPr>
            <w:tcW w:w="1140" w:type="dxa"/>
            <w:tcBorders>
              <w:bottom w:val="single" w:sz="4" w:space="0" w:color="000000"/>
            </w:tcBorders>
            <w:shd w:val="clear" w:color="auto" w:fill="F2F2F2" w:themeFill="background1" w:themeFillShade="F2"/>
            <w:vAlign w:val="center"/>
          </w:tcPr>
          <w:p w14:paraId="449508EA" w14:textId="77777777" w:rsidR="003D5DE8" w:rsidRPr="009672FC" w:rsidRDefault="003D5DE8">
            <w:pPr>
              <w:widowControl w:val="0"/>
              <w:jc w:val="both"/>
              <w:rPr>
                <w:rFonts w:ascii="Garamond" w:hAnsi="Garamond"/>
                <w:color w:val="000000" w:themeColor="text1"/>
                <w:sz w:val="18"/>
                <w:szCs w:val="18"/>
              </w:rPr>
            </w:pPr>
          </w:p>
        </w:tc>
      </w:tr>
      <w:tr w:rsidR="003D5DE8" w:rsidRPr="009672FC" w14:paraId="597E52A9" w14:textId="77777777">
        <w:trPr>
          <w:trHeight w:val="314"/>
          <w:jc w:val="center"/>
        </w:trPr>
        <w:tc>
          <w:tcPr>
            <w:tcW w:w="1079" w:type="dxa"/>
            <w:shd w:val="clear" w:color="auto" w:fill="D9D9D9" w:themeFill="background1" w:themeFillShade="D9"/>
            <w:vAlign w:val="center"/>
          </w:tcPr>
          <w:p w14:paraId="70D7D985"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RRm</w:t>
            </w:r>
          </w:p>
        </w:tc>
        <w:tc>
          <w:tcPr>
            <w:tcW w:w="1081" w:type="dxa"/>
            <w:tcBorders>
              <w:top w:val="single" w:sz="4" w:space="0" w:color="000000"/>
            </w:tcBorders>
            <w:shd w:val="clear" w:color="auto" w:fill="F2F2F2" w:themeFill="background1" w:themeFillShade="F2"/>
            <w:vAlign w:val="center"/>
          </w:tcPr>
          <w:p w14:paraId="23C0A45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RR_1</w:t>
            </w:r>
          </w:p>
        </w:tc>
        <w:tc>
          <w:tcPr>
            <w:tcW w:w="1529" w:type="dxa"/>
            <w:tcBorders>
              <w:top w:val="single" w:sz="4" w:space="0" w:color="000000"/>
            </w:tcBorders>
            <w:shd w:val="clear" w:color="auto" w:fill="F2F2F2" w:themeFill="background1" w:themeFillShade="F2"/>
            <w:vAlign w:val="center"/>
          </w:tcPr>
          <w:p w14:paraId="306DCCDD"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0.869</w:t>
            </w:r>
          </w:p>
        </w:tc>
        <w:tc>
          <w:tcPr>
            <w:tcW w:w="901" w:type="dxa"/>
            <w:tcBorders>
              <w:top w:val="single" w:sz="4" w:space="0" w:color="000000"/>
            </w:tcBorders>
            <w:shd w:val="clear" w:color="auto" w:fill="F2F2F2" w:themeFill="background1" w:themeFillShade="F2"/>
            <w:vAlign w:val="center"/>
          </w:tcPr>
          <w:p w14:paraId="7F590EA7"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1.478</w:t>
            </w:r>
          </w:p>
        </w:tc>
        <w:tc>
          <w:tcPr>
            <w:tcW w:w="1197" w:type="dxa"/>
            <w:tcBorders>
              <w:top w:val="single" w:sz="4" w:space="0" w:color="000000"/>
            </w:tcBorders>
            <w:shd w:val="clear" w:color="auto" w:fill="F2F2F2" w:themeFill="background1" w:themeFillShade="F2"/>
            <w:vAlign w:val="center"/>
          </w:tcPr>
          <w:p w14:paraId="16940AB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0.725</w:t>
            </w:r>
          </w:p>
        </w:tc>
        <w:tc>
          <w:tcPr>
            <w:tcW w:w="827" w:type="dxa"/>
            <w:tcBorders>
              <w:top w:val="single" w:sz="4" w:space="0" w:color="000000"/>
            </w:tcBorders>
            <w:shd w:val="clear" w:color="auto" w:fill="F2F2F2" w:themeFill="background1" w:themeFillShade="F2"/>
            <w:vAlign w:val="center"/>
          </w:tcPr>
          <w:p w14:paraId="486CC80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0.734</w:t>
            </w:r>
          </w:p>
        </w:tc>
        <w:tc>
          <w:tcPr>
            <w:tcW w:w="1242" w:type="dxa"/>
            <w:tcBorders>
              <w:top w:val="single" w:sz="4" w:space="0" w:color="000000"/>
            </w:tcBorders>
            <w:shd w:val="clear" w:color="auto" w:fill="F2F2F2" w:themeFill="background1" w:themeFillShade="F2"/>
            <w:vAlign w:val="center"/>
          </w:tcPr>
          <w:p w14:paraId="1043A14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0.879</w:t>
            </w:r>
          </w:p>
        </w:tc>
        <w:tc>
          <w:tcPr>
            <w:tcW w:w="1140" w:type="dxa"/>
            <w:tcBorders>
              <w:top w:val="single" w:sz="4" w:space="0" w:color="000000"/>
            </w:tcBorders>
            <w:shd w:val="clear" w:color="auto" w:fill="F2F2F2" w:themeFill="background1" w:themeFillShade="F2"/>
            <w:vAlign w:val="center"/>
          </w:tcPr>
          <w:p w14:paraId="0D8F9CC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0.784</w:t>
            </w:r>
          </w:p>
        </w:tc>
      </w:tr>
      <w:tr w:rsidR="003D5DE8" w:rsidRPr="009672FC" w14:paraId="206C3E93" w14:textId="77777777">
        <w:trPr>
          <w:trHeight w:val="314"/>
          <w:jc w:val="center"/>
        </w:trPr>
        <w:tc>
          <w:tcPr>
            <w:tcW w:w="1079" w:type="dxa"/>
            <w:shd w:val="clear" w:color="auto" w:fill="D9D9D9" w:themeFill="background1" w:themeFillShade="D9"/>
            <w:vAlign w:val="center"/>
          </w:tcPr>
          <w:p w14:paraId="5E360B76" w14:textId="77777777" w:rsidR="003D5DE8" w:rsidRPr="009672FC" w:rsidRDefault="003D5DE8">
            <w:pPr>
              <w:widowControl w:val="0"/>
              <w:jc w:val="both"/>
              <w:rPr>
                <w:rFonts w:ascii="Garamond" w:hAnsi="Garamond"/>
                <w:b/>
                <w:bCs/>
                <w:color w:val="000000" w:themeColor="text1"/>
                <w:sz w:val="18"/>
                <w:szCs w:val="18"/>
              </w:rPr>
            </w:pPr>
          </w:p>
        </w:tc>
        <w:tc>
          <w:tcPr>
            <w:tcW w:w="1081" w:type="dxa"/>
            <w:shd w:val="clear" w:color="auto" w:fill="F2F2F2" w:themeFill="background1" w:themeFillShade="F2"/>
            <w:vAlign w:val="center"/>
          </w:tcPr>
          <w:p w14:paraId="5A62A78D"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RR_2</w:t>
            </w:r>
          </w:p>
        </w:tc>
        <w:tc>
          <w:tcPr>
            <w:tcW w:w="1529" w:type="dxa"/>
            <w:shd w:val="clear" w:color="auto" w:fill="F2F2F2" w:themeFill="background1" w:themeFillShade="F2"/>
            <w:vAlign w:val="center"/>
          </w:tcPr>
          <w:p w14:paraId="15C2A577"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0.901</w:t>
            </w:r>
          </w:p>
        </w:tc>
        <w:tc>
          <w:tcPr>
            <w:tcW w:w="901" w:type="dxa"/>
            <w:shd w:val="clear" w:color="auto" w:fill="F2F2F2" w:themeFill="background1" w:themeFillShade="F2"/>
            <w:vAlign w:val="center"/>
          </w:tcPr>
          <w:p w14:paraId="6752868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1.478</w:t>
            </w:r>
          </w:p>
        </w:tc>
        <w:tc>
          <w:tcPr>
            <w:tcW w:w="1197" w:type="dxa"/>
            <w:shd w:val="clear" w:color="auto" w:fill="F2F2F2" w:themeFill="background1" w:themeFillShade="F2"/>
            <w:vAlign w:val="center"/>
          </w:tcPr>
          <w:p w14:paraId="63FF704F" w14:textId="77777777" w:rsidR="003D5DE8" w:rsidRPr="009672FC" w:rsidRDefault="003D5DE8">
            <w:pPr>
              <w:widowControl w:val="0"/>
              <w:jc w:val="both"/>
              <w:rPr>
                <w:rFonts w:ascii="Garamond" w:hAnsi="Garamond"/>
                <w:color w:val="000000" w:themeColor="text1"/>
                <w:sz w:val="18"/>
                <w:szCs w:val="18"/>
              </w:rPr>
            </w:pPr>
          </w:p>
        </w:tc>
        <w:tc>
          <w:tcPr>
            <w:tcW w:w="827" w:type="dxa"/>
            <w:shd w:val="clear" w:color="auto" w:fill="F2F2F2" w:themeFill="background1" w:themeFillShade="F2"/>
            <w:vAlign w:val="center"/>
          </w:tcPr>
          <w:p w14:paraId="5984784A" w14:textId="77777777" w:rsidR="003D5DE8" w:rsidRPr="009672FC" w:rsidRDefault="003D5DE8">
            <w:pPr>
              <w:widowControl w:val="0"/>
              <w:jc w:val="both"/>
              <w:rPr>
                <w:rFonts w:ascii="Garamond" w:hAnsi="Garamond"/>
                <w:color w:val="000000" w:themeColor="text1"/>
                <w:sz w:val="18"/>
                <w:szCs w:val="18"/>
              </w:rPr>
            </w:pPr>
          </w:p>
        </w:tc>
        <w:tc>
          <w:tcPr>
            <w:tcW w:w="1242" w:type="dxa"/>
            <w:shd w:val="clear" w:color="auto" w:fill="F2F2F2" w:themeFill="background1" w:themeFillShade="F2"/>
            <w:vAlign w:val="center"/>
          </w:tcPr>
          <w:p w14:paraId="4A0796CF" w14:textId="77777777" w:rsidR="003D5DE8" w:rsidRPr="009672FC" w:rsidRDefault="003D5DE8">
            <w:pPr>
              <w:widowControl w:val="0"/>
              <w:jc w:val="both"/>
              <w:rPr>
                <w:rFonts w:ascii="Garamond" w:hAnsi="Garamond"/>
                <w:color w:val="000000" w:themeColor="text1"/>
                <w:sz w:val="18"/>
                <w:szCs w:val="18"/>
              </w:rPr>
            </w:pPr>
          </w:p>
        </w:tc>
        <w:tc>
          <w:tcPr>
            <w:tcW w:w="1140" w:type="dxa"/>
            <w:shd w:val="clear" w:color="auto" w:fill="F2F2F2" w:themeFill="background1" w:themeFillShade="F2"/>
            <w:vAlign w:val="center"/>
          </w:tcPr>
          <w:p w14:paraId="20315A91" w14:textId="77777777" w:rsidR="003D5DE8" w:rsidRPr="009672FC" w:rsidRDefault="003D5DE8">
            <w:pPr>
              <w:widowControl w:val="0"/>
              <w:jc w:val="both"/>
              <w:rPr>
                <w:rFonts w:ascii="Garamond" w:hAnsi="Garamond"/>
                <w:color w:val="000000" w:themeColor="text1"/>
                <w:sz w:val="18"/>
                <w:szCs w:val="18"/>
              </w:rPr>
            </w:pPr>
          </w:p>
        </w:tc>
      </w:tr>
      <w:tr w:rsidR="003D5DE8" w:rsidRPr="009672FC" w14:paraId="363527EA" w14:textId="77777777">
        <w:trPr>
          <w:trHeight w:val="301"/>
          <w:jc w:val="center"/>
        </w:trPr>
        <w:tc>
          <w:tcPr>
            <w:tcW w:w="1079" w:type="dxa"/>
            <w:shd w:val="clear" w:color="auto" w:fill="D9D9D9" w:themeFill="background1" w:themeFillShade="D9"/>
            <w:vAlign w:val="center"/>
          </w:tcPr>
          <w:p w14:paraId="73A95555"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RTm</w:t>
            </w:r>
          </w:p>
        </w:tc>
        <w:tc>
          <w:tcPr>
            <w:tcW w:w="1081" w:type="dxa"/>
            <w:tcBorders>
              <w:top w:val="single" w:sz="4" w:space="0" w:color="000000"/>
            </w:tcBorders>
            <w:shd w:val="clear" w:color="auto" w:fill="F2F2F2" w:themeFill="background1" w:themeFillShade="F2"/>
            <w:vAlign w:val="center"/>
          </w:tcPr>
          <w:p w14:paraId="423B861B"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RT_1</w:t>
            </w:r>
          </w:p>
        </w:tc>
        <w:tc>
          <w:tcPr>
            <w:tcW w:w="1529" w:type="dxa"/>
            <w:tcBorders>
              <w:top w:val="single" w:sz="4" w:space="0" w:color="000000"/>
            </w:tcBorders>
            <w:shd w:val="clear" w:color="auto" w:fill="F2F2F2" w:themeFill="background1" w:themeFillShade="F2"/>
            <w:vAlign w:val="center"/>
          </w:tcPr>
          <w:p w14:paraId="009486C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0.894</w:t>
            </w:r>
          </w:p>
        </w:tc>
        <w:tc>
          <w:tcPr>
            <w:tcW w:w="901" w:type="dxa"/>
            <w:tcBorders>
              <w:top w:val="single" w:sz="4" w:space="0" w:color="000000"/>
            </w:tcBorders>
            <w:shd w:val="clear" w:color="auto" w:fill="F2F2F2" w:themeFill="background1" w:themeFillShade="F2"/>
            <w:vAlign w:val="center"/>
          </w:tcPr>
          <w:p w14:paraId="5D02AF3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1.785</w:t>
            </w:r>
          </w:p>
        </w:tc>
        <w:tc>
          <w:tcPr>
            <w:tcW w:w="1197" w:type="dxa"/>
            <w:tcBorders>
              <w:top w:val="single" w:sz="4" w:space="0" w:color="000000"/>
            </w:tcBorders>
            <w:shd w:val="clear" w:color="auto" w:fill="F2F2F2" w:themeFill="background1" w:themeFillShade="F2"/>
            <w:vAlign w:val="center"/>
          </w:tcPr>
          <w:p w14:paraId="4B08E30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0.797</w:t>
            </w:r>
          </w:p>
        </w:tc>
        <w:tc>
          <w:tcPr>
            <w:tcW w:w="827" w:type="dxa"/>
            <w:tcBorders>
              <w:top w:val="single" w:sz="4" w:space="0" w:color="000000"/>
            </w:tcBorders>
            <w:shd w:val="clear" w:color="auto" w:fill="F2F2F2" w:themeFill="background1" w:themeFillShade="F2"/>
            <w:vAlign w:val="center"/>
          </w:tcPr>
          <w:p w14:paraId="2EF9F66F"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0.799</w:t>
            </w:r>
          </w:p>
        </w:tc>
        <w:tc>
          <w:tcPr>
            <w:tcW w:w="1242" w:type="dxa"/>
            <w:tcBorders>
              <w:top w:val="single" w:sz="4" w:space="0" w:color="000000"/>
            </w:tcBorders>
            <w:shd w:val="clear" w:color="auto" w:fill="F2F2F2" w:themeFill="background1" w:themeFillShade="F2"/>
            <w:vAlign w:val="center"/>
          </w:tcPr>
          <w:p w14:paraId="466FBBF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0.908</w:t>
            </w:r>
          </w:p>
        </w:tc>
        <w:tc>
          <w:tcPr>
            <w:tcW w:w="1140" w:type="dxa"/>
            <w:tcBorders>
              <w:top w:val="single" w:sz="4" w:space="0" w:color="000000"/>
            </w:tcBorders>
            <w:shd w:val="clear" w:color="auto" w:fill="F2F2F2" w:themeFill="background1" w:themeFillShade="F2"/>
            <w:vAlign w:val="center"/>
          </w:tcPr>
          <w:p w14:paraId="478AE30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0.831</w:t>
            </w:r>
          </w:p>
        </w:tc>
      </w:tr>
      <w:tr w:rsidR="003D5DE8" w:rsidRPr="009672FC" w14:paraId="089AF9E1" w14:textId="77777777">
        <w:trPr>
          <w:trHeight w:val="301"/>
          <w:jc w:val="center"/>
        </w:trPr>
        <w:tc>
          <w:tcPr>
            <w:tcW w:w="1079" w:type="dxa"/>
            <w:shd w:val="clear" w:color="auto" w:fill="D9D9D9" w:themeFill="background1" w:themeFillShade="D9"/>
            <w:vAlign w:val="center"/>
          </w:tcPr>
          <w:p w14:paraId="30490CB5" w14:textId="77777777" w:rsidR="003D5DE8" w:rsidRPr="009672FC" w:rsidRDefault="003D5DE8">
            <w:pPr>
              <w:widowControl w:val="0"/>
              <w:jc w:val="both"/>
              <w:rPr>
                <w:rFonts w:ascii="Garamond" w:hAnsi="Garamond"/>
                <w:b/>
                <w:bCs/>
                <w:color w:val="000000" w:themeColor="text1"/>
                <w:sz w:val="18"/>
                <w:szCs w:val="18"/>
              </w:rPr>
            </w:pPr>
          </w:p>
        </w:tc>
        <w:tc>
          <w:tcPr>
            <w:tcW w:w="1081" w:type="dxa"/>
            <w:tcBorders>
              <w:bottom w:val="single" w:sz="4" w:space="0" w:color="000000"/>
            </w:tcBorders>
            <w:shd w:val="clear" w:color="auto" w:fill="F2F2F2" w:themeFill="background1" w:themeFillShade="F2"/>
            <w:vAlign w:val="center"/>
          </w:tcPr>
          <w:p w14:paraId="7D794747"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RT_2</w:t>
            </w:r>
          </w:p>
        </w:tc>
        <w:tc>
          <w:tcPr>
            <w:tcW w:w="1529" w:type="dxa"/>
            <w:tcBorders>
              <w:bottom w:val="single" w:sz="4" w:space="0" w:color="000000"/>
            </w:tcBorders>
            <w:shd w:val="clear" w:color="auto" w:fill="F2F2F2" w:themeFill="background1" w:themeFillShade="F2"/>
            <w:vAlign w:val="center"/>
          </w:tcPr>
          <w:p w14:paraId="30B0729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0.918</w:t>
            </w:r>
          </w:p>
        </w:tc>
        <w:tc>
          <w:tcPr>
            <w:tcW w:w="901" w:type="dxa"/>
            <w:tcBorders>
              <w:bottom w:val="single" w:sz="4" w:space="0" w:color="000000"/>
            </w:tcBorders>
            <w:shd w:val="clear" w:color="auto" w:fill="F2F2F2" w:themeFill="background1" w:themeFillShade="F2"/>
            <w:vAlign w:val="center"/>
          </w:tcPr>
          <w:p w14:paraId="7C28F82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1.785</w:t>
            </w:r>
          </w:p>
        </w:tc>
        <w:tc>
          <w:tcPr>
            <w:tcW w:w="1197" w:type="dxa"/>
            <w:tcBorders>
              <w:bottom w:val="single" w:sz="4" w:space="0" w:color="000000"/>
            </w:tcBorders>
            <w:shd w:val="clear" w:color="auto" w:fill="F2F2F2" w:themeFill="background1" w:themeFillShade="F2"/>
            <w:vAlign w:val="center"/>
          </w:tcPr>
          <w:p w14:paraId="4AC5B0B6" w14:textId="77777777" w:rsidR="003D5DE8" w:rsidRPr="009672FC" w:rsidRDefault="003D5DE8">
            <w:pPr>
              <w:widowControl w:val="0"/>
              <w:jc w:val="both"/>
              <w:rPr>
                <w:rFonts w:ascii="Garamond" w:hAnsi="Garamond"/>
                <w:color w:val="000000" w:themeColor="text1"/>
                <w:sz w:val="18"/>
                <w:szCs w:val="18"/>
              </w:rPr>
            </w:pPr>
          </w:p>
        </w:tc>
        <w:tc>
          <w:tcPr>
            <w:tcW w:w="827" w:type="dxa"/>
            <w:tcBorders>
              <w:bottom w:val="single" w:sz="4" w:space="0" w:color="000000"/>
            </w:tcBorders>
            <w:shd w:val="clear" w:color="auto" w:fill="F2F2F2" w:themeFill="background1" w:themeFillShade="F2"/>
            <w:vAlign w:val="center"/>
          </w:tcPr>
          <w:p w14:paraId="1D19125B" w14:textId="77777777" w:rsidR="003D5DE8" w:rsidRPr="009672FC" w:rsidRDefault="003D5DE8">
            <w:pPr>
              <w:widowControl w:val="0"/>
              <w:jc w:val="both"/>
              <w:rPr>
                <w:rFonts w:ascii="Garamond" w:hAnsi="Garamond"/>
                <w:color w:val="000000" w:themeColor="text1"/>
                <w:sz w:val="18"/>
                <w:szCs w:val="18"/>
              </w:rPr>
            </w:pPr>
          </w:p>
        </w:tc>
        <w:tc>
          <w:tcPr>
            <w:tcW w:w="1242" w:type="dxa"/>
            <w:tcBorders>
              <w:bottom w:val="single" w:sz="4" w:space="0" w:color="000000"/>
            </w:tcBorders>
            <w:shd w:val="clear" w:color="auto" w:fill="F2F2F2" w:themeFill="background1" w:themeFillShade="F2"/>
            <w:vAlign w:val="center"/>
          </w:tcPr>
          <w:p w14:paraId="65E1F789" w14:textId="77777777" w:rsidR="003D5DE8" w:rsidRPr="009672FC" w:rsidRDefault="003D5DE8">
            <w:pPr>
              <w:widowControl w:val="0"/>
              <w:jc w:val="both"/>
              <w:rPr>
                <w:rFonts w:ascii="Garamond" w:hAnsi="Garamond"/>
                <w:color w:val="000000" w:themeColor="text1"/>
                <w:sz w:val="18"/>
                <w:szCs w:val="18"/>
              </w:rPr>
            </w:pPr>
          </w:p>
        </w:tc>
        <w:tc>
          <w:tcPr>
            <w:tcW w:w="1140" w:type="dxa"/>
            <w:tcBorders>
              <w:bottom w:val="single" w:sz="4" w:space="0" w:color="000000"/>
            </w:tcBorders>
            <w:shd w:val="clear" w:color="auto" w:fill="F2F2F2" w:themeFill="background1" w:themeFillShade="F2"/>
            <w:vAlign w:val="center"/>
          </w:tcPr>
          <w:p w14:paraId="28E231BD" w14:textId="77777777" w:rsidR="003D5DE8" w:rsidRPr="009672FC" w:rsidRDefault="003D5DE8">
            <w:pPr>
              <w:widowControl w:val="0"/>
              <w:jc w:val="both"/>
              <w:rPr>
                <w:rFonts w:ascii="Garamond" w:hAnsi="Garamond"/>
                <w:color w:val="000000" w:themeColor="text1"/>
                <w:sz w:val="18"/>
                <w:szCs w:val="18"/>
              </w:rPr>
            </w:pPr>
          </w:p>
        </w:tc>
      </w:tr>
      <w:tr w:rsidR="003D5DE8" w:rsidRPr="009672FC" w14:paraId="71BC066C" w14:textId="77777777">
        <w:trPr>
          <w:trHeight w:val="314"/>
          <w:jc w:val="center"/>
        </w:trPr>
        <w:tc>
          <w:tcPr>
            <w:tcW w:w="1079" w:type="dxa"/>
            <w:shd w:val="clear" w:color="auto" w:fill="D9D9D9" w:themeFill="background1" w:themeFillShade="D9"/>
            <w:vAlign w:val="center"/>
          </w:tcPr>
          <w:p w14:paraId="3C70D487" w14:textId="77777777" w:rsidR="003D5DE8" w:rsidRPr="009672FC" w:rsidRDefault="007549AA">
            <w:pPr>
              <w:widowControl w:val="0"/>
              <w:jc w:val="both"/>
              <w:rPr>
                <w:rFonts w:ascii="Garamond" w:hAnsi="Garamond"/>
                <w:b/>
                <w:bCs/>
                <w:color w:val="000000" w:themeColor="text1"/>
                <w:sz w:val="18"/>
                <w:szCs w:val="18"/>
              </w:rPr>
            </w:pPr>
            <w:r w:rsidRPr="009672FC">
              <w:rPr>
                <w:rFonts w:ascii="Garamond" w:hAnsi="Garamond"/>
                <w:b/>
                <w:bCs/>
                <w:color w:val="000000" w:themeColor="text1"/>
                <w:sz w:val="18"/>
                <w:szCs w:val="18"/>
              </w:rPr>
              <w:t>SITm</w:t>
            </w:r>
          </w:p>
        </w:tc>
        <w:tc>
          <w:tcPr>
            <w:tcW w:w="1081" w:type="dxa"/>
            <w:tcBorders>
              <w:top w:val="single" w:sz="4" w:space="0" w:color="000000"/>
            </w:tcBorders>
            <w:shd w:val="clear" w:color="auto" w:fill="F2F2F2" w:themeFill="background1" w:themeFillShade="F2"/>
            <w:vAlign w:val="center"/>
          </w:tcPr>
          <w:p w14:paraId="4F9603D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SIT_1</w:t>
            </w:r>
          </w:p>
        </w:tc>
        <w:tc>
          <w:tcPr>
            <w:tcW w:w="1529" w:type="dxa"/>
            <w:tcBorders>
              <w:top w:val="single" w:sz="4" w:space="0" w:color="000000"/>
            </w:tcBorders>
            <w:shd w:val="clear" w:color="auto" w:fill="F2F2F2" w:themeFill="background1" w:themeFillShade="F2"/>
            <w:vAlign w:val="center"/>
          </w:tcPr>
          <w:p w14:paraId="491DAC1D"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0.758</w:t>
            </w:r>
          </w:p>
        </w:tc>
        <w:tc>
          <w:tcPr>
            <w:tcW w:w="901" w:type="dxa"/>
            <w:tcBorders>
              <w:top w:val="single" w:sz="4" w:space="0" w:color="000000"/>
            </w:tcBorders>
            <w:shd w:val="clear" w:color="auto" w:fill="F2F2F2" w:themeFill="background1" w:themeFillShade="F2"/>
            <w:vAlign w:val="center"/>
          </w:tcPr>
          <w:p w14:paraId="1260B50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1.692</w:t>
            </w:r>
          </w:p>
        </w:tc>
        <w:tc>
          <w:tcPr>
            <w:tcW w:w="1197" w:type="dxa"/>
            <w:tcBorders>
              <w:top w:val="single" w:sz="4" w:space="0" w:color="000000"/>
            </w:tcBorders>
            <w:shd w:val="clear" w:color="auto" w:fill="F2F2F2" w:themeFill="background1" w:themeFillShade="F2"/>
            <w:vAlign w:val="center"/>
          </w:tcPr>
          <w:p w14:paraId="230E3F0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0.804</w:t>
            </w:r>
          </w:p>
        </w:tc>
        <w:tc>
          <w:tcPr>
            <w:tcW w:w="827" w:type="dxa"/>
            <w:tcBorders>
              <w:top w:val="single" w:sz="4" w:space="0" w:color="000000"/>
            </w:tcBorders>
            <w:shd w:val="clear" w:color="auto" w:fill="F2F2F2" w:themeFill="background1" w:themeFillShade="F2"/>
            <w:vAlign w:val="center"/>
          </w:tcPr>
          <w:p w14:paraId="74952684"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0.845</w:t>
            </w:r>
          </w:p>
        </w:tc>
        <w:tc>
          <w:tcPr>
            <w:tcW w:w="1242" w:type="dxa"/>
            <w:tcBorders>
              <w:top w:val="single" w:sz="4" w:space="0" w:color="000000"/>
            </w:tcBorders>
            <w:shd w:val="clear" w:color="auto" w:fill="F2F2F2" w:themeFill="background1" w:themeFillShade="F2"/>
            <w:vAlign w:val="center"/>
          </w:tcPr>
          <w:p w14:paraId="18F38586"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0.868</w:t>
            </w:r>
          </w:p>
        </w:tc>
        <w:tc>
          <w:tcPr>
            <w:tcW w:w="1140" w:type="dxa"/>
            <w:tcBorders>
              <w:top w:val="single" w:sz="4" w:space="0" w:color="000000"/>
            </w:tcBorders>
            <w:shd w:val="clear" w:color="auto" w:fill="F2F2F2" w:themeFill="background1" w:themeFillShade="F2"/>
            <w:vAlign w:val="center"/>
          </w:tcPr>
          <w:p w14:paraId="51562AFD"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0.623</w:t>
            </w:r>
          </w:p>
        </w:tc>
      </w:tr>
      <w:tr w:rsidR="003D5DE8" w:rsidRPr="009672FC" w14:paraId="25A76A85" w14:textId="77777777">
        <w:trPr>
          <w:trHeight w:val="314"/>
          <w:jc w:val="center"/>
        </w:trPr>
        <w:tc>
          <w:tcPr>
            <w:tcW w:w="1079" w:type="dxa"/>
            <w:shd w:val="clear" w:color="auto" w:fill="D9D9D9" w:themeFill="background1" w:themeFillShade="D9"/>
            <w:vAlign w:val="center"/>
          </w:tcPr>
          <w:p w14:paraId="554F4742" w14:textId="77777777" w:rsidR="003D5DE8" w:rsidRPr="009672FC" w:rsidRDefault="003D5DE8">
            <w:pPr>
              <w:widowControl w:val="0"/>
              <w:jc w:val="both"/>
              <w:rPr>
                <w:rFonts w:ascii="Garamond" w:hAnsi="Garamond"/>
                <w:b/>
                <w:bCs/>
                <w:color w:val="000000" w:themeColor="text1"/>
                <w:sz w:val="18"/>
                <w:szCs w:val="18"/>
              </w:rPr>
            </w:pPr>
          </w:p>
        </w:tc>
        <w:tc>
          <w:tcPr>
            <w:tcW w:w="1081" w:type="dxa"/>
            <w:shd w:val="clear" w:color="auto" w:fill="F2F2F2" w:themeFill="background1" w:themeFillShade="F2"/>
            <w:vAlign w:val="center"/>
          </w:tcPr>
          <w:p w14:paraId="5D6D89B7"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SIT_2</w:t>
            </w:r>
          </w:p>
        </w:tc>
        <w:tc>
          <w:tcPr>
            <w:tcW w:w="1529" w:type="dxa"/>
            <w:shd w:val="clear" w:color="auto" w:fill="F2F2F2" w:themeFill="background1" w:themeFillShade="F2"/>
            <w:vAlign w:val="center"/>
          </w:tcPr>
          <w:p w14:paraId="4E490A0C"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0.742</w:t>
            </w:r>
          </w:p>
        </w:tc>
        <w:tc>
          <w:tcPr>
            <w:tcW w:w="901" w:type="dxa"/>
            <w:shd w:val="clear" w:color="auto" w:fill="F2F2F2" w:themeFill="background1" w:themeFillShade="F2"/>
            <w:vAlign w:val="center"/>
          </w:tcPr>
          <w:p w14:paraId="63133CA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2.015</w:t>
            </w:r>
          </w:p>
        </w:tc>
        <w:tc>
          <w:tcPr>
            <w:tcW w:w="1197" w:type="dxa"/>
            <w:shd w:val="clear" w:color="auto" w:fill="F2F2F2" w:themeFill="background1" w:themeFillShade="F2"/>
            <w:vAlign w:val="center"/>
          </w:tcPr>
          <w:p w14:paraId="740AF21D" w14:textId="77777777" w:rsidR="003D5DE8" w:rsidRPr="009672FC" w:rsidRDefault="003D5DE8">
            <w:pPr>
              <w:widowControl w:val="0"/>
              <w:jc w:val="both"/>
              <w:rPr>
                <w:rFonts w:ascii="Garamond" w:hAnsi="Garamond"/>
                <w:color w:val="000000" w:themeColor="text1"/>
                <w:sz w:val="18"/>
                <w:szCs w:val="18"/>
              </w:rPr>
            </w:pPr>
          </w:p>
        </w:tc>
        <w:tc>
          <w:tcPr>
            <w:tcW w:w="827" w:type="dxa"/>
            <w:shd w:val="clear" w:color="auto" w:fill="F2F2F2" w:themeFill="background1" w:themeFillShade="F2"/>
            <w:vAlign w:val="center"/>
          </w:tcPr>
          <w:p w14:paraId="62F730C1" w14:textId="77777777" w:rsidR="003D5DE8" w:rsidRPr="009672FC" w:rsidRDefault="003D5DE8">
            <w:pPr>
              <w:widowControl w:val="0"/>
              <w:jc w:val="both"/>
              <w:rPr>
                <w:rFonts w:ascii="Garamond" w:hAnsi="Garamond"/>
                <w:color w:val="000000" w:themeColor="text1"/>
                <w:sz w:val="18"/>
                <w:szCs w:val="18"/>
              </w:rPr>
            </w:pPr>
          </w:p>
        </w:tc>
        <w:tc>
          <w:tcPr>
            <w:tcW w:w="1242" w:type="dxa"/>
            <w:shd w:val="clear" w:color="auto" w:fill="F2F2F2" w:themeFill="background1" w:themeFillShade="F2"/>
            <w:vAlign w:val="center"/>
          </w:tcPr>
          <w:p w14:paraId="40163D72" w14:textId="77777777" w:rsidR="003D5DE8" w:rsidRPr="009672FC" w:rsidRDefault="003D5DE8">
            <w:pPr>
              <w:widowControl w:val="0"/>
              <w:jc w:val="both"/>
              <w:rPr>
                <w:rFonts w:ascii="Garamond" w:hAnsi="Garamond"/>
                <w:color w:val="000000" w:themeColor="text1"/>
                <w:sz w:val="18"/>
                <w:szCs w:val="18"/>
              </w:rPr>
            </w:pPr>
          </w:p>
        </w:tc>
        <w:tc>
          <w:tcPr>
            <w:tcW w:w="1140" w:type="dxa"/>
            <w:shd w:val="clear" w:color="auto" w:fill="F2F2F2" w:themeFill="background1" w:themeFillShade="F2"/>
            <w:vAlign w:val="center"/>
          </w:tcPr>
          <w:p w14:paraId="30401662" w14:textId="77777777" w:rsidR="003D5DE8" w:rsidRPr="009672FC" w:rsidRDefault="003D5DE8">
            <w:pPr>
              <w:widowControl w:val="0"/>
              <w:jc w:val="both"/>
              <w:rPr>
                <w:rFonts w:ascii="Garamond" w:hAnsi="Garamond"/>
                <w:color w:val="000000" w:themeColor="text1"/>
                <w:sz w:val="18"/>
                <w:szCs w:val="18"/>
              </w:rPr>
            </w:pPr>
          </w:p>
        </w:tc>
      </w:tr>
      <w:tr w:rsidR="003D5DE8" w:rsidRPr="009672FC" w14:paraId="07873F59" w14:textId="77777777">
        <w:trPr>
          <w:trHeight w:val="314"/>
          <w:jc w:val="center"/>
        </w:trPr>
        <w:tc>
          <w:tcPr>
            <w:tcW w:w="1079" w:type="dxa"/>
            <w:shd w:val="clear" w:color="auto" w:fill="D9D9D9" w:themeFill="background1" w:themeFillShade="D9"/>
            <w:vAlign w:val="center"/>
          </w:tcPr>
          <w:p w14:paraId="22AE3DA5" w14:textId="77777777" w:rsidR="003D5DE8" w:rsidRPr="009672FC" w:rsidRDefault="003D5DE8">
            <w:pPr>
              <w:widowControl w:val="0"/>
              <w:jc w:val="both"/>
              <w:rPr>
                <w:rFonts w:ascii="Garamond" w:hAnsi="Garamond"/>
                <w:b/>
                <w:bCs/>
                <w:color w:val="000000" w:themeColor="text1"/>
                <w:sz w:val="18"/>
                <w:szCs w:val="18"/>
              </w:rPr>
            </w:pPr>
          </w:p>
        </w:tc>
        <w:tc>
          <w:tcPr>
            <w:tcW w:w="1081" w:type="dxa"/>
            <w:shd w:val="clear" w:color="auto" w:fill="F2F2F2" w:themeFill="background1" w:themeFillShade="F2"/>
            <w:vAlign w:val="center"/>
          </w:tcPr>
          <w:p w14:paraId="117FA7CE"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SIT_3</w:t>
            </w:r>
          </w:p>
        </w:tc>
        <w:tc>
          <w:tcPr>
            <w:tcW w:w="1529" w:type="dxa"/>
            <w:shd w:val="clear" w:color="auto" w:fill="F2F2F2" w:themeFill="background1" w:themeFillShade="F2"/>
            <w:vAlign w:val="center"/>
          </w:tcPr>
          <w:p w14:paraId="69553A8A"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0.871</w:t>
            </w:r>
          </w:p>
        </w:tc>
        <w:tc>
          <w:tcPr>
            <w:tcW w:w="901" w:type="dxa"/>
            <w:shd w:val="clear" w:color="auto" w:fill="F2F2F2" w:themeFill="background1" w:themeFillShade="F2"/>
            <w:vAlign w:val="center"/>
          </w:tcPr>
          <w:p w14:paraId="05B39C86"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2.154</w:t>
            </w:r>
          </w:p>
        </w:tc>
        <w:tc>
          <w:tcPr>
            <w:tcW w:w="1197" w:type="dxa"/>
            <w:shd w:val="clear" w:color="auto" w:fill="F2F2F2" w:themeFill="background1" w:themeFillShade="F2"/>
            <w:vAlign w:val="center"/>
          </w:tcPr>
          <w:p w14:paraId="568872BB" w14:textId="77777777" w:rsidR="003D5DE8" w:rsidRPr="009672FC" w:rsidRDefault="003D5DE8">
            <w:pPr>
              <w:widowControl w:val="0"/>
              <w:jc w:val="both"/>
              <w:rPr>
                <w:rFonts w:ascii="Garamond" w:hAnsi="Garamond"/>
                <w:color w:val="000000" w:themeColor="text1"/>
                <w:sz w:val="18"/>
                <w:szCs w:val="18"/>
              </w:rPr>
            </w:pPr>
          </w:p>
        </w:tc>
        <w:tc>
          <w:tcPr>
            <w:tcW w:w="827" w:type="dxa"/>
            <w:shd w:val="clear" w:color="auto" w:fill="F2F2F2" w:themeFill="background1" w:themeFillShade="F2"/>
            <w:vAlign w:val="center"/>
          </w:tcPr>
          <w:p w14:paraId="4BA656A9" w14:textId="77777777" w:rsidR="003D5DE8" w:rsidRPr="009672FC" w:rsidRDefault="003D5DE8">
            <w:pPr>
              <w:widowControl w:val="0"/>
              <w:jc w:val="both"/>
              <w:rPr>
                <w:rFonts w:ascii="Garamond" w:hAnsi="Garamond"/>
                <w:color w:val="000000" w:themeColor="text1"/>
                <w:sz w:val="18"/>
                <w:szCs w:val="18"/>
              </w:rPr>
            </w:pPr>
          </w:p>
        </w:tc>
        <w:tc>
          <w:tcPr>
            <w:tcW w:w="1242" w:type="dxa"/>
            <w:shd w:val="clear" w:color="auto" w:fill="F2F2F2" w:themeFill="background1" w:themeFillShade="F2"/>
            <w:vAlign w:val="center"/>
          </w:tcPr>
          <w:p w14:paraId="47576C5B" w14:textId="77777777" w:rsidR="003D5DE8" w:rsidRPr="009672FC" w:rsidRDefault="003D5DE8">
            <w:pPr>
              <w:widowControl w:val="0"/>
              <w:jc w:val="both"/>
              <w:rPr>
                <w:rFonts w:ascii="Garamond" w:hAnsi="Garamond"/>
                <w:color w:val="000000" w:themeColor="text1"/>
                <w:sz w:val="18"/>
                <w:szCs w:val="18"/>
              </w:rPr>
            </w:pPr>
          </w:p>
        </w:tc>
        <w:tc>
          <w:tcPr>
            <w:tcW w:w="1140" w:type="dxa"/>
            <w:shd w:val="clear" w:color="auto" w:fill="F2F2F2" w:themeFill="background1" w:themeFillShade="F2"/>
            <w:vAlign w:val="center"/>
          </w:tcPr>
          <w:p w14:paraId="7FE4CC86" w14:textId="77777777" w:rsidR="003D5DE8" w:rsidRPr="009672FC" w:rsidRDefault="003D5DE8">
            <w:pPr>
              <w:widowControl w:val="0"/>
              <w:jc w:val="both"/>
              <w:rPr>
                <w:rFonts w:ascii="Garamond" w:hAnsi="Garamond"/>
                <w:color w:val="000000" w:themeColor="text1"/>
                <w:sz w:val="18"/>
                <w:szCs w:val="18"/>
              </w:rPr>
            </w:pPr>
          </w:p>
        </w:tc>
      </w:tr>
      <w:tr w:rsidR="003D5DE8" w:rsidRPr="009672FC" w14:paraId="3E128AC8" w14:textId="77777777">
        <w:trPr>
          <w:trHeight w:val="314"/>
          <w:jc w:val="center"/>
        </w:trPr>
        <w:tc>
          <w:tcPr>
            <w:tcW w:w="1079" w:type="dxa"/>
            <w:tcBorders>
              <w:bottom w:val="single" w:sz="4" w:space="0" w:color="000000"/>
            </w:tcBorders>
            <w:shd w:val="clear" w:color="auto" w:fill="D9D9D9" w:themeFill="background1" w:themeFillShade="D9"/>
            <w:vAlign w:val="center"/>
          </w:tcPr>
          <w:p w14:paraId="6A95E6D0" w14:textId="77777777" w:rsidR="003D5DE8" w:rsidRPr="009672FC" w:rsidRDefault="003D5DE8">
            <w:pPr>
              <w:widowControl w:val="0"/>
              <w:jc w:val="both"/>
              <w:rPr>
                <w:rFonts w:ascii="Garamond" w:hAnsi="Garamond"/>
                <w:b/>
                <w:bCs/>
                <w:color w:val="000000" w:themeColor="text1"/>
                <w:sz w:val="18"/>
                <w:szCs w:val="18"/>
              </w:rPr>
            </w:pPr>
          </w:p>
        </w:tc>
        <w:tc>
          <w:tcPr>
            <w:tcW w:w="1081" w:type="dxa"/>
            <w:tcBorders>
              <w:bottom w:val="single" w:sz="4" w:space="0" w:color="000000"/>
            </w:tcBorders>
            <w:shd w:val="clear" w:color="auto" w:fill="F2F2F2" w:themeFill="background1" w:themeFillShade="F2"/>
            <w:vAlign w:val="center"/>
          </w:tcPr>
          <w:p w14:paraId="13C49D38"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SIT_5</w:t>
            </w:r>
          </w:p>
        </w:tc>
        <w:tc>
          <w:tcPr>
            <w:tcW w:w="1529" w:type="dxa"/>
            <w:tcBorders>
              <w:bottom w:val="single" w:sz="4" w:space="0" w:color="000000"/>
            </w:tcBorders>
            <w:shd w:val="clear" w:color="auto" w:fill="F2F2F2" w:themeFill="background1" w:themeFillShade="F2"/>
            <w:vAlign w:val="center"/>
          </w:tcPr>
          <w:p w14:paraId="78D03725"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0.781</w:t>
            </w:r>
          </w:p>
        </w:tc>
        <w:tc>
          <w:tcPr>
            <w:tcW w:w="901" w:type="dxa"/>
            <w:tcBorders>
              <w:bottom w:val="single" w:sz="4" w:space="0" w:color="000000"/>
            </w:tcBorders>
            <w:shd w:val="clear" w:color="auto" w:fill="F2F2F2" w:themeFill="background1" w:themeFillShade="F2"/>
            <w:vAlign w:val="center"/>
          </w:tcPr>
          <w:p w14:paraId="66E0836B" w14:textId="77777777" w:rsidR="003D5DE8" w:rsidRPr="009672FC" w:rsidRDefault="007549AA">
            <w:pPr>
              <w:widowControl w:val="0"/>
              <w:jc w:val="both"/>
              <w:rPr>
                <w:rFonts w:ascii="Garamond" w:hAnsi="Garamond"/>
                <w:color w:val="000000" w:themeColor="text1"/>
                <w:sz w:val="18"/>
                <w:szCs w:val="18"/>
              </w:rPr>
            </w:pPr>
            <w:r w:rsidRPr="009672FC">
              <w:rPr>
                <w:rFonts w:ascii="Garamond" w:hAnsi="Garamond"/>
                <w:color w:val="000000" w:themeColor="text1"/>
                <w:sz w:val="18"/>
                <w:szCs w:val="18"/>
              </w:rPr>
              <w:t>1.525</w:t>
            </w:r>
          </w:p>
        </w:tc>
        <w:tc>
          <w:tcPr>
            <w:tcW w:w="1197" w:type="dxa"/>
            <w:tcBorders>
              <w:bottom w:val="single" w:sz="4" w:space="0" w:color="000000"/>
            </w:tcBorders>
            <w:shd w:val="clear" w:color="auto" w:fill="F2F2F2" w:themeFill="background1" w:themeFillShade="F2"/>
            <w:vAlign w:val="center"/>
          </w:tcPr>
          <w:p w14:paraId="4E1E9F2C" w14:textId="77777777" w:rsidR="003D5DE8" w:rsidRPr="009672FC" w:rsidRDefault="003D5DE8">
            <w:pPr>
              <w:widowControl w:val="0"/>
              <w:jc w:val="both"/>
              <w:rPr>
                <w:rFonts w:ascii="Garamond" w:hAnsi="Garamond"/>
                <w:color w:val="000000" w:themeColor="text1"/>
                <w:sz w:val="18"/>
                <w:szCs w:val="18"/>
              </w:rPr>
            </w:pPr>
          </w:p>
        </w:tc>
        <w:tc>
          <w:tcPr>
            <w:tcW w:w="827" w:type="dxa"/>
            <w:tcBorders>
              <w:bottom w:val="single" w:sz="4" w:space="0" w:color="000000"/>
            </w:tcBorders>
            <w:shd w:val="clear" w:color="auto" w:fill="F2F2F2" w:themeFill="background1" w:themeFillShade="F2"/>
            <w:vAlign w:val="center"/>
          </w:tcPr>
          <w:p w14:paraId="07CD4C21" w14:textId="77777777" w:rsidR="003D5DE8" w:rsidRPr="009672FC" w:rsidRDefault="003D5DE8">
            <w:pPr>
              <w:widowControl w:val="0"/>
              <w:jc w:val="both"/>
              <w:rPr>
                <w:rFonts w:ascii="Garamond" w:hAnsi="Garamond"/>
                <w:color w:val="000000" w:themeColor="text1"/>
                <w:sz w:val="18"/>
                <w:szCs w:val="18"/>
              </w:rPr>
            </w:pPr>
          </w:p>
        </w:tc>
        <w:tc>
          <w:tcPr>
            <w:tcW w:w="1242" w:type="dxa"/>
            <w:tcBorders>
              <w:bottom w:val="single" w:sz="4" w:space="0" w:color="000000"/>
            </w:tcBorders>
            <w:shd w:val="clear" w:color="auto" w:fill="F2F2F2" w:themeFill="background1" w:themeFillShade="F2"/>
            <w:vAlign w:val="center"/>
          </w:tcPr>
          <w:p w14:paraId="69EE4C1A" w14:textId="77777777" w:rsidR="003D5DE8" w:rsidRPr="009672FC" w:rsidRDefault="003D5DE8">
            <w:pPr>
              <w:widowControl w:val="0"/>
              <w:jc w:val="both"/>
              <w:rPr>
                <w:rFonts w:ascii="Garamond" w:hAnsi="Garamond"/>
                <w:color w:val="000000" w:themeColor="text1"/>
                <w:sz w:val="18"/>
                <w:szCs w:val="18"/>
              </w:rPr>
            </w:pPr>
          </w:p>
        </w:tc>
        <w:tc>
          <w:tcPr>
            <w:tcW w:w="1140" w:type="dxa"/>
            <w:tcBorders>
              <w:bottom w:val="single" w:sz="4" w:space="0" w:color="000000"/>
            </w:tcBorders>
            <w:shd w:val="clear" w:color="auto" w:fill="F2F2F2" w:themeFill="background1" w:themeFillShade="F2"/>
            <w:vAlign w:val="center"/>
          </w:tcPr>
          <w:p w14:paraId="75EA7189" w14:textId="77777777" w:rsidR="003D5DE8" w:rsidRPr="009672FC" w:rsidRDefault="003D5DE8">
            <w:pPr>
              <w:widowControl w:val="0"/>
              <w:jc w:val="both"/>
              <w:rPr>
                <w:rFonts w:ascii="Garamond" w:hAnsi="Garamond"/>
                <w:color w:val="000000" w:themeColor="text1"/>
                <w:sz w:val="18"/>
                <w:szCs w:val="18"/>
              </w:rPr>
            </w:pPr>
          </w:p>
        </w:tc>
      </w:tr>
    </w:tbl>
    <w:p w14:paraId="6862F7CA" w14:textId="0D7DA2C2" w:rsidR="003D5DE8" w:rsidRPr="00F377A4" w:rsidRDefault="007549AA">
      <w:pPr>
        <w:jc w:val="center"/>
        <w:rPr>
          <w:rFonts w:ascii="Garamond" w:hAnsi="Garamond"/>
          <w:i/>
          <w:iCs/>
          <w:sz w:val="22"/>
          <w:szCs w:val="22"/>
        </w:rPr>
      </w:pPr>
      <w:r w:rsidRPr="00F377A4">
        <w:rPr>
          <w:rFonts w:ascii="Garamond" w:hAnsi="Garamond"/>
          <w:i/>
          <w:iCs/>
          <w:sz w:val="22"/>
          <w:szCs w:val="22"/>
        </w:rPr>
        <w:t>Source: Primary data, June 2021, SmartPLS output (</w:t>
      </w:r>
      <w:proofErr w:type="spellStart"/>
      <w:r w:rsidRPr="00F377A4">
        <w:rPr>
          <w:rFonts w:ascii="Garamond" w:hAnsi="Garamond"/>
          <w:i/>
          <w:iCs/>
          <w:sz w:val="22"/>
          <w:szCs w:val="22"/>
        </w:rPr>
        <w:t>Henseler</w:t>
      </w:r>
      <w:proofErr w:type="spellEnd"/>
      <w:r w:rsidRPr="00F377A4">
        <w:rPr>
          <w:rFonts w:ascii="Garamond" w:hAnsi="Garamond"/>
          <w:i/>
          <w:iCs/>
          <w:sz w:val="22"/>
          <w:szCs w:val="22"/>
        </w:rPr>
        <w:t xml:space="preserve">, </w:t>
      </w:r>
      <w:proofErr w:type="spellStart"/>
      <w:r w:rsidRPr="00F377A4">
        <w:rPr>
          <w:rFonts w:ascii="Garamond" w:hAnsi="Garamond"/>
          <w:i/>
          <w:iCs/>
          <w:sz w:val="22"/>
          <w:szCs w:val="22"/>
        </w:rPr>
        <w:t>Ringle</w:t>
      </w:r>
      <w:proofErr w:type="spellEnd"/>
      <w:r w:rsidRPr="00F377A4">
        <w:rPr>
          <w:rFonts w:ascii="Garamond" w:hAnsi="Garamond"/>
          <w:i/>
          <w:iCs/>
          <w:sz w:val="22"/>
          <w:szCs w:val="22"/>
        </w:rPr>
        <w:t xml:space="preserve"> &amp; </w:t>
      </w:r>
      <w:proofErr w:type="spellStart"/>
      <w:r w:rsidRPr="00F377A4">
        <w:rPr>
          <w:rFonts w:ascii="Garamond" w:hAnsi="Garamond"/>
          <w:i/>
          <w:iCs/>
          <w:sz w:val="22"/>
          <w:szCs w:val="22"/>
        </w:rPr>
        <w:t>Sarstedt</w:t>
      </w:r>
      <w:proofErr w:type="spellEnd"/>
      <w:r w:rsidRPr="00F377A4">
        <w:rPr>
          <w:rFonts w:ascii="Garamond" w:hAnsi="Garamond"/>
          <w:i/>
          <w:iCs/>
          <w:sz w:val="22"/>
          <w:szCs w:val="22"/>
        </w:rPr>
        <w:t>, 2015)</w:t>
      </w:r>
    </w:p>
    <w:p w14:paraId="33E37AC7" w14:textId="1DCCA80E" w:rsidR="003D5DE8" w:rsidRPr="009672FC" w:rsidRDefault="007549AA" w:rsidP="00890FB2">
      <w:pPr>
        <w:shd w:val="clear" w:color="auto" w:fill="FFFFFF" w:themeFill="background1"/>
        <w:spacing w:before="240" w:line="360" w:lineRule="auto"/>
        <w:jc w:val="both"/>
        <w:rPr>
          <w:rFonts w:ascii="Garamond" w:hAnsi="Garamond"/>
          <w:color w:val="000000" w:themeColor="text1"/>
        </w:rPr>
      </w:pPr>
      <w:r w:rsidRPr="009672FC">
        <w:rPr>
          <w:rFonts w:ascii="Garamond" w:hAnsi="Garamond"/>
        </w:rPr>
        <w:t xml:space="preserve">A similar observation can be made for other variables in Table 3. </w:t>
      </w:r>
      <w:r w:rsidRPr="009672FC">
        <w:rPr>
          <w:rFonts w:ascii="Garamond" w:hAnsi="Garamond"/>
          <w:color w:val="000000" w:themeColor="text1"/>
        </w:rPr>
        <w:t xml:space="preserve">Therefore, all values of the Fornell and Larcker criterion score showed that constructs are not highly correlated to each other than themselves, thus establishing the discriminant validity. Comparatively, studies rely on </w:t>
      </w:r>
      <w:r w:rsidRPr="009672FC">
        <w:rPr>
          <w:rFonts w:ascii="Garamond" w:hAnsi="Garamond"/>
          <w:color w:val="000000" w:themeColor="text1"/>
          <w:shd w:val="clear" w:color="auto" w:fill="FFFFFF"/>
        </w:rPr>
        <w:t>the heterotrait-monotrait ratio (HTMT)</w:t>
      </w:r>
      <w:r w:rsidRPr="009672FC">
        <w:rPr>
          <w:rFonts w:ascii="Garamond" w:hAnsi="Garamond"/>
          <w:b/>
          <w:bCs/>
          <w:color w:val="000000" w:themeColor="text1"/>
        </w:rPr>
        <w:t xml:space="preserve"> </w:t>
      </w:r>
      <w:r w:rsidRPr="009672FC">
        <w:rPr>
          <w:rFonts w:ascii="Garamond" w:hAnsi="Garamond"/>
          <w:color w:val="000000" w:themeColor="text1"/>
          <w:shd w:val="clear" w:color="auto" w:fill="FFFFFF"/>
        </w:rPr>
        <w:t>of correlations</w:t>
      </w:r>
      <w:r w:rsidRPr="009672FC">
        <w:rPr>
          <w:rFonts w:ascii="Garamond" w:hAnsi="Garamond"/>
          <w:color w:val="000000" w:themeColor="text1"/>
        </w:rPr>
        <w:t xml:space="preserve"> to assess the discriminant validity in PLS-SEM </w:t>
      </w:r>
      <w:r w:rsidRPr="009672FC">
        <w:rPr>
          <w:rFonts w:ascii="Garamond" w:hAnsi="Garamond"/>
        </w:rPr>
        <w:fldChar w:fldCharType="begin" w:fldLock="1"/>
      </w:r>
      <w:r w:rsidRPr="009672FC">
        <w:rPr>
          <w:rFonts w:ascii="Garamond" w:hAnsi="Garamond"/>
          <w:color w:val="000000"/>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2016)","manualFormatting":"(Garson, 2016;","plainTextFormattedCitation":"(Garson, 2016)","previouslyFormattedCitation":"(Garson, 2016)"},"properties":{"noteIndex":0},"schema":"https://github.com/citation-style-language/schema/raw/master/csl-citation.json"}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(Garson, 2016;</w:t>
      </w:r>
      <w:r w:rsidRPr="009672FC">
        <w:rPr>
          <w:rFonts w:ascii="Garamond" w:hAnsi="Garamond"/>
          <w:color w:val="000000"/>
        </w:rPr>
        <w:fldChar w:fldCharType="end"/>
      </w:r>
      <w:r w:rsidRPr="009672FC">
        <w:rPr>
          <w:rFonts w:ascii="Garamond" w:hAnsi="Garamond"/>
        </w:rPr>
        <w:fldChar w:fldCharType="begin" w:fldLock="1"/>
      </w:r>
      <w:r w:rsidR="00813D37" w:rsidRPr="009672FC">
        <w:rPr>
          <w:rFonts w:ascii="Garamond" w:hAnsi="Garamond"/>
          <w:color w:val="000000"/>
        </w:rPr>
        <w:instrText>ADDIN CSL_CITATION {"citationItems":[{"id":"ITEM-1","itemData":{"abstract":"Hair, J.F., Hult, G.T.M., Ringle, C.M., &amp; Sarstedt, M. (2014). A Primer on Partial Laest Square Structural Equation Modelling (PLS-SEM). Thousand Oaks, CA: Sage.","author":[{"dropping-particle":"","family":"Hair","given":"J. F.","non-dropping-particle":"","parse-names":false,"suffix":""},{"dropping-particle":"","family":"Hult","given":"G. T. M.","non-dropping-particle":"","parse-names":false,"suffix":""},{"dropping-particle":"","family":"Ringle","given":"C. M.","non-dropping-particle":"","parse-names":false,"suffix":""},{"dropping-particle":"","family":"Sarstedt","given":"M.","non-dropping-particle":"","parse-names":false,"suffix":""}],"container-title":"Sage","id":"ITEM-1","issued":{"date-parts":[["2013"]]},"number-of-pages":"165","title":"A Primer on Partial Least Squares Structural Equation Modeling (PLS-SEM). Thousand Oaks","type":"book"},"uris":["http://www.mendeley.com/documents/?uuid=dc7db0b9-1b9e-4491-975d-d2b4484aefa2"]}],"mendeley":{"formattedCitation":"(J. F. Hair, Hult, Ringle, &amp; Sarstedt, 2013)","manualFormatting":" Hair et al., 2013)","plainTextFormattedCitation":"(J. F. Hair, Hult, Ringle, &amp; Sarstedt, 2013)","previouslyFormattedCitation":"(J. F. Hair et al.,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 Hair </w:t>
      </w:r>
      <w:r w:rsidRPr="009672FC">
        <w:rPr>
          <w:rFonts w:ascii="Garamond" w:hAnsi="Garamond"/>
          <w:i/>
          <w:noProof/>
          <w:color w:val="000000" w:themeColor="text1"/>
        </w:rPr>
        <w:t>et al.</w:t>
      </w:r>
      <w:r w:rsidRPr="009672FC">
        <w:rPr>
          <w:rFonts w:ascii="Garamond" w:hAnsi="Garamond"/>
          <w:noProof/>
          <w:color w:val="000000" w:themeColor="text1"/>
        </w:rPr>
        <w:t>, 2013)</w:t>
      </w:r>
      <w:r w:rsidRPr="009672FC">
        <w:rPr>
          <w:rFonts w:ascii="Garamond" w:hAnsi="Garamond"/>
          <w:color w:val="000000"/>
        </w:rPr>
        <w:fldChar w:fldCharType="end"/>
      </w:r>
      <w:r w:rsidRPr="009672FC">
        <w:rPr>
          <w:rFonts w:ascii="Garamond" w:hAnsi="Garamond"/>
          <w:color w:val="000000" w:themeColor="text1"/>
        </w:rPr>
        <w:t>. The acceptable scores for HTMT (&lt; 1) (0.90 or below 0.80 is a more lenient and stricter threshold, respectively) for discriminant validity was established in this study.</w:t>
      </w:r>
    </w:p>
    <w:p w14:paraId="38EA0301" w14:textId="63026FC3" w:rsidR="003D5DE8" w:rsidRPr="00F377A4" w:rsidRDefault="00EB5D6B" w:rsidP="001A5E30">
      <w:pPr>
        <w:pStyle w:val="Caption"/>
        <w:keepNext/>
        <w:spacing w:after="0"/>
        <w:jc w:val="center"/>
        <w:rPr>
          <w:rFonts w:ascii="Garamond" w:hAnsi="Garamond"/>
          <w:sz w:val="22"/>
          <w:szCs w:val="22"/>
        </w:rPr>
      </w:pPr>
      <w:bookmarkStart w:id="183" w:name="_Toc85711316"/>
      <w:r w:rsidRPr="00F377A4">
        <w:rPr>
          <w:rFonts w:ascii="Garamond" w:hAnsi="Garamond"/>
          <w:sz w:val="22"/>
          <w:szCs w:val="22"/>
        </w:rPr>
        <w:lastRenderedPageBreak/>
        <w:t xml:space="preserve">Table </w:t>
      </w:r>
      <w:r w:rsidR="00C10BC3" w:rsidRPr="00F377A4">
        <w:rPr>
          <w:rFonts w:ascii="Garamond" w:hAnsi="Garamond"/>
          <w:sz w:val="22"/>
          <w:szCs w:val="22"/>
        </w:rPr>
        <w:fldChar w:fldCharType="begin"/>
      </w:r>
      <w:r w:rsidR="00C10BC3" w:rsidRPr="00F377A4">
        <w:rPr>
          <w:rFonts w:ascii="Garamond" w:hAnsi="Garamond"/>
          <w:sz w:val="22"/>
          <w:szCs w:val="22"/>
        </w:rPr>
        <w:instrText xml:space="preserve"> SEQ Table \* ARABIC </w:instrText>
      </w:r>
      <w:r w:rsidR="00C10BC3" w:rsidRPr="00F377A4">
        <w:rPr>
          <w:rFonts w:ascii="Garamond" w:hAnsi="Garamond"/>
          <w:sz w:val="22"/>
          <w:szCs w:val="22"/>
        </w:rPr>
        <w:fldChar w:fldCharType="separate"/>
      </w:r>
      <w:r w:rsidR="001C1648">
        <w:rPr>
          <w:rFonts w:ascii="Garamond" w:hAnsi="Garamond"/>
          <w:noProof/>
          <w:sz w:val="22"/>
          <w:szCs w:val="22"/>
        </w:rPr>
        <w:t>9</w:t>
      </w:r>
      <w:r w:rsidR="00C10BC3" w:rsidRPr="00F377A4">
        <w:rPr>
          <w:rFonts w:ascii="Garamond" w:hAnsi="Garamond"/>
          <w:noProof/>
          <w:sz w:val="22"/>
          <w:szCs w:val="22"/>
        </w:rPr>
        <w:fldChar w:fldCharType="end"/>
      </w:r>
      <w:r w:rsidRPr="00F377A4">
        <w:rPr>
          <w:rFonts w:ascii="Garamond" w:hAnsi="Garamond"/>
          <w:sz w:val="22"/>
          <w:szCs w:val="22"/>
        </w:rPr>
        <w:t>. Results for discriminant validity</w:t>
      </w:r>
      <w:bookmarkEnd w:id="183"/>
      <w:r w:rsidR="001A5E30">
        <w:rPr>
          <w:rStyle w:val="FootnoteReference"/>
          <w:rFonts w:ascii="Garamond" w:hAnsi="Garamond"/>
          <w:sz w:val="22"/>
          <w:szCs w:val="22"/>
        </w:rPr>
        <w:footnoteReference w:id="7"/>
      </w:r>
    </w:p>
    <w:tbl>
      <w:tblPr>
        <w:tblW w:w="5000" w:type="pct"/>
        <w:tblLayout w:type="fixed"/>
        <w:tblLook w:val="04A0" w:firstRow="1" w:lastRow="0" w:firstColumn="1" w:lastColumn="0" w:noHBand="0" w:noVBand="1"/>
      </w:tblPr>
      <w:tblGrid>
        <w:gridCol w:w="1242"/>
        <w:gridCol w:w="1903"/>
        <w:gridCol w:w="1353"/>
        <w:gridCol w:w="1392"/>
        <w:gridCol w:w="1049"/>
        <w:gridCol w:w="856"/>
        <w:gridCol w:w="1205"/>
      </w:tblGrid>
      <w:tr w:rsidR="003D5DE8" w:rsidRPr="009672FC" w14:paraId="0B6B1277" w14:textId="77777777">
        <w:trPr>
          <w:trHeight w:val="300"/>
        </w:trPr>
        <w:tc>
          <w:tcPr>
            <w:tcW w:w="9359" w:type="dxa"/>
            <w:gridSpan w:val="7"/>
            <w:tcBorders>
              <w:top w:val="single" w:sz="4" w:space="0" w:color="000000"/>
              <w:bottom w:val="single" w:sz="4" w:space="0" w:color="000000"/>
            </w:tcBorders>
            <w:shd w:val="clear" w:color="auto" w:fill="FFFFFF" w:themeFill="background1"/>
            <w:vAlign w:val="center"/>
          </w:tcPr>
          <w:p w14:paraId="0482079F" w14:textId="77777777" w:rsidR="003D5DE8" w:rsidRPr="009672FC" w:rsidRDefault="007549AA">
            <w:pPr>
              <w:widowControl w:val="0"/>
              <w:rPr>
                <w:rFonts w:ascii="Garamond" w:hAnsi="Garamond"/>
                <w:b/>
                <w:bCs/>
                <w:color w:val="000000" w:themeColor="text1"/>
              </w:rPr>
            </w:pPr>
            <w:r w:rsidRPr="009672FC">
              <w:rPr>
                <w:rFonts w:ascii="Garamond" w:hAnsi="Garamond"/>
              </w:rPr>
              <w:t>Fornell-Larcker criterion</w:t>
            </w:r>
          </w:p>
        </w:tc>
      </w:tr>
      <w:tr w:rsidR="003D5DE8" w:rsidRPr="009672FC" w14:paraId="7DB13D8C"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25B01F72"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984" w:type="dxa"/>
            <w:tcBorders>
              <w:top w:val="single" w:sz="4" w:space="0" w:color="000000"/>
              <w:bottom w:val="single" w:sz="4" w:space="0" w:color="000000"/>
            </w:tcBorders>
            <w:shd w:val="clear" w:color="auto" w:fill="FFFFFF" w:themeFill="background1"/>
            <w:vAlign w:val="center"/>
          </w:tcPr>
          <w:p w14:paraId="70B32570"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CTm</w:t>
            </w:r>
          </w:p>
        </w:tc>
        <w:tc>
          <w:tcPr>
            <w:tcW w:w="1408" w:type="dxa"/>
            <w:tcBorders>
              <w:top w:val="single" w:sz="4" w:space="0" w:color="000000"/>
              <w:bottom w:val="single" w:sz="4" w:space="0" w:color="000000"/>
            </w:tcBorders>
            <w:shd w:val="clear" w:color="auto" w:fill="FFFFFF" w:themeFill="background1"/>
            <w:vAlign w:val="center"/>
          </w:tcPr>
          <w:p w14:paraId="23B02F6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IPm</w:t>
            </w:r>
          </w:p>
        </w:tc>
        <w:tc>
          <w:tcPr>
            <w:tcW w:w="1449" w:type="dxa"/>
            <w:tcBorders>
              <w:top w:val="single" w:sz="4" w:space="0" w:color="000000"/>
              <w:bottom w:val="single" w:sz="4" w:space="0" w:color="000000"/>
            </w:tcBorders>
            <w:shd w:val="clear" w:color="auto" w:fill="FFFFFF" w:themeFill="background1"/>
            <w:vAlign w:val="center"/>
          </w:tcPr>
          <w:p w14:paraId="391743AE"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OTm</w:t>
            </w:r>
          </w:p>
        </w:tc>
        <w:tc>
          <w:tcPr>
            <w:tcW w:w="1089" w:type="dxa"/>
            <w:tcBorders>
              <w:top w:val="single" w:sz="4" w:space="0" w:color="000000"/>
              <w:bottom w:val="single" w:sz="4" w:space="0" w:color="000000"/>
            </w:tcBorders>
            <w:shd w:val="clear" w:color="auto" w:fill="FFFFFF" w:themeFill="background1"/>
            <w:vAlign w:val="center"/>
          </w:tcPr>
          <w:p w14:paraId="4C8C4C11"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RRm</w:t>
            </w:r>
          </w:p>
        </w:tc>
        <w:tc>
          <w:tcPr>
            <w:tcW w:w="886" w:type="dxa"/>
            <w:tcBorders>
              <w:top w:val="single" w:sz="4" w:space="0" w:color="000000"/>
              <w:bottom w:val="single" w:sz="4" w:space="0" w:color="000000"/>
            </w:tcBorders>
            <w:shd w:val="clear" w:color="auto" w:fill="FFFFFF" w:themeFill="background1"/>
            <w:vAlign w:val="center"/>
          </w:tcPr>
          <w:p w14:paraId="3D4F0A8F"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RTm</w:t>
            </w:r>
          </w:p>
        </w:tc>
        <w:tc>
          <w:tcPr>
            <w:tcW w:w="1252" w:type="dxa"/>
            <w:tcBorders>
              <w:top w:val="single" w:sz="4" w:space="0" w:color="000000"/>
              <w:bottom w:val="single" w:sz="4" w:space="0" w:color="000000"/>
            </w:tcBorders>
            <w:shd w:val="clear" w:color="auto" w:fill="FFFFFF" w:themeFill="background1"/>
            <w:vAlign w:val="center"/>
          </w:tcPr>
          <w:p w14:paraId="1C54D662"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SITm</w:t>
            </w:r>
          </w:p>
        </w:tc>
      </w:tr>
      <w:tr w:rsidR="003D5DE8" w:rsidRPr="009672FC" w14:paraId="7A5C0D7C"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13931CCC"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CTm</w:t>
            </w:r>
          </w:p>
        </w:tc>
        <w:tc>
          <w:tcPr>
            <w:tcW w:w="1984" w:type="dxa"/>
            <w:tcBorders>
              <w:top w:val="single" w:sz="4" w:space="0" w:color="000000"/>
              <w:bottom w:val="single" w:sz="4" w:space="0" w:color="000000"/>
            </w:tcBorders>
            <w:shd w:val="clear" w:color="auto" w:fill="FFFFFF" w:themeFill="background1"/>
            <w:vAlign w:val="center"/>
          </w:tcPr>
          <w:p w14:paraId="0DC4782F"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0.837</w:t>
            </w:r>
          </w:p>
        </w:tc>
        <w:tc>
          <w:tcPr>
            <w:tcW w:w="1408" w:type="dxa"/>
            <w:tcBorders>
              <w:top w:val="single" w:sz="4" w:space="0" w:color="000000"/>
              <w:bottom w:val="single" w:sz="4" w:space="0" w:color="000000"/>
            </w:tcBorders>
            <w:shd w:val="clear" w:color="auto" w:fill="FFFFFF" w:themeFill="background1"/>
            <w:vAlign w:val="center"/>
          </w:tcPr>
          <w:p w14:paraId="45434DC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449" w:type="dxa"/>
            <w:tcBorders>
              <w:top w:val="single" w:sz="4" w:space="0" w:color="000000"/>
              <w:bottom w:val="single" w:sz="4" w:space="0" w:color="000000"/>
            </w:tcBorders>
            <w:shd w:val="clear" w:color="auto" w:fill="FFFFFF" w:themeFill="background1"/>
            <w:vAlign w:val="center"/>
          </w:tcPr>
          <w:p w14:paraId="420BE007"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089" w:type="dxa"/>
            <w:tcBorders>
              <w:top w:val="single" w:sz="4" w:space="0" w:color="000000"/>
              <w:bottom w:val="single" w:sz="4" w:space="0" w:color="000000"/>
            </w:tcBorders>
            <w:shd w:val="clear" w:color="auto" w:fill="FFFFFF" w:themeFill="background1"/>
            <w:vAlign w:val="center"/>
          </w:tcPr>
          <w:p w14:paraId="5C9E355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3C726CA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0CBE44A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r>
      <w:tr w:rsidR="003D5DE8" w:rsidRPr="009672FC" w14:paraId="60DD2A5D"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387E39F2"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IPm</w:t>
            </w:r>
          </w:p>
        </w:tc>
        <w:tc>
          <w:tcPr>
            <w:tcW w:w="1984" w:type="dxa"/>
            <w:tcBorders>
              <w:top w:val="single" w:sz="4" w:space="0" w:color="000000"/>
              <w:bottom w:val="single" w:sz="4" w:space="0" w:color="000000"/>
            </w:tcBorders>
            <w:shd w:val="clear" w:color="auto" w:fill="FFFFFF" w:themeFill="background1"/>
            <w:vAlign w:val="center"/>
          </w:tcPr>
          <w:p w14:paraId="5D81C1F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0.302</w:t>
            </w:r>
          </w:p>
        </w:tc>
        <w:tc>
          <w:tcPr>
            <w:tcW w:w="1408" w:type="dxa"/>
            <w:tcBorders>
              <w:top w:val="single" w:sz="4" w:space="0" w:color="000000"/>
              <w:bottom w:val="single" w:sz="4" w:space="0" w:color="000000"/>
            </w:tcBorders>
            <w:shd w:val="clear" w:color="auto" w:fill="FFFFFF" w:themeFill="background1"/>
            <w:vAlign w:val="center"/>
          </w:tcPr>
          <w:p w14:paraId="55FB24C1"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0.809</w:t>
            </w:r>
          </w:p>
        </w:tc>
        <w:tc>
          <w:tcPr>
            <w:tcW w:w="1449" w:type="dxa"/>
            <w:tcBorders>
              <w:top w:val="single" w:sz="4" w:space="0" w:color="000000"/>
              <w:bottom w:val="single" w:sz="4" w:space="0" w:color="000000"/>
            </w:tcBorders>
            <w:shd w:val="clear" w:color="auto" w:fill="FFFFFF" w:themeFill="background1"/>
            <w:vAlign w:val="center"/>
          </w:tcPr>
          <w:p w14:paraId="1EBDDBE7"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089" w:type="dxa"/>
            <w:tcBorders>
              <w:top w:val="single" w:sz="4" w:space="0" w:color="000000"/>
              <w:bottom w:val="single" w:sz="4" w:space="0" w:color="000000"/>
            </w:tcBorders>
            <w:shd w:val="clear" w:color="auto" w:fill="FFFFFF" w:themeFill="background1"/>
            <w:vAlign w:val="center"/>
          </w:tcPr>
          <w:p w14:paraId="74A9F3F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3700929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2C0542B7"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r>
      <w:tr w:rsidR="003D5DE8" w:rsidRPr="009672FC" w14:paraId="6FA4653A"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1FAF215B"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OTm</w:t>
            </w:r>
          </w:p>
        </w:tc>
        <w:tc>
          <w:tcPr>
            <w:tcW w:w="1984" w:type="dxa"/>
            <w:tcBorders>
              <w:top w:val="single" w:sz="4" w:space="0" w:color="000000"/>
              <w:bottom w:val="single" w:sz="4" w:space="0" w:color="000000"/>
            </w:tcBorders>
            <w:shd w:val="clear" w:color="auto" w:fill="FFFFFF" w:themeFill="background1"/>
            <w:vAlign w:val="center"/>
          </w:tcPr>
          <w:p w14:paraId="1C9F654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0.569</w:t>
            </w:r>
          </w:p>
        </w:tc>
        <w:tc>
          <w:tcPr>
            <w:tcW w:w="1408" w:type="dxa"/>
            <w:tcBorders>
              <w:top w:val="single" w:sz="4" w:space="0" w:color="000000"/>
              <w:bottom w:val="single" w:sz="4" w:space="0" w:color="000000"/>
            </w:tcBorders>
            <w:shd w:val="clear" w:color="auto" w:fill="FFFFFF" w:themeFill="background1"/>
            <w:vAlign w:val="center"/>
          </w:tcPr>
          <w:p w14:paraId="29FDC1C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0.248</w:t>
            </w:r>
          </w:p>
        </w:tc>
        <w:tc>
          <w:tcPr>
            <w:tcW w:w="1449" w:type="dxa"/>
            <w:tcBorders>
              <w:top w:val="single" w:sz="4" w:space="0" w:color="000000"/>
              <w:bottom w:val="single" w:sz="4" w:space="0" w:color="000000"/>
            </w:tcBorders>
            <w:shd w:val="clear" w:color="auto" w:fill="FFFFFF" w:themeFill="background1"/>
            <w:vAlign w:val="center"/>
          </w:tcPr>
          <w:p w14:paraId="07005088"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0.773</w:t>
            </w:r>
          </w:p>
        </w:tc>
        <w:tc>
          <w:tcPr>
            <w:tcW w:w="1089" w:type="dxa"/>
            <w:tcBorders>
              <w:top w:val="single" w:sz="4" w:space="0" w:color="000000"/>
              <w:bottom w:val="single" w:sz="4" w:space="0" w:color="000000"/>
            </w:tcBorders>
            <w:shd w:val="clear" w:color="auto" w:fill="FFFFFF" w:themeFill="background1"/>
            <w:vAlign w:val="center"/>
          </w:tcPr>
          <w:p w14:paraId="321E255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498B02F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74FED7A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r>
      <w:tr w:rsidR="003D5DE8" w:rsidRPr="009672FC" w14:paraId="07CE4FEC"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10CC6593"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RRm</w:t>
            </w:r>
          </w:p>
        </w:tc>
        <w:tc>
          <w:tcPr>
            <w:tcW w:w="1984" w:type="dxa"/>
            <w:tcBorders>
              <w:top w:val="single" w:sz="4" w:space="0" w:color="000000"/>
              <w:bottom w:val="single" w:sz="4" w:space="0" w:color="000000"/>
            </w:tcBorders>
            <w:shd w:val="clear" w:color="auto" w:fill="FFFFFF" w:themeFill="background1"/>
            <w:vAlign w:val="center"/>
          </w:tcPr>
          <w:p w14:paraId="0C61637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0.149</w:t>
            </w:r>
          </w:p>
        </w:tc>
        <w:tc>
          <w:tcPr>
            <w:tcW w:w="1408" w:type="dxa"/>
            <w:tcBorders>
              <w:top w:val="single" w:sz="4" w:space="0" w:color="000000"/>
              <w:bottom w:val="single" w:sz="4" w:space="0" w:color="000000"/>
            </w:tcBorders>
            <w:shd w:val="clear" w:color="auto" w:fill="FFFFFF" w:themeFill="background1"/>
            <w:vAlign w:val="center"/>
          </w:tcPr>
          <w:p w14:paraId="0F3276E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0.538</w:t>
            </w:r>
          </w:p>
        </w:tc>
        <w:tc>
          <w:tcPr>
            <w:tcW w:w="1449" w:type="dxa"/>
            <w:tcBorders>
              <w:top w:val="single" w:sz="4" w:space="0" w:color="000000"/>
              <w:bottom w:val="single" w:sz="4" w:space="0" w:color="000000"/>
            </w:tcBorders>
            <w:shd w:val="clear" w:color="auto" w:fill="FFFFFF" w:themeFill="background1"/>
            <w:vAlign w:val="center"/>
          </w:tcPr>
          <w:p w14:paraId="1E0809C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0.349</w:t>
            </w:r>
          </w:p>
        </w:tc>
        <w:tc>
          <w:tcPr>
            <w:tcW w:w="1089" w:type="dxa"/>
            <w:tcBorders>
              <w:top w:val="single" w:sz="4" w:space="0" w:color="000000"/>
              <w:bottom w:val="single" w:sz="4" w:space="0" w:color="000000"/>
            </w:tcBorders>
            <w:shd w:val="clear" w:color="auto" w:fill="FFFFFF" w:themeFill="background1"/>
            <w:vAlign w:val="center"/>
          </w:tcPr>
          <w:p w14:paraId="356C0849"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0.885</w:t>
            </w:r>
          </w:p>
        </w:tc>
        <w:tc>
          <w:tcPr>
            <w:tcW w:w="886" w:type="dxa"/>
            <w:tcBorders>
              <w:top w:val="single" w:sz="4" w:space="0" w:color="000000"/>
              <w:bottom w:val="single" w:sz="4" w:space="0" w:color="000000"/>
            </w:tcBorders>
            <w:shd w:val="clear" w:color="auto" w:fill="FFFFFF" w:themeFill="background1"/>
            <w:vAlign w:val="center"/>
          </w:tcPr>
          <w:p w14:paraId="0C86AF1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25F6CAC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r>
      <w:tr w:rsidR="003D5DE8" w:rsidRPr="009672FC" w14:paraId="7AE43BA3"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10DCCE7A"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RTm</w:t>
            </w:r>
          </w:p>
        </w:tc>
        <w:tc>
          <w:tcPr>
            <w:tcW w:w="1984" w:type="dxa"/>
            <w:tcBorders>
              <w:top w:val="single" w:sz="4" w:space="0" w:color="000000"/>
              <w:bottom w:val="single" w:sz="4" w:space="0" w:color="000000"/>
            </w:tcBorders>
            <w:shd w:val="clear" w:color="auto" w:fill="FFFFFF" w:themeFill="background1"/>
            <w:vAlign w:val="center"/>
          </w:tcPr>
          <w:p w14:paraId="01E9EB9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0.676</w:t>
            </w:r>
          </w:p>
        </w:tc>
        <w:tc>
          <w:tcPr>
            <w:tcW w:w="1408" w:type="dxa"/>
            <w:tcBorders>
              <w:top w:val="single" w:sz="4" w:space="0" w:color="000000"/>
              <w:bottom w:val="single" w:sz="4" w:space="0" w:color="000000"/>
            </w:tcBorders>
            <w:shd w:val="clear" w:color="auto" w:fill="FFFFFF" w:themeFill="background1"/>
            <w:vAlign w:val="center"/>
          </w:tcPr>
          <w:p w14:paraId="05FF244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0.429</w:t>
            </w:r>
          </w:p>
        </w:tc>
        <w:tc>
          <w:tcPr>
            <w:tcW w:w="1449" w:type="dxa"/>
            <w:tcBorders>
              <w:top w:val="single" w:sz="4" w:space="0" w:color="000000"/>
              <w:bottom w:val="single" w:sz="4" w:space="0" w:color="000000"/>
            </w:tcBorders>
            <w:shd w:val="clear" w:color="auto" w:fill="FFFFFF" w:themeFill="background1"/>
            <w:vAlign w:val="center"/>
          </w:tcPr>
          <w:p w14:paraId="28202C7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0.510</w:t>
            </w:r>
          </w:p>
        </w:tc>
        <w:tc>
          <w:tcPr>
            <w:tcW w:w="1089" w:type="dxa"/>
            <w:tcBorders>
              <w:top w:val="single" w:sz="4" w:space="0" w:color="000000"/>
              <w:bottom w:val="single" w:sz="4" w:space="0" w:color="000000"/>
            </w:tcBorders>
            <w:shd w:val="clear" w:color="auto" w:fill="FFFFFF" w:themeFill="background1"/>
            <w:vAlign w:val="center"/>
          </w:tcPr>
          <w:p w14:paraId="7555915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0.273</w:t>
            </w:r>
          </w:p>
        </w:tc>
        <w:tc>
          <w:tcPr>
            <w:tcW w:w="886" w:type="dxa"/>
            <w:tcBorders>
              <w:top w:val="single" w:sz="4" w:space="0" w:color="000000"/>
              <w:bottom w:val="single" w:sz="4" w:space="0" w:color="000000"/>
            </w:tcBorders>
            <w:shd w:val="clear" w:color="auto" w:fill="FFFFFF" w:themeFill="background1"/>
            <w:vAlign w:val="center"/>
          </w:tcPr>
          <w:p w14:paraId="6EB52D80"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0.912</w:t>
            </w:r>
          </w:p>
        </w:tc>
        <w:tc>
          <w:tcPr>
            <w:tcW w:w="1252" w:type="dxa"/>
            <w:tcBorders>
              <w:top w:val="single" w:sz="4" w:space="0" w:color="000000"/>
              <w:bottom w:val="single" w:sz="4" w:space="0" w:color="000000"/>
            </w:tcBorders>
            <w:shd w:val="clear" w:color="auto" w:fill="FFFFFF" w:themeFill="background1"/>
            <w:vAlign w:val="center"/>
          </w:tcPr>
          <w:p w14:paraId="379F71F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r>
      <w:tr w:rsidR="003D5DE8" w:rsidRPr="009672FC" w14:paraId="38B1BB7F"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20D0E8C8"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SITm</w:t>
            </w:r>
          </w:p>
        </w:tc>
        <w:tc>
          <w:tcPr>
            <w:tcW w:w="1984" w:type="dxa"/>
            <w:tcBorders>
              <w:top w:val="single" w:sz="4" w:space="0" w:color="000000"/>
              <w:bottom w:val="single" w:sz="4" w:space="0" w:color="000000"/>
            </w:tcBorders>
            <w:shd w:val="clear" w:color="auto" w:fill="FFFFFF" w:themeFill="background1"/>
            <w:vAlign w:val="center"/>
          </w:tcPr>
          <w:p w14:paraId="097F113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0.578</w:t>
            </w:r>
          </w:p>
        </w:tc>
        <w:tc>
          <w:tcPr>
            <w:tcW w:w="1408" w:type="dxa"/>
            <w:tcBorders>
              <w:top w:val="single" w:sz="4" w:space="0" w:color="000000"/>
              <w:bottom w:val="single" w:sz="4" w:space="0" w:color="000000"/>
            </w:tcBorders>
            <w:shd w:val="clear" w:color="auto" w:fill="FFFFFF" w:themeFill="background1"/>
            <w:vAlign w:val="center"/>
          </w:tcPr>
          <w:p w14:paraId="6AC3DBD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0.399</w:t>
            </w:r>
          </w:p>
        </w:tc>
        <w:tc>
          <w:tcPr>
            <w:tcW w:w="1449" w:type="dxa"/>
            <w:tcBorders>
              <w:top w:val="single" w:sz="4" w:space="0" w:color="000000"/>
              <w:bottom w:val="single" w:sz="4" w:space="0" w:color="000000"/>
            </w:tcBorders>
            <w:shd w:val="clear" w:color="auto" w:fill="FFFFFF" w:themeFill="background1"/>
            <w:vAlign w:val="center"/>
          </w:tcPr>
          <w:p w14:paraId="76D5D32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0.442</w:t>
            </w:r>
          </w:p>
        </w:tc>
        <w:tc>
          <w:tcPr>
            <w:tcW w:w="1089" w:type="dxa"/>
            <w:tcBorders>
              <w:top w:val="single" w:sz="4" w:space="0" w:color="000000"/>
              <w:bottom w:val="single" w:sz="4" w:space="0" w:color="000000"/>
            </w:tcBorders>
            <w:shd w:val="clear" w:color="auto" w:fill="FFFFFF" w:themeFill="background1"/>
            <w:vAlign w:val="center"/>
          </w:tcPr>
          <w:p w14:paraId="04121EF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0.189</w:t>
            </w:r>
          </w:p>
        </w:tc>
        <w:tc>
          <w:tcPr>
            <w:tcW w:w="886" w:type="dxa"/>
            <w:tcBorders>
              <w:top w:val="single" w:sz="4" w:space="0" w:color="000000"/>
              <w:bottom w:val="single" w:sz="4" w:space="0" w:color="000000"/>
            </w:tcBorders>
            <w:shd w:val="clear" w:color="auto" w:fill="FFFFFF" w:themeFill="background1"/>
            <w:vAlign w:val="center"/>
          </w:tcPr>
          <w:p w14:paraId="4639B7A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0.688</w:t>
            </w:r>
          </w:p>
        </w:tc>
        <w:tc>
          <w:tcPr>
            <w:tcW w:w="1252" w:type="dxa"/>
            <w:tcBorders>
              <w:top w:val="single" w:sz="4" w:space="0" w:color="000000"/>
              <w:bottom w:val="single" w:sz="4" w:space="0" w:color="000000"/>
            </w:tcBorders>
            <w:shd w:val="clear" w:color="auto" w:fill="FFFFFF" w:themeFill="background1"/>
            <w:vAlign w:val="center"/>
          </w:tcPr>
          <w:p w14:paraId="2F46582E"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0.790</w:t>
            </w:r>
          </w:p>
        </w:tc>
      </w:tr>
      <w:tr w:rsidR="003D5DE8" w:rsidRPr="009672FC" w14:paraId="6F7D475D" w14:textId="77777777">
        <w:trPr>
          <w:trHeight w:val="300"/>
        </w:trPr>
        <w:tc>
          <w:tcPr>
            <w:tcW w:w="9359" w:type="dxa"/>
            <w:gridSpan w:val="7"/>
            <w:tcBorders>
              <w:top w:val="single" w:sz="4" w:space="0" w:color="000000"/>
              <w:bottom w:val="single" w:sz="4" w:space="0" w:color="000000"/>
            </w:tcBorders>
            <w:shd w:val="clear" w:color="auto" w:fill="FFFFFF" w:themeFill="background1"/>
            <w:vAlign w:val="center"/>
          </w:tcPr>
          <w:p w14:paraId="1572C85D"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rPr>
              <w:t>Heterotrait–monotrait ratio (HTMT)</w:t>
            </w:r>
          </w:p>
        </w:tc>
      </w:tr>
      <w:tr w:rsidR="003D5DE8" w:rsidRPr="009672FC" w14:paraId="1B2F2320"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3427A1BD"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984" w:type="dxa"/>
            <w:tcBorders>
              <w:top w:val="single" w:sz="4" w:space="0" w:color="000000"/>
              <w:bottom w:val="single" w:sz="4" w:space="0" w:color="000000"/>
            </w:tcBorders>
            <w:shd w:val="clear" w:color="auto" w:fill="FFFFFF" w:themeFill="background1"/>
            <w:vAlign w:val="center"/>
          </w:tcPr>
          <w:p w14:paraId="6F749950"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CTm</w:t>
            </w:r>
          </w:p>
        </w:tc>
        <w:tc>
          <w:tcPr>
            <w:tcW w:w="1408" w:type="dxa"/>
            <w:tcBorders>
              <w:top w:val="single" w:sz="4" w:space="0" w:color="000000"/>
              <w:bottom w:val="single" w:sz="4" w:space="0" w:color="000000"/>
            </w:tcBorders>
            <w:shd w:val="clear" w:color="auto" w:fill="FFFFFF" w:themeFill="background1"/>
            <w:vAlign w:val="center"/>
          </w:tcPr>
          <w:p w14:paraId="672A811B"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IPm</w:t>
            </w:r>
          </w:p>
        </w:tc>
        <w:tc>
          <w:tcPr>
            <w:tcW w:w="1449" w:type="dxa"/>
            <w:tcBorders>
              <w:top w:val="single" w:sz="4" w:space="0" w:color="000000"/>
              <w:bottom w:val="single" w:sz="4" w:space="0" w:color="000000"/>
            </w:tcBorders>
            <w:shd w:val="clear" w:color="auto" w:fill="FFFFFF" w:themeFill="background1"/>
            <w:vAlign w:val="center"/>
          </w:tcPr>
          <w:p w14:paraId="64A7CA23"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OTm</w:t>
            </w:r>
          </w:p>
        </w:tc>
        <w:tc>
          <w:tcPr>
            <w:tcW w:w="1089" w:type="dxa"/>
            <w:tcBorders>
              <w:top w:val="single" w:sz="4" w:space="0" w:color="000000"/>
              <w:bottom w:val="single" w:sz="4" w:space="0" w:color="000000"/>
            </w:tcBorders>
            <w:shd w:val="clear" w:color="auto" w:fill="FFFFFF" w:themeFill="background1"/>
            <w:vAlign w:val="center"/>
          </w:tcPr>
          <w:p w14:paraId="14029F0C"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RRm</w:t>
            </w:r>
          </w:p>
        </w:tc>
        <w:tc>
          <w:tcPr>
            <w:tcW w:w="886" w:type="dxa"/>
            <w:tcBorders>
              <w:top w:val="single" w:sz="4" w:space="0" w:color="000000"/>
              <w:bottom w:val="single" w:sz="4" w:space="0" w:color="000000"/>
            </w:tcBorders>
            <w:shd w:val="clear" w:color="auto" w:fill="FFFFFF" w:themeFill="background1"/>
            <w:vAlign w:val="center"/>
          </w:tcPr>
          <w:p w14:paraId="439C4C4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RTm</w:t>
            </w:r>
          </w:p>
        </w:tc>
        <w:tc>
          <w:tcPr>
            <w:tcW w:w="1252" w:type="dxa"/>
            <w:tcBorders>
              <w:top w:val="single" w:sz="4" w:space="0" w:color="000000"/>
              <w:bottom w:val="single" w:sz="4" w:space="0" w:color="000000"/>
            </w:tcBorders>
            <w:shd w:val="clear" w:color="auto" w:fill="FFFFFF" w:themeFill="background1"/>
            <w:vAlign w:val="center"/>
          </w:tcPr>
          <w:p w14:paraId="5E270D1E"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SITm</w:t>
            </w:r>
          </w:p>
        </w:tc>
      </w:tr>
      <w:tr w:rsidR="003D5DE8" w:rsidRPr="009672FC" w14:paraId="27E7E85E"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7A633353"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CTm</w:t>
            </w:r>
          </w:p>
        </w:tc>
        <w:tc>
          <w:tcPr>
            <w:tcW w:w="1984" w:type="dxa"/>
            <w:tcBorders>
              <w:top w:val="single" w:sz="4" w:space="0" w:color="000000"/>
              <w:bottom w:val="single" w:sz="4" w:space="0" w:color="000000"/>
            </w:tcBorders>
            <w:shd w:val="clear" w:color="auto" w:fill="FFFFFF" w:themeFill="background1"/>
            <w:vAlign w:val="center"/>
          </w:tcPr>
          <w:p w14:paraId="4AB4F9E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408" w:type="dxa"/>
            <w:tcBorders>
              <w:top w:val="single" w:sz="4" w:space="0" w:color="000000"/>
              <w:bottom w:val="single" w:sz="4" w:space="0" w:color="000000"/>
            </w:tcBorders>
            <w:shd w:val="clear" w:color="auto" w:fill="FFFFFF" w:themeFill="background1"/>
            <w:vAlign w:val="center"/>
          </w:tcPr>
          <w:p w14:paraId="1BE3EB69"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449" w:type="dxa"/>
            <w:tcBorders>
              <w:top w:val="single" w:sz="4" w:space="0" w:color="000000"/>
              <w:bottom w:val="single" w:sz="4" w:space="0" w:color="000000"/>
            </w:tcBorders>
            <w:shd w:val="clear" w:color="auto" w:fill="FFFFFF" w:themeFill="background1"/>
            <w:vAlign w:val="center"/>
          </w:tcPr>
          <w:p w14:paraId="11CAE27B"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089" w:type="dxa"/>
            <w:tcBorders>
              <w:top w:val="single" w:sz="4" w:space="0" w:color="000000"/>
              <w:bottom w:val="single" w:sz="4" w:space="0" w:color="000000"/>
            </w:tcBorders>
            <w:shd w:val="clear" w:color="auto" w:fill="FFFFFF" w:themeFill="background1"/>
            <w:vAlign w:val="center"/>
          </w:tcPr>
          <w:p w14:paraId="2F5F392A"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7320C7BD"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4B9B8270"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r w:rsidR="003D5DE8" w:rsidRPr="009672FC" w14:paraId="36361141"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06CA2449"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IPm</w:t>
            </w:r>
          </w:p>
        </w:tc>
        <w:tc>
          <w:tcPr>
            <w:tcW w:w="1984" w:type="dxa"/>
            <w:tcBorders>
              <w:top w:val="single" w:sz="4" w:space="0" w:color="000000"/>
              <w:bottom w:val="single" w:sz="4" w:space="0" w:color="000000"/>
            </w:tcBorders>
            <w:shd w:val="clear" w:color="auto" w:fill="FFFFFF" w:themeFill="background1"/>
            <w:vAlign w:val="center"/>
          </w:tcPr>
          <w:p w14:paraId="13DEB89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0.383</w:t>
            </w:r>
          </w:p>
        </w:tc>
        <w:tc>
          <w:tcPr>
            <w:tcW w:w="1408" w:type="dxa"/>
            <w:tcBorders>
              <w:top w:val="single" w:sz="4" w:space="0" w:color="000000"/>
              <w:bottom w:val="single" w:sz="4" w:space="0" w:color="000000"/>
            </w:tcBorders>
            <w:shd w:val="clear" w:color="auto" w:fill="FFFFFF" w:themeFill="background1"/>
            <w:vAlign w:val="center"/>
          </w:tcPr>
          <w:p w14:paraId="625C824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449" w:type="dxa"/>
            <w:tcBorders>
              <w:top w:val="single" w:sz="4" w:space="0" w:color="000000"/>
              <w:bottom w:val="single" w:sz="4" w:space="0" w:color="000000"/>
            </w:tcBorders>
            <w:shd w:val="clear" w:color="auto" w:fill="FFFFFF" w:themeFill="background1"/>
            <w:vAlign w:val="center"/>
          </w:tcPr>
          <w:p w14:paraId="11FE963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089" w:type="dxa"/>
            <w:tcBorders>
              <w:top w:val="single" w:sz="4" w:space="0" w:color="000000"/>
              <w:bottom w:val="single" w:sz="4" w:space="0" w:color="000000"/>
            </w:tcBorders>
            <w:shd w:val="clear" w:color="auto" w:fill="FFFFFF" w:themeFill="background1"/>
            <w:vAlign w:val="center"/>
          </w:tcPr>
          <w:p w14:paraId="6ED58D3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1196D9D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632FA76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r w:rsidR="003D5DE8" w:rsidRPr="009672FC" w14:paraId="41A60728"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5340C799"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OTm</w:t>
            </w:r>
          </w:p>
        </w:tc>
        <w:tc>
          <w:tcPr>
            <w:tcW w:w="1984" w:type="dxa"/>
            <w:tcBorders>
              <w:top w:val="single" w:sz="4" w:space="0" w:color="000000"/>
              <w:bottom w:val="single" w:sz="4" w:space="0" w:color="000000"/>
            </w:tcBorders>
            <w:shd w:val="clear" w:color="auto" w:fill="FFFFFF" w:themeFill="background1"/>
            <w:vAlign w:val="center"/>
          </w:tcPr>
          <w:p w14:paraId="7736226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0.902</w:t>
            </w:r>
          </w:p>
        </w:tc>
        <w:tc>
          <w:tcPr>
            <w:tcW w:w="1408" w:type="dxa"/>
            <w:tcBorders>
              <w:top w:val="single" w:sz="4" w:space="0" w:color="000000"/>
              <w:bottom w:val="single" w:sz="4" w:space="0" w:color="000000"/>
            </w:tcBorders>
            <w:shd w:val="clear" w:color="auto" w:fill="FFFFFF" w:themeFill="background1"/>
            <w:vAlign w:val="center"/>
          </w:tcPr>
          <w:p w14:paraId="72D1CF5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0.523</w:t>
            </w:r>
          </w:p>
        </w:tc>
        <w:tc>
          <w:tcPr>
            <w:tcW w:w="1449" w:type="dxa"/>
            <w:tcBorders>
              <w:top w:val="single" w:sz="4" w:space="0" w:color="000000"/>
              <w:bottom w:val="single" w:sz="4" w:space="0" w:color="000000"/>
            </w:tcBorders>
            <w:shd w:val="clear" w:color="auto" w:fill="FFFFFF" w:themeFill="background1"/>
            <w:vAlign w:val="center"/>
          </w:tcPr>
          <w:p w14:paraId="760CDA7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089" w:type="dxa"/>
            <w:tcBorders>
              <w:top w:val="single" w:sz="4" w:space="0" w:color="000000"/>
              <w:bottom w:val="single" w:sz="4" w:space="0" w:color="000000"/>
            </w:tcBorders>
            <w:shd w:val="clear" w:color="auto" w:fill="FFFFFF" w:themeFill="background1"/>
            <w:vAlign w:val="center"/>
          </w:tcPr>
          <w:p w14:paraId="662592D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4A7F484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1005980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r w:rsidR="003D5DE8" w:rsidRPr="009672FC" w14:paraId="4EBD2A9A"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196D4F5E"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RRm</w:t>
            </w:r>
          </w:p>
        </w:tc>
        <w:tc>
          <w:tcPr>
            <w:tcW w:w="1984" w:type="dxa"/>
            <w:tcBorders>
              <w:top w:val="single" w:sz="4" w:space="0" w:color="000000"/>
              <w:bottom w:val="single" w:sz="4" w:space="0" w:color="000000"/>
            </w:tcBorders>
            <w:shd w:val="clear" w:color="auto" w:fill="FFFFFF" w:themeFill="background1"/>
            <w:vAlign w:val="center"/>
          </w:tcPr>
          <w:p w14:paraId="118A87B7"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0.184</w:t>
            </w:r>
          </w:p>
        </w:tc>
        <w:tc>
          <w:tcPr>
            <w:tcW w:w="1408" w:type="dxa"/>
            <w:tcBorders>
              <w:top w:val="single" w:sz="4" w:space="0" w:color="000000"/>
              <w:bottom w:val="single" w:sz="4" w:space="0" w:color="000000"/>
            </w:tcBorders>
            <w:shd w:val="clear" w:color="auto" w:fill="FFFFFF" w:themeFill="background1"/>
            <w:vAlign w:val="center"/>
          </w:tcPr>
          <w:p w14:paraId="0A8544A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0.764</w:t>
            </w:r>
          </w:p>
        </w:tc>
        <w:tc>
          <w:tcPr>
            <w:tcW w:w="1449" w:type="dxa"/>
            <w:tcBorders>
              <w:top w:val="single" w:sz="4" w:space="0" w:color="000000"/>
              <w:bottom w:val="single" w:sz="4" w:space="0" w:color="000000"/>
            </w:tcBorders>
            <w:shd w:val="clear" w:color="auto" w:fill="FFFFFF" w:themeFill="background1"/>
            <w:vAlign w:val="center"/>
          </w:tcPr>
          <w:p w14:paraId="35A7BE5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0.704</w:t>
            </w:r>
          </w:p>
        </w:tc>
        <w:tc>
          <w:tcPr>
            <w:tcW w:w="1089" w:type="dxa"/>
            <w:tcBorders>
              <w:top w:val="single" w:sz="4" w:space="0" w:color="000000"/>
              <w:bottom w:val="single" w:sz="4" w:space="0" w:color="000000"/>
            </w:tcBorders>
            <w:shd w:val="clear" w:color="auto" w:fill="FFFFFF" w:themeFill="background1"/>
            <w:vAlign w:val="center"/>
          </w:tcPr>
          <w:p w14:paraId="7F3D08B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886" w:type="dxa"/>
            <w:tcBorders>
              <w:top w:val="single" w:sz="4" w:space="0" w:color="000000"/>
              <w:bottom w:val="single" w:sz="4" w:space="0" w:color="000000"/>
            </w:tcBorders>
            <w:shd w:val="clear" w:color="auto" w:fill="FFFFFF" w:themeFill="background1"/>
            <w:vAlign w:val="center"/>
          </w:tcPr>
          <w:p w14:paraId="6384EFE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7DF5835B"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r w:rsidR="003D5DE8" w:rsidRPr="009672FC" w14:paraId="2CC7AEAA"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4A182931"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RTm</w:t>
            </w:r>
          </w:p>
        </w:tc>
        <w:tc>
          <w:tcPr>
            <w:tcW w:w="1984" w:type="dxa"/>
            <w:tcBorders>
              <w:top w:val="single" w:sz="4" w:space="0" w:color="000000"/>
              <w:bottom w:val="single" w:sz="4" w:space="0" w:color="000000"/>
            </w:tcBorders>
            <w:shd w:val="clear" w:color="auto" w:fill="FFFFFF" w:themeFill="background1"/>
            <w:vAlign w:val="center"/>
          </w:tcPr>
          <w:p w14:paraId="1BF10F1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0.838</w:t>
            </w:r>
          </w:p>
        </w:tc>
        <w:tc>
          <w:tcPr>
            <w:tcW w:w="1408" w:type="dxa"/>
            <w:tcBorders>
              <w:top w:val="single" w:sz="4" w:space="0" w:color="000000"/>
              <w:bottom w:val="single" w:sz="4" w:space="0" w:color="000000"/>
            </w:tcBorders>
            <w:shd w:val="clear" w:color="auto" w:fill="FFFFFF" w:themeFill="background1"/>
            <w:vAlign w:val="center"/>
          </w:tcPr>
          <w:p w14:paraId="09DC105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0.529</w:t>
            </w:r>
          </w:p>
        </w:tc>
        <w:tc>
          <w:tcPr>
            <w:tcW w:w="1449" w:type="dxa"/>
            <w:tcBorders>
              <w:top w:val="single" w:sz="4" w:space="0" w:color="000000"/>
              <w:bottom w:val="single" w:sz="4" w:space="0" w:color="000000"/>
            </w:tcBorders>
            <w:shd w:val="clear" w:color="auto" w:fill="FFFFFF" w:themeFill="background1"/>
            <w:vAlign w:val="center"/>
          </w:tcPr>
          <w:p w14:paraId="5A6AA0AE"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0.901</w:t>
            </w:r>
          </w:p>
        </w:tc>
        <w:tc>
          <w:tcPr>
            <w:tcW w:w="1089" w:type="dxa"/>
            <w:tcBorders>
              <w:top w:val="single" w:sz="4" w:space="0" w:color="000000"/>
              <w:bottom w:val="single" w:sz="4" w:space="0" w:color="000000"/>
            </w:tcBorders>
            <w:shd w:val="clear" w:color="auto" w:fill="FFFFFF" w:themeFill="background1"/>
            <w:vAlign w:val="center"/>
          </w:tcPr>
          <w:p w14:paraId="47A3285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0.347</w:t>
            </w:r>
          </w:p>
        </w:tc>
        <w:tc>
          <w:tcPr>
            <w:tcW w:w="886" w:type="dxa"/>
            <w:tcBorders>
              <w:top w:val="single" w:sz="4" w:space="0" w:color="000000"/>
              <w:bottom w:val="single" w:sz="4" w:space="0" w:color="000000"/>
            </w:tcBorders>
            <w:shd w:val="clear" w:color="auto" w:fill="FFFFFF" w:themeFill="background1"/>
            <w:vAlign w:val="center"/>
          </w:tcPr>
          <w:p w14:paraId="594ECE5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w:t>
            </w:r>
          </w:p>
        </w:tc>
        <w:tc>
          <w:tcPr>
            <w:tcW w:w="1252" w:type="dxa"/>
            <w:tcBorders>
              <w:top w:val="single" w:sz="4" w:space="0" w:color="000000"/>
              <w:bottom w:val="single" w:sz="4" w:space="0" w:color="000000"/>
            </w:tcBorders>
            <w:shd w:val="clear" w:color="auto" w:fill="FFFFFF" w:themeFill="background1"/>
            <w:vAlign w:val="center"/>
          </w:tcPr>
          <w:p w14:paraId="3F4DF548"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r w:rsidR="003D5DE8" w:rsidRPr="009672FC" w14:paraId="0F477CB8" w14:textId="77777777">
        <w:trPr>
          <w:trHeight w:val="300"/>
        </w:trPr>
        <w:tc>
          <w:tcPr>
            <w:tcW w:w="1291" w:type="dxa"/>
            <w:tcBorders>
              <w:top w:val="single" w:sz="4" w:space="0" w:color="000000"/>
              <w:bottom w:val="single" w:sz="4" w:space="0" w:color="000000"/>
            </w:tcBorders>
            <w:shd w:val="clear" w:color="auto" w:fill="FFFFFF" w:themeFill="background1"/>
            <w:vAlign w:val="center"/>
          </w:tcPr>
          <w:p w14:paraId="03846BA1"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SITm</w:t>
            </w:r>
          </w:p>
        </w:tc>
        <w:tc>
          <w:tcPr>
            <w:tcW w:w="1984" w:type="dxa"/>
            <w:tcBorders>
              <w:top w:val="single" w:sz="4" w:space="0" w:color="000000"/>
              <w:bottom w:val="single" w:sz="4" w:space="0" w:color="000000"/>
            </w:tcBorders>
            <w:shd w:val="clear" w:color="auto" w:fill="FFFFFF" w:themeFill="background1"/>
            <w:vAlign w:val="center"/>
          </w:tcPr>
          <w:p w14:paraId="0A21B7F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0.734</w:t>
            </w:r>
          </w:p>
        </w:tc>
        <w:tc>
          <w:tcPr>
            <w:tcW w:w="1408" w:type="dxa"/>
            <w:tcBorders>
              <w:top w:val="single" w:sz="4" w:space="0" w:color="000000"/>
              <w:bottom w:val="single" w:sz="4" w:space="0" w:color="000000"/>
            </w:tcBorders>
            <w:shd w:val="clear" w:color="auto" w:fill="FFFFFF" w:themeFill="background1"/>
            <w:vAlign w:val="center"/>
          </w:tcPr>
          <w:p w14:paraId="4A9C16B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0.489</w:t>
            </w:r>
          </w:p>
        </w:tc>
        <w:tc>
          <w:tcPr>
            <w:tcW w:w="1449" w:type="dxa"/>
            <w:tcBorders>
              <w:top w:val="single" w:sz="4" w:space="0" w:color="000000"/>
              <w:bottom w:val="single" w:sz="4" w:space="0" w:color="000000"/>
            </w:tcBorders>
            <w:shd w:val="clear" w:color="auto" w:fill="FFFFFF" w:themeFill="background1"/>
            <w:vAlign w:val="center"/>
          </w:tcPr>
          <w:p w14:paraId="6121227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0.908</w:t>
            </w:r>
          </w:p>
        </w:tc>
        <w:tc>
          <w:tcPr>
            <w:tcW w:w="1089" w:type="dxa"/>
            <w:tcBorders>
              <w:top w:val="single" w:sz="4" w:space="0" w:color="000000"/>
              <w:bottom w:val="single" w:sz="4" w:space="0" w:color="000000"/>
            </w:tcBorders>
            <w:shd w:val="clear" w:color="auto" w:fill="FFFFFF" w:themeFill="background1"/>
            <w:vAlign w:val="center"/>
          </w:tcPr>
          <w:p w14:paraId="4F34B00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0.239</w:t>
            </w:r>
          </w:p>
        </w:tc>
        <w:tc>
          <w:tcPr>
            <w:tcW w:w="886" w:type="dxa"/>
            <w:tcBorders>
              <w:top w:val="single" w:sz="4" w:space="0" w:color="000000"/>
              <w:bottom w:val="single" w:sz="4" w:space="0" w:color="000000"/>
            </w:tcBorders>
            <w:shd w:val="clear" w:color="auto" w:fill="FFFFFF" w:themeFill="background1"/>
            <w:vAlign w:val="center"/>
          </w:tcPr>
          <w:p w14:paraId="3351291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0.868</w:t>
            </w:r>
          </w:p>
        </w:tc>
        <w:tc>
          <w:tcPr>
            <w:tcW w:w="1252" w:type="dxa"/>
            <w:tcBorders>
              <w:top w:val="single" w:sz="4" w:space="0" w:color="000000"/>
              <w:bottom w:val="single" w:sz="4" w:space="0" w:color="000000"/>
            </w:tcBorders>
            <w:shd w:val="clear" w:color="auto" w:fill="FFFFFF" w:themeFill="background1"/>
            <w:vAlign w:val="center"/>
          </w:tcPr>
          <w:p w14:paraId="4BA18A67"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w:t>
            </w:r>
          </w:p>
        </w:tc>
      </w:tr>
    </w:tbl>
    <w:p w14:paraId="032D9E50" w14:textId="50FFA67C" w:rsidR="003D5DE8" w:rsidRPr="001A5E30" w:rsidRDefault="007549AA" w:rsidP="001A5E30">
      <w:pPr>
        <w:jc w:val="center"/>
        <w:rPr>
          <w:rFonts w:ascii="Garamond" w:hAnsi="Garamond"/>
          <w:sz w:val="18"/>
          <w:szCs w:val="18"/>
        </w:rPr>
      </w:pPr>
      <w:r w:rsidRPr="009672FC">
        <w:rPr>
          <w:rFonts w:ascii="Garamond" w:hAnsi="Garamond"/>
          <w:sz w:val="18"/>
          <w:szCs w:val="18"/>
        </w:rPr>
        <w:t>Source: Primary data, June 2021, SmartPLS output (</w:t>
      </w:r>
      <w:proofErr w:type="spellStart"/>
      <w:r w:rsidRPr="009672FC">
        <w:rPr>
          <w:rFonts w:ascii="Garamond" w:hAnsi="Garamond"/>
          <w:sz w:val="18"/>
          <w:szCs w:val="18"/>
        </w:rPr>
        <w:t>Henseler</w:t>
      </w:r>
      <w:proofErr w:type="spellEnd"/>
      <w:r w:rsidRPr="009672FC">
        <w:rPr>
          <w:rFonts w:ascii="Garamond" w:hAnsi="Garamond"/>
          <w:sz w:val="18"/>
          <w:szCs w:val="18"/>
        </w:rPr>
        <w:t xml:space="preserve">, </w:t>
      </w:r>
      <w:proofErr w:type="spellStart"/>
      <w:r w:rsidRPr="009672FC">
        <w:rPr>
          <w:rFonts w:ascii="Garamond" w:hAnsi="Garamond"/>
          <w:sz w:val="18"/>
          <w:szCs w:val="18"/>
        </w:rPr>
        <w:t>Ringle</w:t>
      </w:r>
      <w:proofErr w:type="spellEnd"/>
      <w:r w:rsidRPr="009672FC">
        <w:rPr>
          <w:rFonts w:ascii="Garamond" w:hAnsi="Garamond"/>
          <w:sz w:val="18"/>
          <w:szCs w:val="18"/>
        </w:rPr>
        <w:t xml:space="preserve"> &amp; </w:t>
      </w:r>
      <w:proofErr w:type="spellStart"/>
      <w:r w:rsidRPr="009672FC">
        <w:rPr>
          <w:rFonts w:ascii="Garamond" w:hAnsi="Garamond"/>
          <w:sz w:val="18"/>
          <w:szCs w:val="18"/>
        </w:rPr>
        <w:t>Sarstedt</w:t>
      </w:r>
      <w:proofErr w:type="spellEnd"/>
      <w:r w:rsidRPr="009672FC">
        <w:rPr>
          <w:rFonts w:ascii="Garamond" w:hAnsi="Garamond"/>
          <w:sz w:val="18"/>
          <w:szCs w:val="18"/>
        </w:rPr>
        <w:t xml:space="preserve">, 2015) </w:t>
      </w:r>
    </w:p>
    <w:p w14:paraId="081F05AF" w14:textId="4CBA7376" w:rsidR="003D5DE8" w:rsidRPr="009672FC" w:rsidRDefault="007549AA">
      <w:pPr>
        <w:pStyle w:val="Title"/>
        <w:numPr>
          <w:ilvl w:val="2"/>
          <w:numId w:val="10"/>
        </w:numPr>
        <w:spacing w:before="240" w:line="360" w:lineRule="auto"/>
        <w:jc w:val="both"/>
        <w:outlineLvl w:val="2"/>
        <w:rPr>
          <w:rFonts w:ascii="Garamond" w:hAnsi="Garamond" w:cs="Times New Roman"/>
          <w:b/>
          <w:bCs/>
          <w:i/>
          <w:iCs/>
          <w:sz w:val="24"/>
          <w:szCs w:val="24"/>
        </w:rPr>
      </w:pPr>
      <w:bookmarkStart w:id="184" w:name="_Toc85708757"/>
      <w:bookmarkStart w:id="185" w:name="_Toc85709771"/>
      <w:r w:rsidRPr="009672FC">
        <w:rPr>
          <w:rFonts w:ascii="Garamond" w:hAnsi="Garamond" w:cs="Times New Roman"/>
          <w:b/>
          <w:bCs/>
          <w:i/>
          <w:iCs/>
          <w:sz w:val="24"/>
          <w:szCs w:val="24"/>
        </w:rPr>
        <w:t>The Evaluation of The Overall Structured Model Fit</w:t>
      </w:r>
      <w:bookmarkEnd w:id="184"/>
      <w:bookmarkEnd w:id="185"/>
    </w:p>
    <w:p w14:paraId="42047695" w14:textId="77777777" w:rsidR="00890FB2" w:rsidRPr="009672FC" w:rsidRDefault="007549AA" w:rsidP="00890FB2">
      <w:pPr>
        <w:spacing w:line="360" w:lineRule="auto"/>
        <w:jc w:val="both"/>
        <w:rPr>
          <w:rFonts w:ascii="Garamond" w:hAnsi="Garamond"/>
        </w:rPr>
      </w:pPr>
      <w:r w:rsidRPr="009672FC">
        <w:rPr>
          <w:rFonts w:ascii="Garamond" w:hAnsi="Garamond"/>
        </w:rPr>
        <w:t xml:space="preserve">We assessed the hypothesized relationships through a bootstrapping procedure (5,000 iterations) and 95% confidence intervals. A maximum bootstrapping (5000) was suitable for this study due to the relatively small sample size that may not rely on the normality assumption </w:t>
      </w:r>
      <w:r w:rsidRPr="009672FC">
        <w:rPr>
          <w:rFonts w:ascii="Garamond" w:hAnsi="Garamond"/>
        </w:rPr>
        <w:fldChar w:fldCharType="begin" w:fldLock="1"/>
      </w:r>
      <w:r w:rsidRPr="009672FC">
        <w:rPr>
          <w:rFonts w:ascii="Garamond" w:hAnsi="Garamond"/>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2016)","manualFormatting":"(Garson, 2016; Wong, 2013)","plainTextFormattedCitation":"(Garson, 2016)","previouslyFormattedCitation":"(Garson,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(Garson, 2016; </w:t>
      </w:r>
      <w:r w:rsidRPr="009672FC">
        <w:rPr>
          <w:rFonts w:ascii="Garamond" w:hAnsi="Garamond"/>
          <w:noProof/>
        </w:rPr>
        <w:fldChar w:fldCharType="begin" w:fldLock="1"/>
      </w:r>
      <w:r w:rsidRPr="009672FC">
        <w:rPr>
          <w:rFonts w:ascii="Garamond" w:hAnsi="Garamond"/>
          <w:noProof/>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color w:val="000000"/>
        </w:rPr>
        <w:t>Wong, 2013</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xml:space="preserve">. Results of the bootstrap procedure generate both direct and indirect effects, showing no mediation effect if the direct effect is insignificant </w:t>
      </w:r>
      <w:r w:rsidRPr="009672FC">
        <w:rPr>
          <w:rFonts w:ascii="Garamond" w:hAnsi="Garamond"/>
        </w:rPr>
        <w:fldChar w:fldCharType="begin" w:fldLock="1"/>
      </w:r>
      <w:r w:rsidRPr="009672FC">
        <w:rPr>
          <w:rFonts w:ascii="Garamond" w:hAnsi="Garamond"/>
        </w:rPr>
        <w:instrText>ADDIN CSL_CITATION {"citationItems":[{"id":"ITEM-1","itemData":{"DOI":"10.1037/0022-3514.51.6.1173","ISSN":"00223514","PMID":"3806354","abstract":"In this article, we attempt to distinguish between the properties of moderator and mediator variables at a number of levels. First, we seek to make theorists and researchers aware of the importance of not using the terms moderator and mediator interchangeably by carefully elaborating, both conceptually and strategically, the many ways in which moderators and mediators differ. We then go beyond this largely pedagogical function and delineate the conceptual and strategic implications of making use of such distinctions with regard to a wide range of phenomena, including control and stress, attitudes, and personality traits. We also provide a specific compendium of analytic procedures appropriate for making the most effective use of the moderator and mediator distinction, both separately and in terms of a broader causal system that includes both moderators and mediators. © 1986 American Psychological Association.","author":[{"dropping-particle":"","family":"Baron","given":"Reuben M.","non-dropping-particle":"","parse-names":false,"suffix":""},{"dropping-particle":"","family":"Kenny","given":"David A.","non-dropping-particle":"","parse-names":false,"suffix":""}],"container-title":"Journal of Personality and Social Psychology","id":"ITEM-1","issue":"6","issued":{"date-parts":[["1986"]]},"page":"1173-1182","title":"The Moderator-Mediator Variable Distinction in Social Psychological Research. Conceptual, Strategic, and Statistical Considerations","type":"article-journal","volume":"51"},"uris":["http://www.mendeley.com/documents/?uuid=9697ed16-4eef-48d4-b02b-cbeddbf1e725"]}],"mendeley":{"formattedCitation":"(Baron &amp; Kenny, 1986)","plainTextFormattedCitation":"(Baron &amp; Kenny, 1986)","previouslyFormattedCitation":"(Baron &amp; Kenny, 1986)"},"properties":{"noteIndex":0},"schema":"https://github.com/citation-style-language/schema/raw/master/csl-citation.json"}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(Baron &amp; Kenny, 1986)</w:t>
      </w:r>
      <w:r w:rsidRPr="009672FC">
        <w:rPr>
          <w:rFonts w:ascii="Garamond" w:hAnsi="Garamond"/>
        </w:rPr>
        <w:fldChar w:fldCharType="end"/>
      </w:r>
      <w:r w:rsidRPr="009672FC">
        <w:rPr>
          <w:rFonts w:ascii="Garamond" w:hAnsi="Garamond"/>
        </w:rPr>
        <w:t>.</w:t>
      </w:r>
    </w:p>
    <w:p w14:paraId="0F4428B4" w14:textId="7AB07C3A" w:rsidR="00890FB2" w:rsidRPr="009672FC" w:rsidRDefault="007549AA" w:rsidP="00890FB2">
      <w:pPr>
        <w:spacing w:before="240" w:line="360" w:lineRule="auto"/>
        <w:jc w:val="both"/>
        <w:rPr>
          <w:rFonts w:ascii="Garamond" w:hAnsi="Garamond"/>
        </w:rPr>
      </w:pPr>
      <w:r w:rsidRPr="009672FC">
        <w:rPr>
          <w:rFonts w:ascii="Garamond" w:hAnsi="Garamond"/>
        </w:rPr>
        <w:t xml:space="preserve">Results of the overall model fit were estimated using the Standardized Root Mean Square Residual (SRMR) and Normed Fit Index (NFI) </w:t>
      </w:r>
      <w:r w:rsidRPr="009672FC">
        <w:rPr>
          <w:rFonts w:ascii="Garamond" w:hAnsi="Garamond"/>
        </w:rPr>
        <w:fldChar w:fldCharType="begin" w:fldLock="1"/>
      </w:r>
      <w:r w:rsidRPr="009672FC">
        <w:rPr>
          <w:rFonts w:ascii="Garamond" w:hAnsi="Garamond"/>
        </w:rPr>
        <w:instrText>ADDIN CSL_CITATION {"citationItems":[{"id":"ITEM-1","itemData":{"DOI":"10.1177/1094428114526928","ISSN":"15527425","abstract":"This article addresses Rönkkö and Evermann's criticisms of the partial least squares (PLS) approach to structural equation modeling. We contend that the alleged shortcomings of PLS are not due to problems with the technique, but instead to three problems with Rönkkö and Evermann's study: (a) the adherence to the common factor model, (b) a very limited simulation designs, and (c) overstretched generalizations of their findings. Whereas Rönkkö and Evermann claim to be dispelling myths about PLS, they have in reality created new myths that we, in turn, debunk. By examining their claims, our article contributes to reestablishing a constructive discussion of the PLS method and its properties. We show that PLS does offer advantages for exploratory research and that it is a viable estimator for composite factor models. This can pose an interesting alternative if the common factor model does not hold. Therefore, we can conclude that PLS should continue to be used as an important statistical tool for management and organizational research, as well as other social science disciplines. © The Author(s) 2014.","author":[{"dropping-particle":"","family":"Henseler","given":"Jörg","non-dropping-particle":"","parse-names":false,"suffix":""},{"dropping-particle":"","family":"Dijkstra","given":"Theo K.","non-dropping-particle":"","parse-names":false,"suffix":""},{"dropping-particle":"","family":"Sarstedt","given":"Marko","non-dropping-particle":"","parse-names":false,"suffix":""},{"dropping-particle":"","family":"Ringle","given":"Christian M.","non-dropping-particle":"","parse-names":false,"suffix":""},{"dropping-particle":"","family":"Diamantopoulos","given":"Adamantios","non-dropping-particle":"","parse-names":false,"suffix":""},{"dropping-particle":"","family":"Straub","given":"Detmar W.","non-dropping-particle":"","parse-names":false,"suffix":""},{"dropping-particle":"","family":"Ketchen","given":"David J.","non-dropping-particle":"","parse-names":false,"suffix":""},{"dropping-particle":"","family":"Hair","given":"Joseph F.","non-dropping-particle":"","parse-names":false,"suffix":""},{"dropping-particle":"","family":"Hult","given":"G. Tomas M.","non-dropping-particle":"","parse-names":false,"suffix":""},{"dropping-particle":"","family":"Calantone","given":"Roger J.","non-dropping-particle":"","parse-names":false,"suffix":""}],"container-title":"Organizational Research Methods","id":"ITEM-1","issue":"2","issued":{"date-parts":[["2014"]]},"page":"182-209","title":"Common Beliefs and Reality About PLS: Comments on Rönkkö and Evermann (2013)","type":"article-journal","volume":"17"},"uris":["http://www.mendeley.com/documents/?uuid=0ee0c3c2-b42b-4ff3-9fdf-d97ba2526a06"]}],"mendeley":{"formattedCitation":"(Henseler et al., 2014)","plainTextFormattedCitation":"(Henseler et al., 2014)","previouslyFormattedCitation":"(Henseler et al., 2014)"},"properties":{"noteIndex":0},"schema":"https://github.com/citation-style-language/schema/raw/master/csl-citation.json"}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(Henseler et al., 2014)</w:t>
      </w:r>
      <w:r w:rsidRPr="009672FC">
        <w:rPr>
          <w:rFonts w:ascii="Garamond" w:hAnsi="Garamond"/>
        </w:rPr>
        <w:fldChar w:fldCharType="end"/>
      </w:r>
      <w:r w:rsidRPr="009672FC">
        <w:rPr>
          <w:rFonts w:ascii="Garamond" w:hAnsi="Garamond"/>
        </w:rPr>
        <w:t xml:space="preserve"> as widely used measures of goodness fit in PLS-SEM. Researchers suggest an SRMR score less than 0.10 as an adequate score of a good fit </w:t>
      </w:r>
      <w:r w:rsidRPr="009672FC">
        <w:rPr>
          <w:rFonts w:ascii="Garamond" w:hAnsi="Garamond"/>
        </w:rPr>
        <w:fldChar w:fldCharType="begin" w:fldLock="1"/>
      </w:r>
      <w:r w:rsidRPr="009672FC">
        <w:rPr>
          <w:rFonts w:ascii="Garamond" w:hAnsi="Garamond"/>
        </w:rPr>
        <w:instrText>ADDIN CSL_CITATION {"citationItems":[{"id":"ITEM-1","itemData":{"DOI":"10.1037/0033-2909.88.3.588","ISSN":"00332909","abstract":"Factor analysis, path analysis, structural equation modeling, and related multivariate statistical methods are based on maximum likelihood or generalized least squares estimation developed for covariance structure models (CSMs). Large-sample theory provides a chi-square goodness-of-fit test for comparing a model (M) against a general alternative M based on correlated variables. It is suggested that this comparison is insufficient for M evaluation. A general null M based on modified independence among variables is proposed as an additional reference point for the statistical and scientific evaluation of CSMs. Use of the null M in the context of a procedure that sequentially evaluates the statistical necessity of various sets of parameters places statistical methods in covariance structure analysis into a more complete framework. The concepts of ideal Ms and pseudo chi-square tests are introduced, and their roles in hypothesis testing are developed. The importance of supplementing statistical evaluation with incremental fit indices associated with the comparison of hierarchical Ms is also emphasized. Normed and nonnormed fit indices are developed and illustrated. (43 ref) (PsycINFO Database Record (c) 2006 APA, all rights reserved). © 1980 American Psychological Association.","author":[{"dropping-particle":"","family":"Bentler","given":"P. M.","non-dropping-particle":"","parse-names":false,"suffix":""},{"dropping-particle":"","family":"Bonett","given":"Douglas G.","non-dropping-particle":"","parse-names":false,"suffix":""}],"container-title":"Psychological Bulletin","id":"ITEM-1","issue":"3","issued":{"date-parts":[["1980"]]},"page":"588-606","title":"Significance tests and goodness of fit in the analysis of covariance structures","type":"article-journal","volume":"88"},"uris":["http://www.mendeley.com/documents/?uuid=e023b99d-b951-498a-8315-8430cf0d6ca9"]}],"mendeley":{"formattedCitation":"(Bentler &amp; Bonett, 1980)","manualFormatting":"(Henseler et al., 2014; Bentler and Bonett, 1980)","plainTextFormattedCitation":"(Bentler &amp; Bonett, 1980)","previouslyFormattedCitation":"(Bentler &amp; Bonett, 1980)"},"properties":{"noteIndex":0},"schema":"https://github.com/citation-style-language/schema/raw/master/csl-citation.json"}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{"citationItems":[{"id":"ITEM-1","itemData":{"DOI":"10.1177/1094428114526928","ISSN":"15527425","abstract":"This article addresses Rönkkö and Evermann's criticisms of the partial least squares (PLS) approach to structural equation modeling. We contend that the alleged shortcomings of PLS are not due to problems with the technique, but instead to three problems with Rönkkö and Evermann's study: (a) the adherence to the common factor model, (b) a very limited simulation designs, and (c) overstretched generalizations of their findings. Whereas Rönkkö and Evermann claim to be dispelling myths about PLS, they have in reality created new myths that we, in turn, debunk. By examining their claims, our article contributes to reestablishing a constructive discussion of the PLS method and its properties. We show that PLS does offer advantages for exploratory research and that it is a viable estimator for composite factor models. This can pose an interesting alternative if the common factor model does not hold. Therefore, we can conclude that PLS should continue to be used as an important statistical tool for management and organizational research, as well as other social science disciplines. © The Author(s) 2014.","author":[{"dropping-particle":"","family":"Henseler","given":"Jörg","non-dropping-particle":"","parse-names":false,"suffix":""},{"dropping-particle":"","family":"Dijkstra","given":"Theo K.","non-dropping-particle":"","parse-names":false,"suffix":""},{"dropping-particle":"","family":"Sarstedt","given":"Marko","non-dropping-particle":"","parse-names":false,"suffix":""},{"dropping-particle":"","family":"Ringle","given":"Christian M.","non-dropping-particle":"","parse-names":false,"suffix":""},{"dropping-particle":"","family":"Diamantopoulos","given":"Adamantios","non-dropping-particle":"","parse-names":false,"suffix":""},{"dropping-particle":"","family":"Straub","given":"Detmar W.","non-dropping-particle":"","parse-names":false,"suffix":""},{"dropping-particle":"","family":"Ketchen","given":"David J.","non-dropping-particle":"","parse-names":false,"suffix":""},{"dropping-particle":"","family":"Hair","given":"Joseph F.","non-dropping-particle":"","parse-names":false,"suffix":""},{"dropping-particle":"","family":"Hult","given":"G. Tomas M.","non-dropping-particle":"","parse-names":false,"suffix":""},{"dropping-particle":"","family":"Calantone","given":"Roger J.","non-dropping-particle":"","parse-names":false,"suffix":""}],"container-title":"Organizational Research Methods","id":"ITEM-1","issue":"2","issued":{"date-parts":[["2014"]]},"page":"182-209","title":"Common Beliefs and Reality About PLS: Comments on Rönkkö and Evermann (2013)","type":"article-journal","volume":"17"},"uris":["http://www.mendeley.com/documents/?uuid=0ee0c3c2-b42b-4ff3-9fdf-d97ba2526a06"]}],"mendeley":{"formattedCitation":"(Henseler et al., 2014)","manualFormatting":"(Henseler et al., 2014;","plainTextFormattedCitation":"(Henseler et al., 2014)","previouslyFormattedCitation":"(Henseler et al., 2014)"},"properties":{"noteIndex":0},"schema":"https://github.com/citation-style-language/schema/raw/master/csl-citation.json"}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(Henseler </w:t>
      </w:r>
      <w:r w:rsidRPr="009672FC">
        <w:rPr>
          <w:rFonts w:ascii="Garamond" w:hAnsi="Garamond"/>
          <w:i/>
          <w:noProof/>
        </w:rPr>
        <w:t>et al.</w:t>
      </w:r>
      <w:r w:rsidRPr="009672FC">
        <w:rPr>
          <w:rFonts w:ascii="Garamond" w:hAnsi="Garamond"/>
          <w:noProof/>
        </w:rPr>
        <w:t>, 2014;</w:t>
      </w:r>
      <w:r w:rsidRPr="009672FC">
        <w:rPr>
          <w:rFonts w:ascii="Garamond" w:hAnsi="Garamond"/>
          <w:noProof/>
        </w:rPr>
        <w:fldChar w:fldCharType="end"/>
      </w:r>
      <w:r w:rsidRPr="009672FC">
        <w:rPr>
          <w:rFonts w:ascii="Garamond" w:hAnsi="Garamond"/>
          <w:noProof/>
        </w:rPr>
        <w:t xml:space="preserve"> Bentler and Bonett, 1980)</w:t>
      </w:r>
      <w:r w:rsidRPr="009672FC">
        <w:rPr>
          <w:rFonts w:ascii="Garamond" w:hAnsi="Garamond"/>
        </w:rPr>
        <w:fldChar w:fldCharType="end"/>
      </w:r>
      <w:r w:rsidRPr="009672FC">
        <w:rPr>
          <w:rFonts w:ascii="Garamond" w:hAnsi="Garamond"/>
        </w:rPr>
        <w:t xml:space="preserve"> is thus confirmed by our study (SRMR = 0.14). The Normed Fit Index (NFI) score (0.429) falls within the threshold of 0 and 1, thus establish</w:t>
      </w:r>
      <w:r w:rsidR="002663FA" w:rsidRPr="009672FC">
        <w:rPr>
          <w:rFonts w:ascii="Garamond" w:hAnsi="Garamond"/>
        </w:rPr>
        <w:t>ing</w:t>
      </w:r>
      <w:r w:rsidRPr="009672FC">
        <w:rPr>
          <w:rFonts w:ascii="Garamond" w:hAnsi="Garamond"/>
        </w:rPr>
        <w:t xml:space="preserve"> an acceptable fit in PLS path models </w:t>
      </w:r>
      <w:r w:rsidRPr="009672FC">
        <w:rPr>
          <w:rFonts w:ascii="Garamond" w:hAnsi="Garamond"/>
        </w:rPr>
        <w:fldChar w:fldCharType="begin" w:fldLock="1"/>
      </w:r>
      <w:r w:rsidRPr="009672FC">
        <w:rPr>
          <w:rFonts w:ascii="Garamond" w:hAnsi="Garamond"/>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2016)","plainTextFormattedCitation":"(Garson, 2016)","previouslyFormattedCitation":"(Garson,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(Garson, 2016)</w:t>
      </w:r>
      <w:r w:rsidRPr="009672FC">
        <w:rPr>
          <w:rFonts w:ascii="Garamond" w:hAnsi="Garamond"/>
        </w:rPr>
        <w:fldChar w:fldCharType="end"/>
      </w:r>
      <w:r w:rsidRPr="009672FC">
        <w:rPr>
          <w:rFonts w:ascii="Garamond" w:hAnsi="Garamond"/>
        </w:rPr>
        <w:t xml:space="preserve">. Accordingly, these results of the fit scores </w:t>
      </w:r>
      <w:r w:rsidRPr="009672FC">
        <w:rPr>
          <w:rFonts w:ascii="Garamond" w:hAnsi="Garamond"/>
        </w:rPr>
        <w:lastRenderedPageBreak/>
        <w:t>established that the proposed model is well suited in explaining the effects of institutional trust factors on innovation.</w:t>
      </w:r>
    </w:p>
    <w:p w14:paraId="02D881FB" w14:textId="77777777" w:rsidR="00890FB2" w:rsidRPr="009672FC" w:rsidRDefault="007549AA" w:rsidP="00890FB2">
      <w:pPr>
        <w:spacing w:before="240" w:line="360" w:lineRule="auto"/>
        <w:jc w:val="both"/>
        <w:rPr>
          <w:rFonts w:ascii="Garamond" w:hAnsi="Garamond"/>
        </w:rPr>
      </w:pPr>
      <w:r w:rsidRPr="009672FC">
        <w:rPr>
          <w:rFonts w:ascii="Garamond" w:hAnsi="Garamond"/>
          <w:color w:val="000000" w:themeColor="text1"/>
        </w:rPr>
        <w:t xml:space="preserve">The coefficient of determination (generally called R-square) was used to check the overall effect size measure for the structural </w:t>
      </w:r>
      <w:bookmarkStart w:id="186" w:name="_Hlk75876501"/>
      <w:r w:rsidRPr="009672FC">
        <w:rPr>
          <w:rFonts w:ascii="Garamond" w:hAnsi="Garamond"/>
          <w:color w:val="000000" w:themeColor="text1"/>
        </w:rPr>
        <w:t xml:space="preserve">model </w:t>
      </w:r>
      <w:r w:rsidRPr="009672FC">
        <w:rPr>
          <w:rFonts w:ascii="Garamond" w:hAnsi="Garamond"/>
        </w:rPr>
        <w:fldChar w:fldCharType="begin" w:fldLock="1"/>
      </w:r>
      <w:r w:rsidRPr="009672FC">
        <w:rPr>
          <w:rFonts w:ascii="Garamond" w:hAnsi="Garamond"/>
          <w:color w:val="000000"/>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et al., 2011)","plainTextFormattedCitation":"(Joe F Hair et al., 2011)","previouslyFormattedCitation":"(Joe F Hair et al.,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(Hair et al., 2011)</w:t>
      </w:r>
      <w:r w:rsidRPr="009672FC">
        <w:rPr>
          <w:rFonts w:ascii="Garamond" w:hAnsi="Garamond"/>
          <w:color w:val="000000"/>
        </w:rPr>
        <w:fldChar w:fldCharType="end"/>
      </w:r>
      <w:bookmarkEnd w:id="186"/>
      <w:r w:rsidRPr="009672FC">
        <w:rPr>
          <w:rFonts w:ascii="Garamond" w:hAnsi="Garamond"/>
          <w:color w:val="000000" w:themeColor="text1"/>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2011)","manualFormatting":"These researchers ","plainTextFormattedCitation":"(Joe F Hair et al., 2011)","previouslyFormattedCitation":"(Joe F Hair et al.,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 xml:space="preserve">These researchers </w:t>
      </w:r>
      <w:r w:rsidRPr="009672FC">
        <w:rPr>
          <w:rFonts w:ascii="Garamond" w:hAnsi="Garamond"/>
          <w:color w:val="000000"/>
        </w:rPr>
        <w:fldChar w:fldCharType="end"/>
      </w:r>
      <w:r w:rsidRPr="009672FC">
        <w:rPr>
          <w:rFonts w:ascii="Garamond" w:hAnsi="Garamond"/>
          <w:color w:val="000000" w:themeColor="text1"/>
        </w:rPr>
        <w:t xml:space="preserve">suggest that R-square values ranging from 0.67, 0.33 and 0.19 are considered “substantial”, “moderate” and “weak” respectively (pp.145). The R-square value of 0.409, implies that about 41% of the variance in the model outcome, </w:t>
      </w:r>
      <w:r w:rsidRPr="009672FC">
        <w:rPr>
          <w:rFonts w:ascii="Garamond" w:hAnsi="Garamond"/>
          <w:i/>
          <w:iCs/>
          <w:color w:val="000000" w:themeColor="text1"/>
        </w:rPr>
        <w:t>IPm</w:t>
      </w:r>
      <w:r w:rsidRPr="009672FC">
        <w:rPr>
          <w:rFonts w:ascii="Garamond" w:hAnsi="Garamond"/>
          <w:color w:val="000000" w:themeColor="text1"/>
        </w:rPr>
        <w:t>, is explained by the model (jointly by the relationship between endogenous and the mediating variables). The latent exogenous variables jointly account for approximately 16% of the variance is explained by the latent exogenous variables on the mediator, RRm (</w:t>
      </w:r>
      <w:r w:rsidRPr="009672FC">
        <w:rPr>
          <w:rFonts w:ascii="Garamond" w:hAnsi="Garamond"/>
          <w:i/>
          <w:iCs/>
          <w:color w:val="000000" w:themeColor="text1"/>
        </w:rPr>
        <w:t>R</w:t>
      </w:r>
      <w:r w:rsidRPr="009672FC">
        <w:rPr>
          <w:rFonts w:ascii="Garamond" w:hAnsi="Garamond"/>
          <w:i/>
          <w:iCs/>
          <w:color w:val="000000" w:themeColor="text1"/>
          <w:vertAlign w:val="superscript"/>
        </w:rPr>
        <w:t>2</w:t>
      </w:r>
      <w:r w:rsidRPr="009672FC">
        <w:rPr>
          <w:rFonts w:ascii="Garamond" w:hAnsi="Garamond"/>
          <w:color w:val="000000" w:themeColor="text1"/>
        </w:rPr>
        <w:t xml:space="preserve"> = 0.155). Based on the values of the R-square in the model, latent variables are indeed suitable predictors of the endogenous variables.</w:t>
      </w:r>
    </w:p>
    <w:p w14:paraId="22813E36" w14:textId="6A4C1A29" w:rsidR="003D5DE8" w:rsidRPr="009672FC" w:rsidRDefault="007549AA" w:rsidP="00890FB2">
      <w:pPr>
        <w:spacing w:before="240" w:line="360" w:lineRule="auto"/>
        <w:jc w:val="both"/>
        <w:rPr>
          <w:rFonts w:ascii="Garamond" w:hAnsi="Garamond"/>
        </w:rPr>
      </w:pPr>
      <w:r w:rsidRPr="009672FC">
        <w:rPr>
          <w:rFonts w:ascii="Garamond" w:hAnsi="Garamond"/>
          <w:color w:val="000000"/>
        </w:rPr>
        <w:t xml:space="preserve">Following the convention, the predictive accuracy of the structural model was assessed based on the Q-square score </w:t>
      </w:r>
      <w:r w:rsidRPr="009672FC">
        <w:rPr>
          <w:rFonts w:ascii="Garamond" w:hAnsi="Garamond"/>
        </w:rPr>
        <w:fldChar w:fldCharType="begin" w:fldLock="1"/>
      </w:r>
      <w:r w:rsidR="00813D37" w:rsidRPr="009672FC">
        <w:rPr>
          <w:rFonts w:ascii="Garamond" w:hAnsi="Garamond"/>
          <w:color w:val="000000"/>
        </w:rPr>
        <w:instrText>ADDIN CSL_CITATION {"citationItems":[{"id":"ITEM-1","itemData":{"DOI":"10.1108/EJIM-10-2019-0283","author":[{"dropping-particle":"","family":"Akbari","given":"Morteza","non-dropping-particle":"","parse-names":false,"suffix":""},{"dropping-particle":"","family":"Bagheri","given":"Afsaneh","non-dropping-particle":"","parse-names":false,"suffix":""},{"dropping-particle":"","family":"Imani","given":"Saheb","non-dropping-particle":"","parse-names":false,"suffix":""},{"dropping-particle":"","family":"Asadnezhad","given":"Mohammad","non-dropping-particle":"","parse-names":false,"suffix":""}],"container-title":"European Journal of Innovation Management","id":"ITEM-1","issue":"1","issued":{"date-parts":[["2021"]]},"page":"1-22","title":"Does entrepreneurial leadership encourage innovation work behavior ? The mediating role of creative self-efficacy and support for innovation","type":"article-journal","volume":"24"},"uris":["http://www.mendeley.com/documents/?uuid=aa4ba20a-915d-432a-ae40-75650b389b1b"]}],"mendeley":{"formattedCitation":"(Akbari, Bagheri, Imani, &amp; Asadnezhad, 2021)","manualFormatting":"(Akbari et al., 2021; Henseler, Ringle and Sinkovics, 2009)","plainTextFormattedCitation":"(Akbari, Bagheri, Imani, &amp; Asadnezhad, 2021)","previouslyFormattedCitation":"(Akbari et al., 2021)"},"properties":{"noteIndex":0},"schema":"https://github.com/citation-style-language/schema/raw/master/csl-citation.json"}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 xml:space="preserve">(Akbari </w:t>
      </w:r>
      <w:r w:rsidRPr="009672FC">
        <w:rPr>
          <w:rFonts w:ascii="Garamond" w:hAnsi="Garamond"/>
          <w:i/>
          <w:noProof/>
          <w:color w:val="000000"/>
        </w:rPr>
        <w:t>et al.</w:t>
      </w:r>
      <w:r w:rsidRPr="009672FC">
        <w:rPr>
          <w:rFonts w:ascii="Garamond" w:hAnsi="Garamond"/>
          <w:noProof/>
          <w:color w:val="000000"/>
        </w:rPr>
        <w:t xml:space="preserve">, 2021; </w:t>
      </w:r>
      <w:r w:rsidRPr="009672FC">
        <w:rPr>
          <w:rFonts w:ascii="Garamond" w:hAnsi="Garamond"/>
          <w:noProof/>
        </w:rPr>
        <w:t>Henseler, Ringle and Sinkovics, 2009</w:t>
      </w:r>
      <w:r w:rsidRPr="009672FC">
        <w:rPr>
          <w:rFonts w:ascii="Garamond" w:hAnsi="Garamond"/>
          <w:noProof/>
          <w:color w:val="000000"/>
        </w:rPr>
        <w:t>)</w:t>
      </w:r>
      <w:r w:rsidRPr="009672FC">
        <w:rPr>
          <w:rFonts w:ascii="Garamond" w:hAnsi="Garamond"/>
          <w:color w:val="000000"/>
        </w:rPr>
        <w:fldChar w:fldCharType="end"/>
      </w:r>
      <w:r w:rsidRPr="009672FC">
        <w:rPr>
          <w:rFonts w:ascii="Garamond" w:hAnsi="Garamond"/>
          <w:color w:val="000000"/>
        </w:rPr>
        <w:t xml:space="preserve">. Q-square test (Construct Cross-validated Redundancy) was conducted through a </w:t>
      </w:r>
      <w:r w:rsidRPr="009672FC">
        <w:rPr>
          <w:rFonts w:ascii="Garamond" w:hAnsi="Garamond"/>
        </w:rPr>
        <w:t xml:space="preserve">blindfolding procedure in Smart-PLS, as recommended </w:t>
      </w:r>
      <w:r w:rsidRPr="009672FC">
        <w:rPr>
          <w:rFonts w:ascii="Garamond" w:hAnsi="Garamond"/>
        </w:rPr>
        <w:fldChar w:fldCharType="begin" w:fldLock="1"/>
      </w:r>
      <w:r w:rsidRPr="009672FC">
        <w:rPr>
          <w:rFonts w:ascii="Garamond" w:hAnsi="Garamond"/>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2013)","manualFormatting":"(Garson, 2016; Wong, 2013)","plainTextFormattedCitation":"(Wong, 2013)","previouslyFormattedCitation":"(Wong,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2016)","manualFormatting":"(Garson, 2016;","plainTextFormattedCitation":"(Garson, 2016)","previouslyFormattedCitation":"(Garson, 2016)"},"properties":{"noteIndex":0},"schema":"https://github.com/citation-style-language/schema/raw/master/csl-citation.json"}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(Garson, 2016;</w:t>
      </w:r>
      <w:r w:rsidRPr="009672FC">
        <w:rPr>
          <w:rFonts w:ascii="Garamond" w:hAnsi="Garamond"/>
          <w:noProof/>
        </w:rPr>
        <w:fldChar w:fldCharType="end"/>
      </w:r>
      <w:r w:rsidRPr="009672FC">
        <w:rPr>
          <w:rFonts w:ascii="Garamond" w:hAnsi="Garamond"/>
          <w:noProof/>
        </w:rPr>
        <w:t xml:space="preserve"> Wong, 2013)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DOI":"10.1108/S1474-7979(2009)0000020014","ISSN":"14747979","author":[{"dropping-particle":"","family":"Henseler","given":"Jörg","non-dropping-particle":"","parse-names":false,"suffix":""},{"dropping-particle":"","family":"Ringle","given":"Christian M.","non-dropping-particle":"","parse-names":false,"suffix":""},{"dropping-particle":"","family":"Sinkovics","given":"Rudolf R.","non-dropping-particle":"","parse-names":false,"suffix":""}],"container-title":"Advances in International Marketing","id":"ITEM-1","issue":"May 2014","issued":{"date-parts":[["2009"]]},"page":"277-319","title":"The use of partial least squares path modeling in international marketing","type":"article-journal","volume":"20"},"uris":["http://www.mendeley.com/documents/?uuid=7e96eb1d-89c6-431f-af5d-586cc66ffbf8"]}],"mendeley":{"formattedCitation":"(Henseler, Ringle, &amp; Sinkovics, 2009)","manualFormatting":"Henseler, Ringle and Sinkovics (2009, pp. 305)","plainTextFormattedCitation":"(Henseler, Ringle, &amp; Sinkovics, 2009)","previouslyFormattedCitation":"(Henseler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Henseler, Ringle and Sinkovics (2009, pp. 305)</w:t>
      </w:r>
      <w:r w:rsidRPr="009672FC">
        <w:rPr>
          <w:rFonts w:ascii="Garamond" w:hAnsi="Garamond"/>
        </w:rPr>
        <w:fldChar w:fldCharType="end"/>
      </w:r>
      <w:r w:rsidRPr="009672FC">
        <w:rPr>
          <w:rFonts w:ascii="Garamond" w:hAnsi="Garamond"/>
        </w:rPr>
        <w:t xml:space="preserve"> suggest that Q</w:t>
      </w:r>
      <w:r w:rsidRPr="009672FC">
        <w:rPr>
          <w:rFonts w:ascii="Garamond" w:hAnsi="Garamond"/>
          <w:vertAlign w:val="superscript"/>
        </w:rPr>
        <w:t>2</w:t>
      </w:r>
      <w:r w:rsidRPr="009672FC">
        <w:rPr>
          <w:rFonts w:ascii="Garamond" w:hAnsi="Garamond"/>
        </w:rPr>
        <w:t xml:space="preserve"> values of 0.02, 0.15, and 0.35 revealed “small”, “moderate”, or “substantial,” respectively, demonstrate a predictive relevance of latent variable, thus explaining the endogenous latent variable under evaluation. In Figure 3 Q</w:t>
      </w:r>
      <w:r w:rsidRPr="009672FC">
        <w:rPr>
          <w:rFonts w:ascii="Garamond" w:hAnsi="Garamond"/>
          <w:vertAlign w:val="superscript"/>
        </w:rPr>
        <w:t>2</w:t>
      </w:r>
      <w:r w:rsidRPr="009672FC">
        <w:rPr>
          <w:rFonts w:ascii="Garamond" w:hAnsi="Garamond"/>
        </w:rPr>
        <w:t xml:space="preserve"> values for innovation performance (</w:t>
      </w:r>
      <w:r w:rsidRPr="009672FC">
        <w:rPr>
          <w:rFonts w:ascii="Garamond" w:hAnsi="Garamond"/>
          <w:i/>
          <w:iCs/>
        </w:rPr>
        <w:t>IPm</w:t>
      </w:r>
      <w:r w:rsidRPr="009672FC">
        <w:rPr>
          <w:rFonts w:ascii="Garamond" w:hAnsi="Garamond"/>
        </w:rPr>
        <w:t xml:space="preserve"> = </w:t>
      </w:r>
      <w:bookmarkStart w:id="187" w:name="_Hlk76058393"/>
      <w:r w:rsidRPr="009672FC">
        <w:rPr>
          <w:rFonts w:ascii="Garamond" w:hAnsi="Garamond"/>
        </w:rPr>
        <w:t>0.252</w:t>
      </w:r>
      <w:bookmarkEnd w:id="187"/>
      <w:r w:rsidRPr="009672FC">
        <w:rPr>
          <w:rFonts w:ascii="Garamond" w:hAnsi="Garamond"/>
        </w:rPr>
        <w:t>) and relational risk (</w:t>
      </w:r>
      <w:r w:rsidRPr="009672FC">
        <w:rPr>
          <w:rFonts w:ascii="Garamond" w:hAnsi="Garamond"/>
          <w:i/>
          <w:iCs/>
        </w:rPr>
        <w:t>RRm</w:t>
      </w:r>
      <w:r w:rsidRPr="009672FC">
        <w:rPr>
          <w:rFonts w:ascii="Garamond" w:hAnsi="Garamond"/>
        </w:rPr>
        <w:t xml:space="preserve"> = </w:t>
      </w:r>
      <w:bookmarkStart w:id="188" w:name="_Hlk76058456"/>
      <w:r w:rsidRPr="009672FC">
        <w:rPr>
          <w:rFonts w:ascii="Garamond" w:hAnsi="Garamond"/>
        </w:rPr>
        <w:t>0.108</w:t>
      </w:r>
      <w:bookmarkEnd w:id="188"/>
      <w:r w:rsidRPr="009672FC">
        <w:rPr>
          <w:rFonts w:ascii="Garamond" w:hAnsi="Garamond"/>
        </w:rPr>
        <w:t>). confirmed a moderate to substantial predictive of our model (Q</w:t>
      </w:r>
      <w:r w:rsidRPr="009672FC">
        <w:rPr>
          <w:rFonts w:ascii="Garamond" w:hAnsi="Garamond"/>
          <w:vertAlign w:val="superscript"/>
        </w:rPr>
        <w:t>2</w:t>
      </w:r>
      <w:r w:rsidRPr="009672FC">
        <w:rPr>
          <w:rFonts w:ascii="Garamond" w:hAnsi="Garamond"/>
        </w:rPr>
        <w:t xml:space="preserve"> scores &gt; 0.15).</w:t>
      </w:r>
    </w:p>
    <w:p w14:paraId="533C634D" w14:textId="039965BD" w:rsidR="003D5DE8" w:rsidRPr="009672FC" w:rsidRDefault="007549AA" w:rsidP="00890FB2">
      <w:pPr>
        <w:pStyle w:val="Title"/>
        <w:numPr>
          <w:ilvl w:val="2"/>
          <w:numId w:val="10"/>
        </w:numPr>
        <w:spacing w:before="240" w:line="360" w:lineRule="auto"/>
        <w:jc w:val="both"/>
        <w:outlineLvl w:val="2"/>
        <w:rPr>
          <w:rFonts w:ascii="Garamond" w:hAnsi="Garamond" w:cs="Times New Roman"/>
          <w:b/>
          <w:bCs/>
          <w:i/>
          <w:iCs/>
          <w:color w:val="000000" w:themeColor="text1"/>
          <w:sz w:val="24"/>
          <w:szCs w:val="24"/>
        </w:rPr>
      </w:pPr>
      <w:bookmarkStart w:id="189" w:name="_Toc85708758"/>
      <w:bookmarkStart w:id="190" w:name="_Toc85709772"/>
      <w:r w:rsidRPr="009672FC">
        <w:rPr>
          <w:rFonts w:ascii="Garamond" w:hAnsi="Garamond" w:cs="Times New Roman"/>
          <w:b/>
          <w:bCs/>
          <w:i/>
          <w:iCs/>
          <w:color w:val="000000" w:themeColor="text1"/>
          <w:sz w:val="24"/>
          <w:szCs w:val="24"/>
        </w:rPr>
        <w:t>Hypotheses Testing of the Structural Model.</w:t>
      </w:r>
      <w:bookmarkEnd w:id="189"/>
      <w:bookmarkEnd w:id="190"/>
    </w:p>
    <w:p w14:paraId="4EBA57F7" w14:textId="13146DA7" w:rsidR="003D5DE8" w:rsidRPr="009672FC" w:rsidRDefault="007549AA">
      <w:pPr>
        <w:spacing w:line="360" w:lineRule="auto"/>
        <w:jc w:val="both"/>
        <w:rPr>
          <w:rFonts w:ascii="Garamond" w:hAnsi="Garamond"/>
          <w:color w:val="000000"/>
        </w:rPr>
      </w:pPr>
      <w:r w:rsidRPr="009672FC">
        <w:rPr>
          <w:rFonts w:ascii="Garamond" w:hAnsi="Garamond"/>
          <w:color w:val="000000" w:themeColor="text1"/>
        </w:rPr>
        <w:t xml:space="preserve">Results of the </w:t>
      </w:r>
      <w:r w:rsidRPr="009672FC">
        <w:rPr>
          <w:rFonts w:ascii="Garamond" w:hAnsi="Garamond"/>
          <w:color w:val="000000"/>
        </w:rPr>
        <w:t xml:space="preserve">bootstrapping procedure (up to 5,000 iterations) </w:t>
      </w:r>
      <w:r w:rsidRPr="009672FC">
        <w:rPr>
          <w:rFonts w:ascii="Garamond" w:hAnsi="Garamond"/>
          <w:color w:val="000000" w:themeColor="text1"/>
        </w:rPr>
        <w:t xml:space="preserve">was used to assess the significance of the hypothesized structural relationships path coefficients. As a standard practice in PLS-SEM, T-statistics and P-value are used to validate the study hypotheses. </w:t>
      </w:r>
      <w:r w:rsidRPr="009672FC">
        <w:rPr>
          <w:rFonts w:ascii="Garamond" w:hAnsi="Garamond"/>
          <w:color w:val="000000"/>
        </w:rPr>
        <w:t xml:space="preserve">The Path Coefficient table (Table 8) reports the t-values, and values greater than the </w:t>
      </w:r>
      <w:bookmarkStart w:id="191" w:name="_Hlk75876407"/>
      <w:r w:rsidRPr="009672FC">
        <w:rPr>
          <w:rFonts w:ascii="Garamond" w:hAnsi="Garamond"/>
          <w:color w:val="000000"/>
        </w:rPr>
        <w:t>minimum threshold (</w:t>
      </w:r>
      <w:r w:rsidRPr="009672FC">
        <w:rPr>
          <w:rFonts w:ascii="Garamond" w:hAnsi="Garamond"/>
          <w:i/>
          <w:iCs/>
          <w:color w:val="000000"/>
        </w:rPr>
        <w:t>t - values</w:t>
      </w:r>
      <w:r w:rsidRPr="009672FC">
        <w:rPr>
          <w:rFonts w:ascii="Garamond" w:hAnsi="Garamond"/>
          <w:color w:val="000000"/>
        </w:rPr>
        <w:t xml:space="preserve"> 1.96) are statistically significant </w:t>
      </w:r>
      <w:r w:rsidRPr="009672FC">
        <w:rPr>
          <w:rFonts w:ascii="Garamond" w:hAnsi="Garamond"/>
        </w:rPr>
        <w:fldChar w:fldCharType="begin" w:fldLock="1"/>
      </w:r>
      <w:r w:rsidRPr="009672FC">
        <w:rPr>
          <w:rFonts w:ascii="Garamond" w:hAnsi="Garamond"/>
          <w:color w:val="000000"/>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2013)","plainTextFormattedCitation":"(Wong, 2013)","previouslyFormattedCitation":"(Wong,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(Wong, 2013)</w:t>
      </w:r>
      <w:r w:rsidRPr="009672FC">
        <w:rPr>
          <w:rFonts w:ascii="Garamond" w:hAnsi="Garamond"/>
          <w:color w:val="000000"/>
        </w:rPr>
        <w:fldChar w:fldCharType="end"/>
      </w:r>
      <w:bookmarkEnd w:id="191"/>
      <w:r w:rsidRPr="009672FC">
        <w:rPr>
          <w:rFonts w:ascii="Garamond" w:hAnsi="Garamond"/>
          <w:color w:val="000000"/>
        </w:rPr>
        <w:t>.</w:t>
      </w:r>
    </w:p>
    <w:p w14:paraId="70F43D53" w14:textId="03955092" w:rsidR="00EB5D6B" w:rsidRPr="000705A7" w:rsidRDefault="00890FB2" w:rsidP="000705A7">
      <w:pPr>
        <w:spacing w:before="240" w:line="360" w:lineRule="auto"/>
        <w:jc w:val="both"/>
        <w:rPr>
          <w:rFonts w:ascii="Garamond" w:hAnsi="Garamond"/>
          <w:color w:val="000000" w:themeColor="text1"/>
        </w:rPr>
      </w:pPr>
      <w:r w:rsidRPr="009672FC">
        <w:rPr>
          <w:rFonts w:ascii="Garamond" w:hAnsi="Garamond"/>
          <w:color w:val="000000" w:themeColor="text1"/>
        </w:rPr>
        <w:t xml:space="preserve">Results show that the effects of exogenous variables on endogenous variables vary in degree and signs. Specifically, competence trust </w:t>
      </w:r>
      <w:r w:rsidRPr="009672FC">
        <w:rPr>
          <w:rFonts w:ascii="Garamond" w:hAnsi="Garamond"/>
          <w:i/>
          <w:iCs/>
          <w:color w:val="000000" w:themeColor="text1"/>
        </w:rPr>
        <w:t>(CTm)</w:t>
      </w:r>
      <w:r w:rsidRPr="009672FC">
        <w:rPr>
          <w:rFonts w:ascii="Garamond" w:hAnsi="Garamond"/>
          <w:color w:val="000000" w:themeColor="text1"/>
        </w:rPr>
        <w:t xml:space="preserve"> was not significant predictor of neither innovation performance </w:t>
      </w:r>
      <w:r w:rsidRPr="009672FC">
        <w:rPr>
          <w:rFonts w:ascii="Garamond" w:hAnsi="Garamond"/>
          <w:i/>
          <w:iCs/>
          <w:color w:val="000000" w:themeColor="text1"/>
        </w:rPr>
        <w:t>(IPm)</w:t>
      </w:r>
      <w:r w:rsidRPr="009672FC">
        <w:rPr>
          <w:rFonts w:ascii="Garamond" w:hAnsi="Garamond"/>
          <w:color w:val="000000" w:themeColor="text1"/>
        </w:rPr>
        <w:t xml:space="preserve"> (H1a: </w:t>
      </w:r>
      <w:r w:rsidRPr="009672FC">
        <w:rPr>
          <w:rFonts w:ascii="Garamond" w:hAnsi="Garamond"/>
          <w:i/>
          <w:iCs/>
          <w:color w:val="000000" w:themeColor="text1"/>
        </w:rPr>
        <w:t>t- value</w:t>
      </w:r>
      <w:r w:rsidRPr="009672FC">
        <w:rPr>
          <w:rFonts w:ascii="Garamond" w:hAnsi="Garamond"/>
          <w:color w:val="000000" w:themeColor="text1"/>
        </w:rPr>
        <w:t xml:space="preserve"> = </w:t>
      </w:r>
      <w:r w:rsidRPr="009672FC">
        <w:rPr>
          <w:rFonts w:ascii="Garamond" w:hAnsi="Garamond"/>
          <w:color w:val="000000"/>
        </w:rPr>
        <w:t>1.616</w:t>
      </w:r>
      <w:r w:rsidRPr="009672FC">
        <w:rPr>
          <w:rFonts w:ascii="Garamond" w:hAnsi="Garamond"/>
          <w:color w:val="000000" w:themeColor="text1"/>
        </w:rPr>
        <w:t xml:space="preserve">, </w:t>
      </w:r>
      <w:r w:rsidRPr="009672FC">
        <w:rPr>
          <w:rFonts w:ascii="Garamond" w:hAnsi="Garamond"/>
          <w:i/>
          <w:iCs/>
          <w:color w:val="000000" w:themeColor="text1"/>
        </w:rPr>
        <w:t>p</w:t>
      </w:r>
      <w:r w:rsidRPr="009672FC">
        <w:rPr>
          <w:rFonts w:ascii="Garamond" w:hAnsi="Garamond"/>
          <w:color w:val="000000" w:themeColor="text1"/>
        </w:rPr>
        <w:t xml:space="preserve"> &gt; 0.05) nor relational risk </w:t>
      </w:r>
      <w:r w:rsidRPr="009672FC">
        <w:rPr>
          <w:rFonts w:ascii="Garamond" w:hAnsi="Garamond"/>
          <w:i/>
          <w:iCs/>
          <w:color w:val="000000" w:themeColor="text1"/>
        </w:rPr>
        <w:t>(RRm)</w:t>
      </w:r>
      <w:r w:rsidRPr="009672FC">
        <w:rPr>
          <w:rFonts w:ascii="Garamond" w:hAnsi="Garamond"/>
          <w:color w:val="000000" w:themeColor="text1"/>
        </w:rPr>
        <w:t xml:space="preserve"> (H1b: </w:t>
      </w:r>
      <w:r w:rsidRPr="009672FC">
        <w:rPr>
          <w:rFonts w:ascii="Garamond" w:hAnsi="Garamond"/>
          <w:i/>
          <w:iCs/>
          <w:color w:val="000000" w:themeColor="text1"/>
        </w:rPr>
        <w:t>t- value</w:t>
      </w:r>
      <w:r w:rsidRPr="009672FC">
        <w:rPr>
          <w:rFonts w:ascii="Garamond" w:hAnsi="Garamond"/>
          <w:color w:val="000000" w:themeColor="text1"/>
        </w:rPr>
        <w:t xml:space="preserve"> = </w:t>
      </w:r>
      <w:r w:rsidRPr="009672FC">
        <w:rPr>
          <w:rFonts w:ascii="Garamond" w:hAnsi="Garamond"/>
          <w:color w:val="000000"/>
        </w:rPr>
        <w:t>1.616</w:t>
      </w:r>
      <w:r w:rsidRPr="009672FC">
        <w:rPr>
          <w:rFonts w:ascii="Garamond" w:hAnsi="Garamond"/>
          <w:color w:val="000000" w:themeColor="text1"/>
        </w:rPr>
        <w:t xml:space="preserve">, </w:t>
      </w:r>
      <w:r w:rsidRPr="009672FC">
        <w:rPr>
          <w:rFonts w:ascii="Garamond" w:hAnsi="Garamond"/>
          <w:i/>
          <w:iCs/>
          <w:color w:val="000000" w:themeColor="text1"/>
        </w:rPr>
        <w:lastRenderedPageBreak/>
        <w:t>p</w:t>
      </w:r>
      <w:r w:rsidRPr="009672FC">
        <w:rPr>
          <w:rFonts w:ascii="Garamond" w:hAnsi="Garamond"/>
          <w:color w:val="000000" w:themeColor="text1"/>
        </w:rPr>
        <w:t xml:space="preserve"> &gt; 0.05). Based on these results, H1a and H1b are not supported. Openness trust </w:t>
      </w:r>
      <w:r w:rsidRPr="009672FC">
        <w:rPr>
          <w:rFonts w:ascii="Garamond" w:hAnsi="Garamond"/>
          <w:i/>
          <w:iCs/>
          <w:color w:val="000000" w:themeColor="text1"/>
        </w:rPr>
        <w:t>(OTm)</w:t>
      </w:r>
      <w:r w:rsidRPr="009672FC">
        <w:rPr>
          <w:rFonts w:ascii="Garamond" w:hAnsi="Garamond"/>
          <w:color w:val="000000" w:themeColor="text1"/>
        </w:rPr>
        <w:t xml:space="preserve"> significantly predicts both innovation performance </w:t>
      </w:r>
      <w:r w:rsidRPr="009672FC">
        <w:rPr>
          <w:rFonts w:ascii="Garamond" w:hAnsi="Garamond"/>
          <w:i/>
          <w:iCs/>
          <w:color w:val="000000" w:themeColor="text1"/>
        </w:rPr>
        <w:t>(IPm)</w:t>
      </w:r>
      <w:r w:rsidRPr="009672FC">
        <w:rPr>
          <w:rFonts w:ascii="Garamond" w:hAnsi="Garamond"/>
          <w:color w:val="000000" w:themeColor="text1"/>
        </w:rPr>
        <w:t xml:space="preserve"> (H2a: </w:t>
      </w:r>
      <w:r w:rsidRPr="009672FC">
        <w:rPr>
          <w:rFonts w:ascii="Garamond" w:hAnsi="Garamond"/>
          <w:i/>
          <w:iCs/>
          <w:color w:val="000000" w:themeColor="text1"/>
        </w:rPr>
        <w:t>t-value</w:t>
      </w:r>
      <w:r w:rsidRPr="009672FC">
        <w:rPr>
          <w:rFonts w:ascii="Garamond" w:hAnsi="Garamond"/>
          <w:color w:val="000000" w:themeColor="text1"/>
        </w:rPr>
        <w:t xml:space="preserve"> = </w:t>
      </w:r>
      <w:r w:rsidRPr="009672FC">
        <w:rPr>
          <w:rFonts w:ascii="Garamond" w:hAnsi="Garamond"/>
          <w:color w:val="000000"/>
        </w:rPr>
        <w:t xml:space="preserve">2.169, </w:t>
      </w:r>
      <w:r w:rsidRPr="009672FC">
        <w:rPr>
          <w:rFonts w:ascii="Garamond" w:hAnsi="Garamond"/>
          <w:i/>
          <w:iCs/>
          <w:color w:val="000000"/>
        </w:rPr>
        <w:t>p</w:t>
      </w:r>
      <w:r w:rsidRPr="009672FC">
        <w:rPr>
          <w:rFonts w:ascii="Garamond" w:hAnsi="Garamond"/>
          <w:color w:val="000000"/>
        </w:rPr>
        <w:t xml:space="preserve"> &lt; 0.05) and relational risk </w:t>
      </w:r>
      <w:r w:rsidRPr="009672FC">
        <w:rPr>
          <w:rFonts w:ascii="Garamond" w:hAnsi="Garamond"/>
          <w:i/>
          <w:iCs/>
          <w:color w:val="000000"/>
        </w:rPr>
        <w:t>(RRm)</w:t>
      </w:r>
      <w:r w:rsidRPr="009672FC">
        <w:rPr>
          <w:rFonts w:ascii="Garamond" w:hAnsi="Garamond"/>
          <w:color w:val="000000"/>
        </w:rPr>
        <w:t xml:space="preserve"> (H2b: </w:t>
      </w:r>
      <w:r w:rsidRPr="009672FC">
        <w:rPr>
          <w:rFonts w:ascii="Garamond" w:hAnsi="Garamond"/>
          <w:i/>
          <w:iCs/>
          <w:color w:val="000000"/>
        </w:rPr>
        <w:t>t – value</w:t>
      </w:r>
      <w:r w:rsidRPr="009672FC">
        <w:rPr>
          <w:rFonts w:ascii="Garamond" w:hAnsi="Garamond"/>
          <w:color w:val="000000"/>
        </w:rPr>
        <w:t xml:space="preserve"> = 3.760, </w:t>
      </w:r>
      <w:r w:rsidRPr="009672FC">
        <w:rPr>
          <w:rFonts w:ascii="Garamond" w:hAnsi="Garamond"/>
          <w:i/>
          <w:iCs/>
          <w:color w:val="000000"/>
        </w:rPr>
        <w:t>p</w:t>
      </w:r>
      <w:r w:rsidRPr="009672FC">
        <w:rPr>
          <w:rFonts w:ascii="Garamond" w:hAnsi="Garamond"/>
          <w:color w:val="000000"/>
        </w:rPr>
        <w:t xml:space="preserve"> &lt; 0.001), thus confirm H2a and H2b. Moreover, reliability trust </w:t>
      </w:r>
      <w:r w:rsidRPr="009672FC">
        <w:rPr>
          <w:rFonts w:ascii="Garamond" w:hAnsi="Garamond"/>
          <w:i/>
          <w:iCs/>
          <w:color w:val="000000"/>
        </w:rPr>
        <w:t>(RTm)</w:t>
      </w:r>
      <w:r w:rsidRPr="009672FC">
        <w:rPr>
          <w:rFonts w:ascii="Garamond" w:hAnsi="Garamond"/>
          <w:color w:val="000000"/>
        </w:rPr>
        <w:t xml:space="preserve"> was found to have a strong predictive significance on relational risk </w:t>
      </w:r>
      <w:r w:rsidRPr="009672FC">
        <w:rPr>
          <w:rFonts w:ascii="Garamond" w:hAnsi="Garamond"/>
          <w:i/>
          <w:iCs/>
          <w:color w:val="000000"/>
        </w:rPr>
        <w:t>(RRm)</w:t>
      </w:r>
      <w:r w:rsidRPr="009672FC">
        <w:rPr>
          <w:rFonts w:ascii="Garamond" w:hAnsi="Garamond"/>
          <w:color w:val="000000"/>
        </w:rPr>
        <w:t xml:space="preserve"> (H3b: </w:t>
      </w:r>
      <w:r w:rsidRPr="009672FC">
        <w:rPr>
          <w:rFonts w:ascii="Garamond" w:hAnsi="Garamond"/>
          <w:i/>
          <w:iCs/>
          <w:color w:val="000000"/>
        </w:rPr>
        <w:t>t - value</w:t>
      </w:r>
      <w:r w:rsidRPr="009672FC">
        <w:rPr>
          <w:rFonts w:ascii="Garamond" w:hAnsi="Garamond"/>
          <w:color w:val="000000"/>
        </w:rPr>
        <w:t xml:space="preserve"> = 2.138, </w:t>
      </w:r>
      <w:r w:rsidRPr="009672FC">
        <w:rPr>
          <w:rFonts w:ascii="Garamond" w:hAnsi="Garamond"/>
          <w:i/>
          <w:iCs/>
          <w:color w:val="000000"/>
        </w:rPr>
        <w:t>p</w:t>
      </w:r>
      <w:r w:rsidRPr="009672FC">
        <w:rPr>
          <w:rFonts w:ascii="Garamond" w:hAnsi="Garamond"/>
          <w:color w:val="000000"/>
        </w:rPr>
        <w:t xml:space="preserve"> &lt; 0.001) but has no effect on innovation performance </w:t>
      </w:r>
      <w:r w:rsidRPr="009672FC">
        <w:rPr>
          <w:rFonts w:ascii="Garamond" w:hAnsi="Garamond"/>
          <w:i/>
          <w:iCs/>
          <w:color w:val="000000"/>
        </w:rPr>
        <w:t>(IPm)</w:t>
      </w:r>
      <w:r w:rsidRPr="009672FC">
        <w:rPr>
          <w:rFonts w:ascii="Garamond" w:hAnsi="Garamond"/>
          <w:color w:val="000000"/>
        </w:rPr>
        <w:t xml:space="preserve"> (H3a: </w:t>
      </w:r>
      <w:r w:rsidRPr="009672FC">
        <w:rPr>
          <w:rFonts w:ascii="Garamond" w:hAnsi="Garamond"/>
          <w:i/>
          <w:iCs/>
          <w:color w:val="000000"/>
        </w:rPr>
        <w:t>t - value</w:t>
      </w:r>
      <w:r w:rsidRPr="009672FC">
        <w:rPr>
          <w:rFonts w:ascii="Garamond" w:hAnsi="Garamond"/>
          <w:color w:val="000000"/>
        </w:rPr>
        <w:t xml:space="preserve"> = 1.659, </w:t>
      </w:r>
      <w:r w:rsidRPr="009672FC">
        <w:rPr>
          <w:rFonts w:ascii="Garamond" w:hAnsi="Garamond"/>
          <w:i/>
          <w:iCs/>
          <w:color w:val="000000"/>
        </w:rPr>
        <w:t>p</w:t>
      </w:r>
      <w:r w:rsidRPr="009672FC">
        <w:rPr>
          <w:rFonts w:ascii="Garamond" w:hAnsi="Garamond"/>
          <w:color w:val="000000"/>
        </w:rPr>
        <w:t xml:space="preserve"> &gt; 0.05).</w:t>
      </w:r>
    </w:p>
    <w:p w14:paraId="5DCD7426" w14:textId="0D57D8CB" w:rsidR="003D5DE8" w:rsidRPr="000705A7" w:rsidRDefault="00EB5D6B" w:rsidP="00EB5D6B">
      <w:pPr>
        <w:pStyle w:val="Caption"/>
        <w:jc w:val="center"/>
        <w:rPr>
          <w:rFonts w:ascii="Garamond" w:hAnsi="Garamond"/>
          <w:sz w:val="22"/>
          <w:szCs w:val="22"/>
        </w:rPr>
      </w:pPr>
      <w:bookmarkStart w:id="192" w:name="_Toc85711317"/>
      <w:r w:rsidRPr="000705A7">
        <w:rPr>
          <w:rFonts w:ascii="Garamond" w:hAnsi="Garamond"/>
          <w:sz w:val="22"/>
          <w:szCs w:val="22"/>
        </w:rPr>
        <w:t xml:space="preserve">Table </w:t>
      </w:r>
      <w:r w:rsidR="00C10BC3" w:rsidRPr="000705A7">
        <w:rPr>
          <w:rFonts w:ascii="Garamond" w:hAnsi="Garamond"/>
          <w:sz w:val="22"/>
          <w:szCs w:val="22"/>
        </w:rPr>
        <w:fldChar w:fldCharType="begin"/>
      </w:r>
      <w:r w:rsidR="00C10BC3" w:rsidRPr="000705A7">
        <w:rPr>
          <w:rFonts w:ascii="Garamond" w:hAnsi="Garamond"/>
          <w:sz w:val="22"/>
          <w:szCs w:val="22"/>
        </w:rPr>
        <w:instrText xml:space="preserve"> SEQ Table \* ARABIC </w:instrText>
      </w:r>
      <w:r w:rsidR="00C10BC3" w:rsidRPr="000705A7">
        <w:rPr>
          <w:rFonts w:ascii="Garamond" w:hAnsi="Garamond"/>
          <w:sz w:val="22"/>
          <w:szCs w:val="22"/>
        </w:rPr>
        <w:fldChar w:fldCharType="separate"/>
      </w:r>
      <w:r w:rsidR="001C1648">
        <w:rPr>
          <w:rFonts w:ascii="Garamond" w:hAnsi="Garamond"/>
          <w:noProof/>
          <w:sz w:val="22"/>
          <w:szCs w:val="22"/>
        </w:rPr>
        <w:t>10</w:t>
      </w:r>
      <w:r w:rsidR="00C10BC3" w:rsidRPr="000705A7">
        <w:rPr>
          <w:rFonts w:ascii="Garamond" w:hAnsi="Garamond"/>
          <w:noProof/>
          <w:sz w:val="22"/>
          <w:szCs w:val="22"/>
        </w:rPr>
        <w:fldChar w:fldCharType="end"/>
      </w:r>
      <w:r w:rsidRPr="000705A7">
        <w:rPr>
          <w:rFonts w:ascii="Garamond" w:hAnsi="Garamond"/>
          <w:sz w:val="22"/>
          <w:szCs w:val="22"/>
        </w:rPr>
        <w:t>. Path Coefficients/Path Relationships</w:t>
      </w:r>
      <w:bookmarkEnd w:id="192"/>
    </w:p>
    <w:tbl>
      <w:tblPr>
        <w:tblW w:w="4100" w:type="pct"/>
        <w:jc w:val="center"/>
        <w:tblLayout w:type="fixed"/>
        <w:tblLook w:val="04A0" w:firstRow="1" w:lastRow="0" w:firstColumn="1" w:lastColumn="0" w:noHBand="0" w:noVBand="1"/>
      </w:tblPr>
      <w:tblGrid>
        <w:gridCol w:w="2229"/>
        <w:gridCol w:w="524"/>
        <w:gridCol w:w="1633"/>
        <w:gridCol w:w="1041"/>
        <w:gridCol w:w="1717"/>
        <w:gridCol w:w="236"/>
      </w:tblGrid>
      <w:tr w:rsidR="003D5DE8" w:rsidRPr="009672FC" w14:paraId="64EC2563"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2DEDB258"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 Path Relationships</w:t>
            </w:r>
          </w:p>
        </w:tc>
        <w:tc>
          <w:tcPr>
            <w:tcW w:w="548" w:type="dxa"/>
            <w:tcBorders>
              <w:top w:val="single" w:sz="4" w:space="0" w:color="000000"/>
              <w:bottom w:val="single" w:sz="4" w:space="0" w:color="000000"/>
            </w:tcBorders>
            <w:shd w:val="clear" w:color="auto" w:fill="FFFFFF" w:themeFill="background1"/>
          </w:tcPr>
          <w:p w14:paraId="12DF99F6" w14:textId="77777777" w:rsidR="003D5DE8" w:rsidRPr="009672FC" w:rsidRDefault="003D5DE8">
            <w:pPr>
              <w:widowControl w:val="0"/>
              <w:rPr>
                <w:rFonts w:ascii="Garamond" w:hAnsi="Garamond"/>
                <w:b/>
                <w:bCs/>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27222A7E"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T Statistics (|O/STDEV|)</w:t>
            </w:r>
          </w:p>
        </w:tc>
        <w:tc>
          <w:tcPr>
            <w:tcW w:w="1108" w:type="dxa"/>
            <w:tcBorders>
              <w:top w:val="single" w:sz="4" w:space="0" w:color="000000"/>
              <w:bottom w:val="single" w:sz="4" w:space="0" w:color="000000"/>
            </w:tcBorders>
            <w:shd w:val="clear" w:color="auto" w:fill="FFFFFF" w:themeFill="background1"/>
            <w:vAlign w:val="center"/>
          </w:tcPr>
          <w:p w14:paraId="64C4D91F"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P -Values</w:t>
            </w:r>
          </w:p>
        </w:tc>
        <w:tc>
          <w:tcPr>
            <w:tcW w:w="1874" w:type="dxa"/>
            <w:gridSpan w:val="2"/>
            <w:tcBorders>
              <w:top w:val="single" w:sz="4" w:space="0" w:color="000000"/>
              <w:bottom w:val="single" w:sz="4" w:space="0" w:color="000000"/>
            </w:tcBorders>
            <w:shd w:val="clear" w:color="auto" w:fill="FFFFFF" w:themeFill="background1"/>
          </w:tcPr>
          <w:p w14:paraId="6ECA60B0" w14:textId="77777777" w:rsidR="003D5DE8" w:rsidRPr="009672FC" w:rsidRDefault="007549AA">
            <w:pPr>
              <w:widowControl w:val="0"/>
              <w:rPr>
                <w:rFonts w:ascii="Garamond" w:hAnsi="Garamond"/>
                <w:b/>
                <w:bCs/>
                <w:color w:val="000000" w:themeColor="text1"/>
                <w:sz w:val="18"/>
                <w:szCs w:val="18"/>
              </w:rPr>
            </w:pPr>
            <w:r w:rsidRPr="009672FC">
              <w:rPr>
                <w:rFonts w:ascii="Garamond" w:hAnsi="Garamond"/>
                <w:b/>
                <w:bCs/>
                <w:color w:val="000000" w:themeColor="text1"/>
                <w:sz w:val="18"/>
                <w:szCs w:val="18"/>
              </w:rPr>
              <w:t>Decision</w:t>
            </w:r>
          </w:p>
        </w:tc>
      </w:tr>
      <w:tr w:rsidR="003D5DE8" w:rsidRPr="009672FC" w14:paraId="6A931A6E"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5263451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CTm -&gt; IPm</w:t>
            </w:r>
          </w:p>
        </w:tc>
        <w:tc>
          <w:tcPr>
            <w:tcW w:w="548" w:type="dxa"/>
            <w:tcBorders>
              <w:top w:val="single" w:sz="4" w:space="0" w:color="000000"/>
              <w:bottom w:val="single" w:sz="4" w:space="0" w:color="000000"/>
            </w:tcBorders>
            <w:shd w:val="clear" w:color="auto" w:fill="FFFFFF" w:themeFill="background1"/>
          </w:tcPr>
          <w:p w14:paraId="455D91EA"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31B397B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0.631</w:t>
            </w:r>
          </w:p>
        </w:tc>
        <w:tc>
          <w:tcPr>
            <w:tcW w:w="1108" w:type="dxa"/>
            <w:tcBorders>
              <w:top w:val="single" w:sz="4" w:space="0" w:color="000000"/>
              <w:bottom w:val="single" w:sz="4" w:space="0" w:color="000000"/>
            </w:tcBorders>
            <w:shd w:val="clear" w:color="auto" w:fill="FFFFFF" w:themeFill="background1"/>
            <w:vAlign w:val="center"/>
          </w:tcPr>
          <w:p w14:paraId="51CF71C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0.528</w:t>
            </w:r>
          </w:p>
        </w:tc>
        <w:tc>
          <w:tcPr>
            <w:tcW w:w="1874" w:type="dxa"/>
            <w:gridSpan w:val="2"/>
            <w:tcBorders>
              <w:top w:val="single" w:sz="4" w:space="0" w:color="000000"/>
              <w:bottom w:val="single" w:sz="4" w:space="0" w:color="000000"/>
            </w:tcBorders>
            <w:shd w:val="clear" w:color="auto" w:fill="FFFFFF" w:themeFill="background1"/>
            <w:vAlign w:val="center"/>
          </w:tcPr>
          <w:p w14:paraId="1E4C277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w:t>
            </w:r>
          </w:p>
        </w:tc>
      </w:tr>
      <w:tr w:rsidR="003D5DE8" w:rsidRPr="009672FC" w14:paraId="0AC630FC"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2869E71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CTm -&gt; RRm</w:t>
            </w:r>
          </w:p>
        </w:tc>
        <w:tc>
          <w:tcPr>
            <w:tcW w:w="548" w:type="dxa"/>
            <w:tcBorders>
              <w:top w:val="single" w:sz="4" w:space="0" w:color="000000"/>
              <w:bottom w:val="single" w:sz="4" w:space="0" w:color="000000"/>
            </w:tcBorders>
            <w:shd w:val="clear" w:color="auto" w:fill="FFFFFF" w:themeFill="background1"/>
          </w:tcPr>
          <w:p w14:paraId="01D45F17"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4B50AC2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1.616</w:t>
            </w:r>
          </w:p>
        </w:tc>
        <w:tc>
          <w:tcPr>
            <w:tcW w:w="1108" w:type="dxa"/>
            <w:tcBorders>
              <w:top w:val="single" w:sz="4" w:space="0" w:color="000000"/>
              <w:bottom w:val="single" w:sz="4" w:space="0" w:color="000000"/>
            </w:tcBorders>
            <w:shd w:val="clear" w:color="auto" w:fill="FFFFFF" w:themeFill="background1"/>
            <w:vAlign w:val="center"/>
          </w:tcPr>
          <w:p w14:paraId="70E83F5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0.107</w:t>
            </w:r>
          </w:p>
        </w:tc>
        <w:tc>
          <w:tcPr>
            <w:tcW w:w="1874" w:type="dxa"/>
            <w:gridSpan w:val="2"/>
            <w:tcBorders>
              <w:top w:val="single" w:sz="4" w:space="0" w:color="000000"/>
              <w:bottom w:val="single" w:sz="4" w:space="0" w:color="000000"/>
            </w:tcBorders>
            <w:shd w:val="clear" w:color="auto" w:fill="FFFFFF" w:themeFill="background1"/>
            <w:vAlign w:val="center"/>
          </w:tcPr>
          <w:p w14:paraId="18D3A74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w:t>
            </w:r>
          </w:p>
        </w:tc>
      </w:tr>
      <w:tr w:rsidR="003D5DE8" w:rsidRPr="009672FC" w14:paraId="57861131"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7051D84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OTm -&gt; IPm</w:t>
            </w:r>
          </w:p>
        </w:tc>
        <w:tc>
          <w:tcPr>
            <w:tcW w:w="548" w:type="dxa"/>
            <w:tcBorders>
              <w:top w:val="single" w:sz="4" w:space="0" w:color="000000"/>
              <w:bottom w:val="single" w:sz="4" w:space="0" w:color="000000"/>
            </w:tcBorders>
            <w:shd w:val="clear" w:color="auto" w:fill="FFFFFF" w:themeFill="background1"/>
          </w:tcPr>
          <w:p w14:paraId="0EE25C55"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1CFCE23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2.169</w:t>
            </w:r>
          </w:p>
        </w:tc>
        <w:tc>
          <w:tcPr>
            <w:tcW w:w="1108" w:type="dxa"/>
            <w:tcBorders>
              <w:top w:val="single" w:sz="4" w:space="0" w:color="000000"/>
              <w:bottom w:val="single" w:sz="4" w:space="0" w:color="000000"/>
            </w:tcBorders>
            <w:shd w:val="clear" w:color="auto" w:fill="FFFFFF" w:themeFill="background1"/>
            <w:vAlign w:val="center"/>
          </w:tcPr>
          <w:p w14:paraId="2C7E96A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0.031</w:t>
            </w:r>
          </w:p>
        </w:tc>
        <w:tc>
          <w:tcPr>
            <w:tcW w:w="1874" w:type="dxa"/>
            <w:gridSpan w:val="2"/>
            <w:tcBorders>
              <w:top w:val="single" w:sz="4" w:space="0" w:color="000000"/>
              <w:bottom w:val="single" w:sz="4" w:space="0" w:color="000000"/>
            </w:tcBorders>
            <w:shd w:val="clear" w:color="auto" w:fill="FFFFFF" w:themeFill="background1"/>
            <w:vAlign w:val="center"/>
          </w:tcPr>
          <w:p w14:paraId="0F6602C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Supported</w:t>
            </w:r>
          </w:p>
        </w:tc>
      </w:tr>
      <w:tr w:rsidR="003D5DE8" w:rsidRPr="009672FC" w14:paraId="649301EE"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4D4E70C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OTm -&gt; RRm</w:t>
            </w:r>
          </w:p>
        </w:tc>
        <w:tc>
          <w:tcPr>
            <w:tcW w:w="548" w:type="dxa"/>
            <w:tcBorders>
              <w:top w:val="single" w:sz="4" w:space="0" w:color="000000"/>
              <w:bottom w:val="single" w:sz="4" w:space="0" w:color="000000"/>
            </w:tcBorders>
            <w:shd w:val="clear" w:color="auto" w:fill="FFFFFF" w:themeFill="background1"/>
          </w:tcPr>
          <w:p w14:paraId="55492BF4"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7328092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3.760</w:t>
            </w:r>
          </w:p>
        </w:tc>
        <w:tc>
          <w:tcPr>
            <w:tcW w:w="1108" w:type="dxa"/>
            <w:tcBorders>
              <w:top w:val="single" w:sz="4" w:space="0" w:color="000000"/>
              <w:bottom w:val="single" w:sz="4" w:space="0" w:color="000000"/>
            </w:tcBorders>
            <w:shd w:val="clear" w:color="auto" w:fill="FFFFFF" w:themeFill="background1"/>
            <w:vAlign w:val="center"/>
          </w:tcPr>
          <w:p w14:paraId="61F505D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0.000</w:t>
            </w:r>
          </w:p>
        </w:tc>
        <w:tc>
          <w:tcPr>
            <w:tcW w:w="1874" w:type="dxa"/>
            <w:gridSpan w:val="2"/>
            <w:tcBorders>
              <w:top w:val="single" w:sz="4" w:space="0" w:color="000000"/>
              <w:bottom w:val="single" w:sz="4" w:space="0" w:color="000000"/>
            </w:tcBorders>
            <w:shd w:val="clear" w:color="auto" w:fill="FFFFFF" w:themeFill="background1"/>
            <w:vAlign w:val="center"/>
          </w:tcPr>
          <w:p w14:paraId="0FEF260A"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supported</w:t>
            </w:r>
          </w:p>
        </w:tc>
      </w:tr>
      <w:tr w:rsidR="003D5DE8" w:rsidRPr="009672FC" w14:paraId="0ACB8FB9"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76BDFF6B"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RRm -&gt; IPm</w:t>
            </w:r>
          </w:p>
        </w:tc>
        <w:tc>
          <w:tcPr>
            <w:tcW w:w="548" w:type="dxa"/>
            <w:tcBorders>
              <w:top w:val="single" w:sz="4" w:space="0" w:color="000000"/>
              <w:bottom w:val="single" w:sz="4" w:space="0" w:color="000000"/>
            </w:tcBorders>
            <w:shd w:val="clear" w:color="auto" w:fill="FFFFFF" w:themeFill="background1"/>
          </w:tcPr>
          <w:p w14:paraId="71FCA4A7"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0445936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5.490</w:t>
            </w:r>
          </w:p>
        </w:tc>
        <w:tc>
          <w:tcPr>
            <w:tcW w:w="1108" w:type="dxa"/>
            <w:tcBorders>
              <w:top w:val="single" w:sz="4" w:space="0" w:color="000000"/>
              <w:bottom w:val="single" w:sz="4" w:space="0" w:color="000000"/>
            </w:tcBorders>
            <w:shd w:val="clear" w:color="auto" w:fill="FFFFFF" w:themeFill="background1"/>
            <w:vAlign w:val="center"/>
          </w:tcPr>
          <w:p w14:paraId="7C33BBB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0.000</w:t>
            </w:r>
          </w:p>
        </w:tc>
        <w:tc>
          <w:tcPr>
            <w:tcW w:w="1874" w:type="dxa"/>
            <w:gridSpan w:val="2"/>
            <w:tcBorders>
              <w:top w:val="single" w:sz="4" w:space="0" w:color="000000"/>
              <w:bottom w:val="single" w:sz="4" w:space="0" w:color="000000"/>
            </w:tcBorders>
            <w:shd w:val="clear" w:color="auto" w:fill="FFFFFF" w:themeFill="background1"/>
            <w:vAlign w:val="center"/>
          </w:tcPr>
          <w:p w14:paraId="67B44BC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Supported</w:t>
            </w:r>
          </w:p>
        </w:tc>
      </w:tr>
      <w:tr w:rsidR="003D5DE8" w:rsidRPr="009672FC" w14:paraId="1A8EE221"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3E5566CD"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RTm -&gt; IPm</w:t>
            </w:r>
          </w:p>
        </w:tc>
        <w:tc>
          <w:tcPr>
            <w:tcW w:w="548" w:type="dxa"/>
            <w:tcBorders>
              <w:top w:val="single" w:sz="4" w:space="0" w:color="000000"/>
              <w:bottom w:val="single" w:sz="4" w:space="0" w:color="000000"/>
            </w:tcBorders>
            <w:shd w:val="clear" w:color="auto" w:fill="FFFFFF" w:themeFill="background1"/>
          </w:tcPr>
          <w:p w14:paraId="6D55A1F5"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09332BE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1.659</w:t>
            </w:r>
          </w:p>
        </w:tc>
        <w:tc>
          <w:tcPr>
            <w:tcW w:w="1108" w:type="dxa"/>
            <w:tcBorders>
              <w:top w:val="single" w:sz="4" w:space="0" w:color="000000"/>
              <w:bottom w:val="single" w:sz="4" w:space="0" w:color="000000"/>
            </w:tcBorders>
            <w:shd w:val="clear" w:color="auto" w:fill="FFFFFF" w:themeFill="background1"/>
            <w:vAlign w:val="center"/>
          </w:tcPr>
          <w:p w14:paraId="0B27954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0.098</w:t>
            </w:r>
          </w:p>
        </w:tc>
        <w:tc>
          <w:tcPr>
            <w:tcW w:w="1874" w:type="dxa"/>
            <w:gridSpan w:val="2"/>
            <w:tcBorders>
              <w:top w:val="single" w:sz="4" w:space="0" w:color="000000"/>
              <w:bottom w:val="single" w:sz="4" w:space="0" w:color="000000"/>
            </w:tcBorders>
            <w:shd w:val="clear" w:color="auto" w:fill="FFFFFF" w:themeFill="background1"/>
            <w:vAlign w:val="center"/>
          </w:tcPr>
          <w:p w14:paraId="0896C1A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w:t>
            </w:r>
          </w:p>
        </w:tc>
      </w:tr>
      <w:tr w:rsidR="003D5DE8" w:rsidRPr="009672FC" w14:paraId="3D23F210"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7685DF0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RTm -&gt; RRm</w:t>
            </w:r>
          </w:p>
        </w:tc>
        <w:tc>
          <w:tcPr>
            <w:tcW w:w="548" w:type="dxa"/>
            <w:tcBorders>
              <w:top w:val="single" w:sz="4" w:space="0" w:color="000000"/>
              <w:bottom w:val="single" w:sz="4" w:space="0" w:color="000000"/>
            </w:tcBorders>
            <w:shd w:val="clear" w:color="auto" w:fill="FFFFFF" w:themeFill="background1"/>
          </w:tcPr>
          <w:p w14:paraId="08C93376"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29C7E05A"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2.138</w:t>
            </w:r>
          </w:p>
        </w:tc>
        <w:tc>
          <w:tcPr>
            <w:tcW w:w="1108" w:type="dxa"/>
            <w:tcBorders>
              <w:top w:val="single" w:sz="4" w:space="0" w:color="000000"/>
              <w:bottom w:val="single" w:sz="4" w:space="0" w:color="000000"/>
            </w:tcBorders>
            <w:shd w:val="clear" w:color="auto" w:fill="FFFFFF" w:themeFill="background1"/>
            <w:vAlign w:val="center"/>
          </w:tcPr>
          <w:p w14:paraId="73F6B628"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0.033</w:t>
            </w:r>
          </w:p>
        </w:tc>
        <w:tc>
          <w:tcPr>
            <w:tcW w:w="1874" w:type="dxa"/>
            <w:gridSpan w:val="2"/>
            <w:tcBorders>
              <w:top w:val="single" w:sz="4" w:space="0" w:color="000000"/>
              <w:bottom w:val="single" w:sz="4" w:space="0" w:color="000000"/>
            </w:tcBorders>
            <w:shd w:val="clear" w:color="auto" w:fill="FFFFFF" w:themeFill="background1"/>
            <w:vAlign w:val="center"/>
          </w:tcPr>
          <w:p w14:paraId="5AB7181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Supported</w:t>
            </w:r>
          </w:p>
        </w:tc>
      </w:tr>
      <w:tr w:rsidR="003D5DE8" w:rsidRPr="009672FC" w14:paraId="141C6BC1"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270A232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SITm -&gt; IPm</w:t>
            </w:r>
          </w:p>
        </w:tc>
        <w:tc>
          <w:tcPr>
            <w:tcW w:w="548" w:type="dxa"/>
            <w:tcBorders>
              <w:top w:val="single" w:sz="4" w:space="0" w:color="000000"/>
              <w:bottom w:val="single" w:sz="4" w:space="0" w:color="000000"/>
            </w:tcBorders>
            <w:shd w:val="clear" w:color="auto" w:fill="FFFFFF" w:themeFill="background1"/>
          </w:tcPr>
          <w:p w14:paraId="4AF2A897"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5A3A8F82"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2.093</w:t>
            </w:r>
          </w:p>
        </w:tc>
        <w:tc>
          <w:tcPr>
            <w:tcW w:w="1108" w:type="dxa"/>
            <w:tcBorders>
              <w:top w:val="single" w:sz="4" w:space="0" w:color="000000"/>
              <w:bottom w:val="single" w:sz="4" w:space="0" w:color="000000"/>
            </w:tcBorders>
            <w:shd w:val="clear" w:color="auto" w:fill="FFFFFF" w:themeFill="background1"/>
            <w:vAlign w:val="center"/>
          </w:tcPr>
          <w:p w14:paraId="13A0423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0.037</w:t>
            </w:r>
          </w:p>
        </w:tc>
        <w:tc>
          <w:tcPr>
            <w:tcW w:w="1874" w:type="dxa"/>
            <w:gridSpan w:val="2"/>
            <w:tcBorders>
              <w:top w:val="single" w:sz="4" w:space="0" w:color="000000"/>
              <w:bottom w:val="single" w:sz="4" w:space="0" w:color="000000"/>
            </w:tcBorders>
            <w:shd w:val="clear" w:color="auto" w:fill="FFFFFF" w:themeFill="background1"/>
            <w:vAlign w:val="center"/>
          </w:tcPr>
          <w:p w14:paraId="06194FF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Supported</w:t>
            </w:r>
          </w:p>
        </w:tc>
      </w:tr>
      <w:tr w:rsidR="003D5DE8" w:rsidRPr="009672FC" w14:paraId="33444AC2"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215E7C1E"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SITm -&gt; RRm</w:t>
            </w:r>
          </w:p>
        </w:tc>
        <w:tc>
          <w:tcPr>
            <w:tcW w:w="548" w:type="dxa"/>
            <w:tcBorders>
              <w:top w:val="single" w:sz="4" w:space="0" w:color="000000"/>
              <w:bottom w:val="single" w:sz="4" w:space="0" w:color="000000"/>
            </w:tcBorders>
            <w:shd w:val="clear" w:color="auto" w:fill="FFFFFF" w:themeFill="background1"/>
          </w:tcPr>
          <w:p w14:paraId="40CC5CCC" w14:textId="77777777" w:rsidR="003D5DE8" w:rsidRPr="009672FC" w:rsidRDefault="003D5DE8">
            <w:pPr>
              <w:widowControl w:val="0"/>
              <w:jc w:val="center"/>
              <w:rPr>
                <w:rFonts w:ascii="Garamond" w:hAnsi="Garamond"/>
                <w:color w:val="000000" w:themeColor="text1"/>
                <w:sz w:val="18"/>
                <w:szCs w:val="18"/>
              </w:rPr>
            </w:pPr>
          </w:p>
        </w:tc>
        <w:tc>
          <w:tcPr>
            <w:tcW w:w="1749" w:type="dxa"/>
            <w:tcBorders>
              <w:top w:val="single" w:sz="4" w:space="0" w:color="000000"/>
              <w:bottom w:val="single" w:sz="4" w:space="0" w:color="000000"/>
            </w:tcBorders>
            <w:shd w:val="clear" w:color="auto" w:fill="FFFFFF" w:themeFill="background1"/>
            <w:vAlign w:val="center"/>
          </w:tcPr>
          <w:p w14:paraId="7B10C60A"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0.146</w:t>
            </w:r>
          </w:p>
        </w:tc>
        <w:tc>
          <w:tcPr>
            <w:tcW w:w="1108" w:type="dxa"/>
            <w:tcBorders>
              <w:top w:val="single" w:sz="4" w:space="0" w:color="000000"/>
              <w:bottom w:val="single" w:sz="4" w:space="0" w:color="000000"/>
            </w:tcBorders>
            <w:shd w:val="clear" w:color="auto" w:fill="FFFFFF" w:themeFill="background1"/>
            <w:vAlign w:val="center"/>
          </w:tcPr>
          <w:p w14:paraId="4D8A55D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0.884</w:t>
            </w:r>
          </w:p>
        </w:tc>
        <w:tc>
          <w:tcPr>
            <w:tcW w:w="1874" w:type="dxa"/>
            <w:gridSpan w:val="2"/>
            <w:tcBorders>
              <w:top w:val="single" w:sz="4" w:space="0" w:color="000000"/>
              <w:bottom w:val="single" w:sz="4" w:space="0" w:color="000000"/>
            </w:tcBorders>
            <w:shd w:val="clear" w:color="auto" w:fill="FFFFFF" w:themeFill="background1"/>
            <w:vAlign w:val="center"/>
          </w:tcPr>
          <w:p w14:paraId="4F0CA5DF"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w:t>
            </w:r>
          </w:p>
        </w:tc>
      </w:tr>
      <w:tr w:rsidR="003D5DE8" w:rsidRPr="009672FC" w14:paraId="6F1CD5A0"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5DF4B9C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RTm -&gt; RRm -&gt; IPm</w:t>
            </w:r>
          </w:p>
        </w:tc>
        <w:tc>
          <w:tcPr>
            <w:tcW w:w="2297" w:type="dxa"/>
            <w:gridSpan w:val="2"/>
            <w:tcBorders>
              <w:top w:val="single" w:sz="4" w:space="0" w:color="000000"/>
              <w:bottom w:val="single" w:sz="4" w:space="0" w:color="000000"/>
            </w:tcBorders>
            <w:shd w:val="clear" w:color="auto" w:fill="FFFFFF" w:themeFill="background1"/>
            <w:vAlign w:val="center"/>
          </w:tcPr>
          <w:p w14:paraId="10882E89"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xml:space="preserve">           2.003</w:t>
            </w:r>
          </w:p>
        </w:tc>
        <w:tc>
          <w:tcPr>
            <w:tcW w:w="1108" w:type="dxa"/>
            <w:tcBorders>
              <w:top w:val="single" w:sz="4" w:space="0" w:color="000000"/>
              <w:bottom w:val="single" w:sz="4" w:space="0" w:color="000000"/>
            </w:tcBorders>
            <w:shd w:val="clear" w:color="auto" w:fill="FFFFFF" w:themeFill="background1"/>
            <w:vAlign w:val="center"/>
          </w:tcPr>
          <w:p w14:paraId="536E016E"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0.046</w:t>
            </w:r>
          </w:p>
        </w:tc>
        <w:tc>
          <w:tcPr>
            <w:tcW w:w="1840" w:type="dxa"/>
            <w:tcBorders>
              <w:top w:val="single" w:sz="4" w:space="0" w:color="000000"/>
              <w:bottom w:val="single" w:sz="4" w:space="0" w:color="000000"/>
            </w:tcBorders>
            <w:shd w:val="clear" w:color="auto" w:fill="FFFFFF" w:themeFill="background1"/>
          </w:tcPr>
          <w:p w14:paraId="3E39B3A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Full mediation</w:t>
            </w:r>
          </w:p>
        </w:tc>
        <w:tc>
          <w:tcPr>
            <w:tcW w:w="34" w:type="dxa"/>
          </w:tcPr>
          <w:p w14:paraId="46ACD2B9" w14:textId="77777777" w:rsidR="003D5DE8" w:rsidRPr="009672FC" w:rsidRDefault="003D5DE8">
            <w:pPr>
              <w:widowControl w:val="0"/>
              <w:rPr>
                <w:rFonts w:ascii="Garamond" w:hAnsi="Garamond"/>
              </w:rPr>
            </w:pPr>
          </w:p>
        </w:tc>
      </w:tr>
      <w:tr w:rsidR="003D5DE8" w:rsidRPr="009672FC" w14:paraId="4E14E67F"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403C53D6"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SITm -&gt; RRm -&gt; IPm</w:t>
            </w:r>
          </w:p>
        </w:tc>
        <w:tc>
          <w:tcPr>
            <w:tcW w:w="2297" w:type="dxa"/>
            <w:gridSpan w:val="2"/>
            <w:tcBorders>
              <w:top w:val="single" w:sz="4" w:space="0" w:color="000000"/>
              <w:bottom w:val="single" w:sz="4" w:space="0" w:color="000000"/>
            </w:tcBorders>
            <w:shd w:val="clear" w:color="auto" w:fill="FFFFFF" w:themeFill="background1"/>
            <w:vAlign w:val="center"/>
          </w:tcPr>
          <w:p w14:paraId="65690431"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xml:space="preserve">           0.146</w:t>
            </w:r>
          </w:p>
        </w:tc>
        <w:tc>
          <w:tcPr>
            <w:tcW w:w="1108" w:type="dxa"/>
            <w:tcBorders>
              <w:top w:val="single" w:sz="4" w:space="0" w:color="000000"/>
              <w:bottom w:val="single" w:sz="4" w:space="0" w:color="000000"/>
            </w:tcBorders>
            <w:shd w:val="clear" w:color="auto" w:fill="FFFFFF" w:themeFill="background1"/>
            <w:vAlign w:val="center"/>
          </w:tcPr>
          <w:p w14:paraId="08D2C8A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0.884</w:t>
            </w:r>
          </w:p>
        </w:tc>
        <w:tc>
          <w:tcPr>
            <w:tcW w:w="1840" w:type="dxa"/>
            <w:tcBorders>
              <w:top w:val="single" w:sz="4" w:space="0" w:color="000000"/>
              <w:bottom w:val="single" w:sz="4" w:space="0" w:color="000000"/>
            </w:tcBorders>
            <w:shd w:val="clear" w:color="auto" w:fill="FFFFFF" w:themeFill="background1"/>
          </w:tcPr>
          <w:p w14:paraId="1967B9D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No mediation</w:t>
            </w:r>
          </w:p>
        </w:tc>
        <w:tc>
          <w:tcPr>
            <w:tcW w:w="34" w:type="dxa"/>
          </w:tcPr>
          <w:p w14:paraId="3B51D994" w14:textId="77777777" w:rsidR="003D5DE8" w:rsidRPr="009672FC" w:rsidRDefault="003D5DE8">
            <w:pPr>
              <w:widowControl w:val="0"/>
              <w:rPr>
                <w:rFonts w:ascii="Garamond" w:hAnsi="Garamond"/>
              </w:rPr>
            </w:pPr>
          </w:p>
        </w:tc>
      </w:tr>
      <w:tr w:rsidR="003D5DE8" w:rsidRPr="009672FC" w14:paraId="565777A4"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12DB66EA"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CTm -&gt; RRm -&gt; IPm</w:t>
            </w:r>
          </w:p>
        </w:tc>
        <w:tc>
          <w:tcPr>
            <w:tcW w:w="2297" w:type="dxa"/>
            <w:gridSpan w:val="2"/>
            <w:tcBorders>
              <w:top w:val="single" w:sz="4" w:space="0" w:color="000000"/>
              <w:bottom w:val="single" w:sz="4" w:space="0" w:color="000000"/>
            </w:tcBorders>
            <w:shd w:val="clear" w:color="auto" w:fill="FFFFFF" w:themeFill="background1"/>
            <w:vAlign w:val="center"/>
          </w:tcPr>
          <w:p w14:paraId="0607CB25"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xml:space="preserve">           1.495</w:t>
            </w:r>
          </w:p>
        </w:tc>
        <w:tc>
          <w:tcPr>
            <w:tcW w:w="1108" w:type="dxa"/>
            <w:tcBorders>
              <w:top w:val="single" w:sz="4" w:space="0" w:color="000000"/>
              <w:bottom w:val="single" w:sz="4" w:space="0" w:color="000000"/>
            </w:tcBorders>
            <w:shd w:val="clear" w:color="auto" w:fill="FFFFFF" w:themeFill="background1"/>
            <w:vAlign w:val="center"/>
          </w:tcPr>
          <w:p w14:paraId="7408FD64"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0.136</w:t>
            </w:r>
          </w:p>
        </w:tc>
        <w:tc>
          <w:tcPr>
            <w:tcW w:w="1840" w:type="dxa"/>
            <w:tcBorders>
              <w:top w:val="single" w:sz="4" w:space="0" w:color="000000"/>
              <w:bottom w:val="single" w:sz="4" w:space="0" w:color="000000"/>
            </w:tcBorders>
            <w:shd w:val="clear" w:color="auto" w:fill="FFFFFF" w:themeFill="background1"/>
          </w:tcPr>
          <w:p w14:paraId="17EDD2F3"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Partial mediation</w:t>
            </w:r>
          </w:p>
        </w:tc>
        <w:tc>
          <w:tcPr>
            <w:tcW w:w="34" w:type="dxa"/>
          </w:tcPr>
          <w:p w14:paraId="19C2843A" w14:textId="77777777" w:rsidR="003D5DE8" w:rsidRPr="009672FC" w:rsidRDefault="003D5DE8">
            <w:pPr>
              <w:widowControl w:val="0"/>
              <w:rPr>
                <w:rFonts w:ascii="Garamond" w:hAnsi="Garamond"/>
              </w:rPr>
            </w:pPr>
          </w:p>
        </w:tc>
      </w:tr>
      <w:tr w:rsidR="003D5DE8" w:rsidRPr="009672FC" w14:paraId="29ABEE18" w14:textId="77777777">
        <w:trPr>
          <w:trHeight w:val="300"/>
          <w:jc w:val="center"/>
        </w:trPr>
        <w:tc>
          <w:tcPr>
            <w:tcW w:w="2396" w:type="dxa"/>
            <w:tcBorders>
              <w:top w:val="single" w:sz="4" w:space="0" w:color="000000"/>
              <w:bottom w:val="single" w:sz="4" w:space="0" w:color="000000"/>
            </w:tcBorders>
            <w:shd w:val="clear" w:color="auto" w:fill="FFFFFF" w:themeFill="background1"/>
            <w:vAlign w:val="center"/>
          </w:tcPr>
          <w:p w14:paraId="7495AED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OTm -&gt; RRm -&gt; IPm</w:t>
            </w:r>
          </w:p>
        </w:tc>
        <w:tc>
          <w:tcPr>
            <w:tcW w:w="2297" w:type="dxa"/>
            <w:gridSpan w:val="2"/>
            <w:tcBorders>
              <w:top w:val="single" w:sz="4" w:space="0" w:color="000000"/>
              <w:bottom w:val="single" w:sz="4" w:space="0" w:color="000000"/>
            </w:tcBorders>
            <w:shd w:val="clear" w:color="auto" w:fill="FFFFFF" w:themeFill="background1"/>
            <w:vAlign w:val="center"/>
          </w:tcPr>
          <w:p w14:paraId="2D62176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xml:space="preserve">           3.161</w:t>
            </w:r>
          </w:p>
        </w:tc>
        <w:tc>
          <w:tcPr>
            <w:tcW w:w="1108" w:type="dxa"/>
            <w:tcBorders>
              <w:top w:val="single" w:sz="4" w:space="0" w:color="000000"/>
              <w:bottom w:val="single" w:sz="4" w:space="0" w:color="000000"/>
            </w:tcBorders>
            <w:shd w:val="clear" w:color="auto" w:fill="FFFFFF" w:themeFill="background1"/>
            <w:vAlign w:val="center"/>
          </w:tcPr>
          <w:p w14:paraId="27295A7C"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0.002</w:t>
            </w:r>
          </w:p>
        </w:tc>
        <w:tc>
          <w:tcPr>
            <w:tcW w:w="1840" w:type="dxa"/>
            <w:tcBorders>
              <w:top w:val="single" w:sz="4" w:space="0" w:color="000000"/>
              <w:bottom w:val="single" w:sz="4" w:space="0" w:color="000000"/>
            </w:tcBorders>
            <w:shd w:val="clear" w:color="auto" w:fill="FFFFFF" w:themeFill="background1"/>
          </w:tcPr>
          <w:p w14:paraId="78810F20" w14:textId="77777777" w:rsidR="003D5DE8" w:rsidRPr="009672FC" w:rsidRDefault="007549AA">
            <w:pPr>
              <w:widowControl w:val="0"/>
              <w:rPr>
                <w:rFonts w:ascii="Garamond" w:hAnsi="Garamond"/>
                <w:color w:val="000000" w:themeColor="text1"/>
                <w:sz w:val="18"/>
                <w:szCs w:val="18"/>
              </w:rPr>
            </w:pPr>
            <w:r w:rsidRPr="009672FC">
              <w:rPr>
                <w:rFonts w:ascii="Garamond" w:hAnsi="Garamond"/>
                <w:color w:val="000000" w:themeColor="text1"/>
                <w:sz w:val="18"/>
                <w:szCs w:val="18"/>
              </w:rPr>
              <w:t xml:space="preserve">Full mediation </w:t>
            </w:r>
          </w:p>
        </w:tc>
        <w:tc>
          <w:tcPr>
            <w:tcW w:w="34" w:type="dxa"/>
          </w:tcPr>
          <w:p w14:paraId="0A2E34CA" w14:textId="77777777" w:rsidR="003D5DE8" w:rsidRPr="009672FC" w:rsidRDefault="003D5DE8">
            <w:pPr>
              <w:widowControl w:val="0"/>
              <w:rPr>
                <w:rFonts w:ascii="Garamond" w:hAnsi="Garamond"/>
              </w:rPr>
            </w:pPr>
          </w:p>
        </w:tc>
      </w:tr>
    </w:tbl>
    <w:p w14:paraId="43D9D7D9" w14:textId="77777777" w:rsidR="003D5DE8" w:rsidRPr="009672FC" w:rsidRDefault="007549AA">
      <w:pPr>
        <w:tabs>
          <w:tab w:val="left" w:pos="1060"/>
        </w:tabs>
        <w:jc w:val="center"/>
        <w:rPr>
          <w:rFonts w:ascii="Garamond" w:hAnsi="Garamond"/>
          <w:sz w:val="18"/>
          <w:szCs w:val="18"/>
        </w:rPr>
      </w:pPr>
      <w:r w:rsidRPr="009672FC">
        <w:rPr>
          <w:rFonts w:ascii="Garamond" w:hAnsi="Garamond"/>
          <w:sz w:val="18"/>
          <w:szCs w:val="18"/>
        </w:rPr>
        <w:t>Sourced, primary data, June 2021, Smart-PLS output (</w:t>
      </w:r>
      <w:proofErr w:type="spellStart"/>
      <w:r w:rsidRPr="009672FC">
        <w:rPr>
          <w:rFonts w:ascii="Garamond" w:hAnsi="Garamond"/>
          <w:sz w:val="18"/>
          <w:szCs w:val="18"/>
        </w:rPr>
        <w:t>Henseler</w:t>
      </w:r>
      <w:proofErr w:type="spellEnd"/>
      <w:r w:rsidRPr="009672FC">
        <w:rPr>
          <w:rFonts w:ascii="Garamond" w:hAnsi="Garamond"/>
          <w:sz w:val="18"/>
          <w:szCs w:val="18"/>
        </w:rPr>
        <w:t xml:space="preserve">, </w:t>
      </w:r>
      <w:proofErr w:type="spellStart"/>
      <w:r w:rsidRPr="009672FC">
        <w:rPr>
          <w:rFonts w:ascii="Garamond" w:hAnsi="Garamond"/>
          <w:sz w:val="18"/>
          <w:szCs w:val="18"/>
        </w:rPr>
        <w:t>Ringle</w:t>
      </w:r>
      <w:proofErr w:type="spellEnd"/>
      <w:r w:rsidRPr="009672FC">
        <w:rPr>
          <w:rFonts w:ascii="Garamond" w:hAnsi="Garamond"/>
          <w:sz w:val="18"/>
          <w:szCs w:val="18"/>
        </w:rPr>
        <w:t xml:space="preserve"> &amp; </w:t>
      </w:r>
      <w:proofErr w:type="spellStart"/>
      <w:r w:rsidRPr="009672FC">
        <w:rPr>
          <w:rFonts w:ascii="Garamond" w:hAnsi="Garamond"/>
          <w:sz w:val="18"/>
          <w:szCs w:val="18"/>
        </w:rPr>
        <w:t>Sarstedt</w:t>
      </w:r>
      <w:proofErr w:type="spellEnd"/>
      <w:r w:rsidRPr="009672FC">
        <w:rPr>
          <w:rFonts w:ascii="Garamond" w:hAnsi="Garamond"/>
          <w:sz w:val="18"/>
          <w:szCs w:val="18"/>
        </w:rPr>
        <w:t xml:space="preserve">, 2015). </w:t>
      </w:r>
    </w:p>
    <w:p w14:paraId="173A8477" w14:textId="77777777" w:rsidR="003D5DE8" w:rsidRPr="009672FC" w:rsidRDefault="007549AA">
      <w:pPr>
        <w:jc w:val="center"/>
        <w:rPr>
          <w:rFonts w:ascii="Garamond" w:hAnsi="Garamond"/>
          <w:color w:val="000000" w:themeColor="text1"/>
        </w:rPr>
      </w:pPr>
      <w:r w:rsidRPr="009672FC">
        <w:rPr>
          <w:rFonts w:ascii="Garamond" w:hAnsi="Garamond"/>
          <w:sz w:val="18"/>
          <w:szCs w:val="18"/>
        </w:rPr>
        <w:t xml:space="preserve">Note: </w:t>
      </w:r>
      <w:r w:rsidRPr="009672FC">
        <w:rPr>
          <w:rFonts w:ascii="Garamond" w:hAnsi="Garamond"/>
          <w:i/>
          <w:iCs/>
          <w:sz w:val="18"/>
          <w:szCs w:val="18"/>
        </w:rPr>
        <w:t>*** Significant at .000 level; ** significant at .01 (2 tailed); * significant at .05 (2 tailed); ^ significant at .1 (2 tailed)</w:t>
      </w:r>
      <w:r w:rsidRPr="009672FC">
        <w:rPr>
          <w:rFonts w:ascii="Garamond" w:hAnsi="Garamond"/>
          <w:color w:val="000000"/>
        </w:rPr>
        <w:t>.</w:t>
      </w:r>
    </w:p>
    <w:p w14:paraId="7E5924DA" w14:textId="77777777" w:rsidR="00890FB2" w:rsidRPr="009672FC" w:rsidRDefault="007549AA" w:rsidP="00890FB2">
      <w:pPr>
        <w:spacing w:before="240" w:line="360" w:lineRule="auto"/>
        <w:jc w:val="both"/>
        <w:rPr>
          <w:rFonts w:ascii="Garamond" w:hAnsi="Garamond"/>
          <w:color w:val="000000"/>
        </w:rPr>
      </w:pPr>
      <w:r w:rsidRPr="009672FC">
        <w:rPr>
          <w:rFonts w:ascii="Garamond" w:hAnsi="Garamond"/>
          <w:color w:val="000000"/>
        </w:rPr>
        <w:t xml:space="preserve">Accordingly, H3b is supported while H3a is not supported. While similarity/identification trust </w:t>
      </w:r>
      <w:r w:rsidRPr="009672FC">
        <w:rPr>
          <w:rFonts w:ascii="Garamond" w:hAnsi="Garamond"/>
          <w:i/>
          <w:iCs/>
          <w:color w:val="000000"/>
        </w:rPr>
        <w:t>(SITm)</w:t>
      </w:r>
      <w:r w:rsidRPr="009672FC">
        <w:rPr>
          <w:rFonts w:ascii="Garamond" w:hAnsi="Garamond"/>
          <w:color w:val="000000"/>
        </w:rPr>
        <w:t xml:space="preserve"> is a strong, positive predictor of innovation performance (H4a: </w:t>
      </w:r>
      <w:r w:rsidRPr="009672FC">
        <w:rPr>
          <w:rFonts w:ascii="Garamond" w:hAnsi="Garamond"/>
          <w:i/>
          <w:iCs/>
          <w:color w:val="000000"/>
        </w:rPr>
        <w:t>t – value</w:t>
      </w:r>
      <w:r w:rsidRPr="009672FC">
        <w:rPr>
          <w:rFonts w:ascii="Garamond" w:hAnsi="Garamond"/>
          <w:color w:val="000000"/>
        </w:rPr>
        <w:t xml:space="preserve"> = 2.093, </w:t>
      </w:r>
      <w:r w:rsidRPr="009672FC">
        <w:rPr>
          <w:rFonts w:ascii="Garamond" w:hAnsi="Garamond"/>
          <w:i/>
          <w:iCs/>
          <w:color w:val="000000"/>
        </w:rPr>
        <w:t>p</w:t>
      </w:r>
      <w:r w:rsidRPr="009672FC">
        <w:rPr>
          <w:rFonts w:ascii="Garamond" w:hAnsi="Garamond"/>
          <w:color w:val="000000"/>
        </w:rPr>
        <w:t xml:space="preserve"> &lt; 0.05), </w:t>
      </w:r>
      <w:r w:rsidRPr="009672FC">
        <w:rPr>
          <w:rFonts w:ascii="Garamond" w:hAnsi="Garamond"/>
          <w:i/>
          <w:iCs/>
          <w:color w:val="000000"/>
        </w:rPr>
        <w:t>SITm</w:t>
      </w:r>
      <w:r w:rsidRPr="009672FC">
        <w:rPr>
          <w:rFonts w:ascii="Garamond" w:hAnsi="Garamond"/>
          <w:color w:val="000000"/>
        </w:rPr>
        <w:t xml:space="preserve"> has no effect on the relational risk </w:t>
      </w:r>
      <w:r w:rsidRPr="009672FC">
        <w:rPr>
          <w:rFonts w:ascii="Garamond" w:hAnsi="Garamond"/>
          <w:i/>
          <w:iCs/>
          <w:color w:val="000000"/>
        </w:rPr>
        <w:t>(RRm)</w:t>
      </w:r>
      <w:r w:rsidRPr="009672FC">
        <w:rPr>
          <w:rFonts w:ascii="Garamond" w:hAnsi="Garamond"/>
          <w:color w:val="000000"/>
        </w:rPr>
        <w:t xml:space="preserve"> (H4b: </w:t>
      </w:r>
      <w:r w:rsidRPr="009672FC">
        <w:rPr>
          <w:rFonts w:ascii="Garamond" w:hAnsi="Garamond"/>
          <w:i/>
          <w:iCs/>
          <w:color w:val="000000"/>
        </w:rPr>
        <w:t>t - value</w:t>
      </w:r>
      <w:r w:rsidRPr="009672FC">
        <w:rPr>
          <w:rFonts w:ascii="Garamond" w:hAnsi="Garamond"/>
          <w:color w:val="000000"/>
        </w:rPr>
        <w:t xml:space="preserve"> = 0.146, </w:t>
      </w:r>
      <w:r w:rsidRPr="009672FC">
        <w:rPr>
          <w:rFonts w:ascii="Garamond" w:hAnsi="Garamond"/>
          <w:i/>
          <w:iCs/>
          <w:color w:val="000000"/>
        </w:rPr>
        <w:t>p</w:t>
      </w:r>
      <w:r w:rsidRPr="009672FC">
        <w:rPr>
          <w:rFonts w:ascii="Garamond" w:hAnsi="Garamond"/>
          <w:color w:val="000000"/>
        </w:rPr>
        <w:t xml:space="preserve"> &gt; 0.05). Accordingly, H4a is supported while H4b fails to accept. Relational risk </w:t>
      </w:r>
      <w:r w:rsidRPr="009672FC">
        <w:rPr>
          <w:rFonts w:ascii="Garamond" w:hAnsi="Garamond"/>
          <w:i/>
          <w:iCs/>
          <w:color w:val="000000"/>
        </w:rPr>
        <w:t xml:space="preserve">(RRm) </w:t>
      </w:r>
      <w:r w:rsidRPr="009672FC">
        <w:rPr>
          <w:rFonts w:ascii="Garamond" w:hAnsi="Garamond"/>
          <w:color w:val="000000"/>
        </w:rPr>
        <w:t xml:space="preserve">was found to have strong, positive effect on innovation performance </w:t>
      </w:r>
      <w:r w:rsidRPr="009672FC">
        <w:rPr>
          <w:rFonts w:ascii="Garamond" w:hAnsi="Garamond"/>
          <w:i/>
          <w:iCs/>
          <w:color w:val="000000"/>
        </w:rPr>
        <w:t xml:space="preserve">(IPm) </w:t>
      </w:r>
      <w:r w:rsidRPr="009672FC">
        <w:rPr>
          <w:rFonts w:ascii="Garamond" w:hAnsi="Garamond"/>
          <w:color w:val="000000"/>
        </w:rPr>
        <w:t xml:space="preserve">(H5: </w:t>
      </w:r>
      <w:r w:rsidRPr="009672FC">
        <w:rPr>
          <w:rFonts w:ascii="Garamond" w:hAnsi="Garamond"/>
          <w:i/>
          <w:iCs/>
          <w:color w:val="000000"/>
        </w:rPr>
        <w:t>t – value</w:t>
      </w:r>
      <w:r w:rsidRPr="009672FC">
        <w:rPr>
          <w:rFonts w:ascii="Garamond" w:hAnsi="Garamond"/>
          <w:color w:val="000000"/>
        </w:rPr>
        <w:t xml:space="preserve"> = 5.490, </w:t>
      </w:r>
      <w:r w:rsidRPr="009672FC">
        <w:rPr>
          <w:rFonts w:ascii="Garamond" w:hAnsi="Garamond"/>
          <w:i/>
          <w:iCs/>
          <w:color w:val="000000"/>
        </w:rPr>
        <w:t>p</w:t>
      </w:r>
      <w:r w:rsidRPr="009672FC">
        <w:rPr>
          <w:rFonts w:ascii="Garamond" w:hAnsi="Garamond"/>
          <w:color w:val="000000"/>
        </w:rPr>
        <w:t xml:space="preserve"> &lt; 0.001), thus confirms H5.</w:t>
      </w:r>
      <w:r w:rsidR="00890FB2" w:rsidRPr="009672FC">
        <w:rPr>
          <w:rFonts w:ascii="Garamond" w:hAnsi="Garamond"/>
          <w:color w:val="000000"/>
        </w:rPr>
        <w:t xml:space="preserve"> </w:t>
      </w:r>
    </w:p>
    <w:p w14:paraId="2D111929" w14:textId="01D25D7D" w:rsidR="003D5DE8" w:rsidRPr="009672FC" w:rsidRDefault="007549AA" w:rsidP="000705A7">
      <w:pPr>
        <w:spacing w:line="360" w:lineRule="auto"/>
        <w:jc w:val="both"/>
        <w:rPr>
          <w:rFonts w:ascii="Garamond" w:hAnsi="Garamond"/>
          <w:color w:val="000000"/>
        </w:rPr>
      </w:pPr>
      <w:r w:rsidRPr="009672FC">
        <w:rPr>
          <w:rFonts w:ascii="Garamond" w:hAnsi="Garamond"/>
          <w:color w:val="000000"/>
        </w:rPr>
        <w:t xml:space="preserve">Furthermore, the hypothesized effects of mediating variables (Relational risk) on the relationship between institutional trust factors and innovation performance was evaluated. The analysis of indirect relationships in a structural inner model attracts high research interest. In fact, </w:t>
      </w:r>
      <w:r w:rsidRPr="009672FC">
        <w:rPr>
          <w:rFonts w:ascii="Garamond" w:hAnsi="Garamond"/>
        </w:rPr>
        <w:fldChar w:fldCharType="begin" w:fldLock="1"/>
      </w:r>
      <w:r w:rsidRPr="009672FC">
        <w:rPr>
          <w:rFonts w:ascii="Garamond" w:hAnsi="Garamond"/>
          <w:color w:val="000000"/>
        </w:rPr>
        <w:instrText>ADDIN CSL_CITATION {"citationItems":[{"id":"ITEM-1","itemData":{"DOI":"10.1108/S1474-7979(2009)0000020014","ISSN":"14747979","author":[{"dropping-particle":"","family":"Henseler","given":"Jörg","non-dropping-particle":"","parse-names":false,"suffix":""},{"dropping-particle":"","family":"Ringle","given":"Christian M.","non-dropping-particle":"","parse-names":false,"suffix":""},{"dropping-particle":"","family":"Sinkovics","given":"Rudolf R.","non-dropping-particle":"","parse-names":false,"suffix":""}],"container-title":"Advances in International Marketing","id":"ITEM-1","issue":"May 2014","issued":{"date-parts":[["2009"]]},"page":"277-319","title":"The use of partial least squares path modeling in international marketing","type":"article-journal","volume":"20"},"uris":["http://www.mendeley.com/documents/?uuid=7e96eb1d-89c6-431f-af5d-586cc66ffbf8"]}],"mendeley":{"formattedCitation":"(Henseler et al., 2009)","manualFormatting":"Henseler, Ringle and Sinkovics (2009, pp.304)","plainTextFormattedCitation":"(Henseler et al., 2009)","previouslyFormattedCitation":"(Henseler et al.,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Henseler, Ringle and Sinkovics (2009, pp.304)</w:t>
      </w:r>
      <w:r w:rsidRPr="009672FC">
        <w:rPr>
          <w:rFonts w:ascii="Garamond" w:hAnsi="Garamond"/>
          <w:color w:val="000000"/>
        </w:rPr>
        <w:fldChar w:fldCharType="end"/>
      </w:r>
      <w:r w:rsidRPr="009672FC">
        <w:rPr>
          <w:rFonts w:ascii="Garamond" w:hAnsi="Garamond"/>
          <w:color w:val="000000"/>
        </w:rPr>
        <w:t xml:space="preserve"> argue that indirect effects of latent variables on other variables provide a more plausible interpretation as the presence of mediating latent variables may often have a suppressor effect on the direct path. For instance, there is a statistically significant effect of </w:t>
      </w:r>
      <w:r w:rsidRPr="009672FC">
        <w:rPr>
          <w:rFonts w:ascii="Garamond" w:hAnsi="Garamond"/>
          <w:color w:val="000000"/>
        </w:rPr>
        <w:lastRenderedPageBreak/>
        <w:t xml:space="preserve">relational risk </w:t>
      </w:r>
      <w:r w:rsidRPr="009672FC">
        <w:rPr>
          <w:rFonts w:ascii="Garamond" w:hAnsi="Garamond"/>
          <w:i/>
          <w:iCs/>
          <w:color w:val="000000"/>
        </w:rPr>
        <w:t>(RRm)</w:t>
      </w:r>
      <w:r w:rsidRPr="009672FC">
        <w:rPr>
          <w:rFonts w:ascii="Garamond" w:hAnsi="Garamond"/>
          <w:color w:val="000000"/>
        </w:rPr>
        <w:t xml:space="preserve"> on the relationship between reliability trust </w:t>
      </w:r>
      <w:r w:rsidRPr="009672FC">
        <w:rPr>
          <w:rFonts w:ascii="Garamond" w:hAnsi="Garamond"/>
          <w:i/>
          <w:iCs/>
          <w:color w:val="000000"/>
        </w:rPr>
        <w:t>(RTm)</w:t>
      </w:r>
      <w:r w:rsidRPr="009672FC">
        <w:rPr>
          <w:rFonts w:ascii="Garamond" w:hAnsi="Garamond"/>
          <w:color w:val="000000"/>
        </w:rPr>
        <w:t xml:space="preserve"> and innovation performance </w:t>
      </w:r>
      <w:r w:rsidRPr="009672FC">
        <w:rPr>
          <w:rFonts w:ascii="Garamond" w:hAnsi="Garamond"/>
          <w:i/>
          <w:iCs/>
          <w:color w:val="000000"/>
        </w:rPr>
        <w:t>(IPm)</w:t>
      </w:r>
      <w:r w:rsidRPr="009672FC">
        <w:rPr>
          <w:rFonts w:ascii="Garamond" w:hAnsi="Garamond"/>
          <w:color w:val="000000"/>
        </w:rPr>
        <w:t xml:space="preserve"> (H6: </w:t>
      </w:r>
      <w:r w:rsidRPr="009672FC">
        <w:rPr>
          <w:rFonts w:ascii="Garamond" w:hAnsi="Garamond"/>
          <w:i/>
          <w:iCs/>
          <w:color w:val="000000"/>
        </w:rPr>
        <w:t>t - value</w:t>
      </w:r>
      <w:r w:rsidRPr="009672FC">
        <w:rPr>
          <w:rFonts w:ascii="Garamond" w:hAnsi="Garamond"/>
          <w:color w:val="000000"/>
        </w:rPr>
        <w:t xml:space="preserve"> = 2.003, </w:t>
      </w:r>
      <w:r w:rsidRPr="009672FC">
        <w:rPr>
          <w:rFonts w:ascii="Garamond" w:hAnsi="Garamond"/>
          <w:i/>
          <w:iCs/>
          <w:color w:val="000000"/>
        </w:rPr>
        <w:t xml:space="preserve">p </w:t>
      </w:r>
      <w:r w:rsidRPr="009672FC">
        <w:rPr>
          <w:rFonts w:ascii="Garamond" w:hAnsi="Garamond"/>
          <w:color w:val="000000"/>
        </w:rPr>
        <w:t xml:space="preserve">&lt; 0.005). Since a significant effect of </w:t>
      </w:r>
      <w:r w:rsidRPr="009672FC">
        <w:rPr>
          <w:rFonts w:ascii="Garamond" w:hAnsi="Garamond"/>
          <w:i/>
          <w:iCs/>
          <w:color w:val="000000"/>
        </w:rPr>
        <w:t>RTm</w:t>
      </w:r>
      <w:r w:rsidRPr="009672FC">
        <w:rPr>
          <w:rFonts w:ascii="Garamond" w:hAnsi="Garamond"/>
          <w:color w:val="000000"/>
        </w:rPr>
        <w:t xml:space="preserve"> on </w:t>
      </w:r>
      <w:r w:rsidRPr="009672FC">
        <w:rPr>
          <w:rFonts w:ascii="Garamond" w:hAnsi="Garamond"/>
          <w:i/>
          <w:iCs/>
          <w:color w:val="000000"/>
        </w:rPr>
        <w:t>RRm</w:t>
      </w:r>
      <w:r w:rsidRPr="009672FC">
        <w:rPr>
          <w:rFonts w:ascii="Garamond" w:hAnsi="Garamond"/>
          <w:color w:val="000000"/>
        </w:rPr>
        <w:t xml:space="preserve"> and </w:t>
      </w:r>
      <w:r w:rsidRPr="009672FC">
        <w:rPr>
          <w:rFonts w:ascii="Garamond" w:hAnsi="Garamond"/>
          <w:i/>
          <w:iCs/>
          <w:color w:val="000000"/>
        </w:rPr>
        <w:t>IPm</w:t>
      </w:r>
      <w:r w:rsidRPr="009672FC">
        <w:rPr>
          <w:rFonts w:ascii="Garamond" w:hAnsi="Garamond"/>
          <w:color w:val="000000"/>
        </w:rPr>
        <w:t xml:space="preserve"> (</w:t>
      </w:r>
      <w:r w:rsidRPr="009672FC">
        <w:rPr>
          <w:rFonts w:ascii="Garamond" w:hAnsi="Garamond"/>
          <w:i/>
          <w:iCs/>
          <w:color w:val="000000"/>
        </w:rPr>
        <w:t>t -value</w:t>
      </w:r>
      <w:r w:rsidRPr="009672FC">
        <w:rPr>
          <w:rFonts w:ascii="Garamond" w:hAnsi="Garamond"/>
          <w:color w:val="000000"/>
        </w:rPr>
        <w:t xml:space="preserve"> = 2.138, 5.490, </w:t>
      </w:r>
      <w:r w:rsidRPr="009672FC">
        <w:rPr>
          <w:rFonts w:ascii="Garamond" w:hAnsi="Garamond"/>
          <w:i/>
          <w:iCs/>
          <w:color w:val="000000"/>
        </w:rPr>
        <w:t>p</w:t>
      </w:r>
      <w:r w:rsidRPr="009672FC">
        <w:rPr>
          <w:rFonts w:ascii="Garamond" w:hAnsi="Garamond"/>
          <w:color w:val="000000"/>
        </w:rPr>
        <w:t xml:space="preserve"> &lt; 0.005) respectively was observed, these results established full mediation effects in the relationship, thus supporting H6.</w:t>
      </w:r>
    </w:p>
    <w:p w14:paraId="69913F60" w14:textId="0FDA452C" w:rsidR="00EB5D6B" w:rsidRPr="009672FC" w:rsidRDefault="007549AA" w:rsidP="000705A7">
      <w:pPr>
        <w:keepNext/>
        <w:spacing w:line="360" w:lineRule="auto"/>
        <w:rPr>
          <w:rFonts w:ascii="Garamond" w:hAnsi="Garamond"/>
        </w:rPr>
      </w:pPr>
      <w:r w:rsidRPr="009672FC">
        <w:rPr>
          <w:rFonts w:ascii="Garamond" w:hAnsi="Garamond"/>
          <w:noProof/>
          <w:lang w:eastAsia="en-US"/>
        </w:rPr>
        <w:drawing>
          <wp:anchor distT="0" distB="0" distL="114300" distR="114300" simplePos="0" relativeHeight="12" behindDoc="0" locked="0" layoutInCell="0" allowOverlap="1" wp14:anchorId="0460CFFA" wp14:editId="1117586E">
            <wp:simplePos x="0" y="0"/>
            <wp:positionH relativeFrom="column">
              <wp:posOffset>303530</wp:posOffset>
            </wp:positionH>
            <wp:positionV relativeFrom="paragraph">
              <wp:posOffset>510540</wp:posOffset>
            </wp:positionV>
            <wp:extent cx="5260340" cy="2588260"/>
            <wp:effectExtent l="0" t="0" r="0" b="0"/>
            <wp:wrapSquare wrapText="bothSides"/>
            <wp:docPr id="9"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2" descr="Diagram&#10;&#10;Description automatically generated"/>
                    <pic:cNvPicPr>
                      <a:picLocks noChangeAspect="1" noChangeArrowheads="1"/>
                    </pic:cNvPicPr>
                  </pic:nvPicPr>
                  <pic:blipFill>
                    <a:blip r:embed="rId31"/>
                    <a:stretch>
                      <a:fillRect/>
                    </a:stretch>
                  </pic:blipFill>
                  <pic:spPr bwMode="auto">
                    <a:xfrm>
                      <a:off x="0" y="0"/>
                      <a:ext cx="5260340" cy="2588260"/>
                    </a:xfrm>
                    <a:prstGeom prst="rect">
                      <a:avLst/>
                    </a:prstGeom>
                  </pic:spPr>
                </pic:pic>
              </a:graphicData>
            </a:graphic>
          </wp:anchor>
        </w:drawing>
      </w:r>
    </w:p>
    <w:p w14:paraId="04393ED0" w14:textId="526F65F4" w:rsidR="00EB5D6B" w:rsidRPr="000705A7" w:rsidRDefault="00EB5D6B" w:rsidP="00EB5D6B">
      <w:pPr>
        <w:pStyle w:val="Caption"/>
        <w:jc w:val="center"/>
        <w:rPr>
          <w:rFonts w:ascii="Garamond" w:hAnsi="Garamond"/>
          <w:sz w:val="22"/>
          <w:szCs w:val="22"/>
        </w:rPr>
      </w:pPr>
      <w:bookmarkStart w:id="193" w:name="_Toc85710582"/>
      <w:r w:rsidRPr="000705A7">
        <w:rPr>
          <w:rFonts w:ascii="Garamond" w:hAnsi="Garamond"/>
          <w:sz w:val="22"/>
          <w:szCs w:val="22"/>
        </w:rPr>
        <w:t xml:space="preserve">Figure </w:t>
      </w:r>
      <w:r w:rsidR="00C10BC3" w:rsidRPr="000705A7">
        <w:rPr>
          <w:rFonts w:ascii="Garamond" w:hAnsi="Garamond"/>
          <w:sz w:val="22"/>
          <w:szCs w:val="22"/>
        </w:rPr>
        <w:fldChar w:fldCharType="begin"/>
      </w:r>
      <w:r w:rsidR="00C10BC3" w:rsidRPr="000705A7">
        <w:rPr>
          <w:rFonts w:ascii="Garamond" w:hAnsi="Garamond"/>
          <w:sz w:val="22"/>
          <w:szCs w:val="22"/>
        </w:rPr>
        <w:instrText xml:space="preserve"> SEQ Figure \* ARABIC </w:instrText>
      </w:r>
      <w:r w:rsidR="00C10BC3" w:rsidRPr="000705A7">
        <w:rPr>
          <w:rFonts w:ascii="Garamond" w:hAnsi="Garamond"/>
          <w:sz w:val="22"/>
          <w:szCs w:val="22"/>
        </w:rPr>
        <w:fldChar w:fldCharType="separate"/>
      </w:r>
      <w:r w:rsidR="001C1648">
        <w:rPr>
          <w:rFonts w:ascii="Garamond" w:hAnsi="Garamond"/>
          <w:noProof/>
          <w:sz w:val="22"/>
          <w:szCs w:val="22"/>
        </w:rPr>
        <w:t>7</w:t>
      </w:r>
      <w:r w:rsidR="00C10BC3" w:rsidRPr="000705A7">
        <w:rPr>
          <w:rFonts w:ascii="Garamond" w:hAnsi="Garamond"/>
          <w:noProof/>
          <w:sz w:val="22"/>
          <w:szCs w:val="22"/>
        </w:rPr>
        <w:fldChar w:fldCharType="end"/>
      </w:r>
      <w:r w:rsidRPr="000705A7">
        <w:rPr>
          <w:rFonts w:ascii="Garamond" w:hAnsi="Garamond"/>
          <w:sz w:val="22"/>
          <w:szCs w:val="22"/>
        </w:rPr>
        <w:t>. Structured model and direct effects</w:t>
      </w:r>
      <w:bookmarkEnd w:id="193"/>
    </w:p>
    <w:p w14:paraId="03FEFD42" w14:textId="129E9A47" w:rsidR="003D5DE8" w:rsidRPr="009672FC" w:rsidRDefault="007549AA">
      <w:pPr>
        <w:spacing w:before="240"/>
        <w:jc w:val="center"/>
        <w:rPr>
          <w:rFonts w:ascii="Garamond" w:hAnsi="Garamond"/>
          <w:b/>
          <w:bCs/>
        </w:rPr>
      </w:pPr>
      <w:r w:rsidRPr="009672FC">
        <w:rPr>
          <w:rFonts w:ascii="Garamond" w:hAnsi="Garamond"/>
          <w:b/>
          <w:bCs/>
        </w:rPr>
        <w:t>.</w:t>
      </w:r>
    </w:p>
    <w:p w14:paraId="1FA40BF5" w14:textId="77777777" w:rsidR="00890FB2" w:rsidRPr="009672FC" w:rsidRDefault="00890FB2">
      <w:pPr>
        <w:jc w:val="both"/>
        <w:rPr>
          <w:rFonts w:ascii="Garamond" w:hAnsi="Garamond"/>
          <w:sz w:val="18"/>
          <w:szCs w:val="18"/>
        </w:rPr>
      </w:pPr>
    </w:p>
    <w:p w14:paraId="756CC048" w14:textId="77777777" w:rsidR="003D5DE8" w:rsidRPr="000705A7" w:rsidRDefault="007549AA" w:rsidP="000705A7">
      <w:pPr>
        <w:jc w:val="both"/>
        <w:rPr>
          <w:rFonts w:ascii="Garamond" w:hAnsi="Garamond"/>
          <w:sz w:val="22"/>
          <w:szCs w:val="22"/>
        </w:rPr>
      </w:pPr>
      <w:r w:rsidRPr="000705A7">
        <w:rPr>
          <w:rFonts w:ascii="Garamond" w:hAnsi="Garamond"/>
          <w:sz w:val="22"/>
          <w:szCs w:val="22"/>
        </w:rPr>
        <w:t>*SRMR = 0.14; Chi-Square = 822.903, NFI = 0.545</w:t>
      </w:r>
    </w:p>
    <w:p w14:paraId="68198171" w14:textId="77777777" w:rsidR="003D5DE8" w:rsidRPr="000705A7" w:rsidRDefault="007549AA" w:rsidP="000705A7">
      <w:pPr>
        <w:jc w:val="both"/>
        <w:rPr>
          <w:rFonts w:ascii="Garamond" w:hAnsi="Garamond"/>
          <w:sz w:val="22"/>
          <w:szCs w:val="22"/>
        </w:rPr>
      </w:pPr>
      <w:r w:rsidRPr="000705A7">
        <w:rPr>
          <w:rFonts w:ascii="Garamond" w:hAnsi="Garamond"/>
          <w:sz w:val="22"/>
          <w:szCs w:val="22"/>
        </w:rPr>
        <w:t>*CTm - competence trust, OTm – openness trust, RTm – reliability trust, SITm – similarity/identification trust, RRm – relational risk, IPm – innovation performance.</w:t>
      </w:r>
    </w:p>
    <w:p w14:paraId="3587AC7C" w14:textId="77777777" w:rsidR="003D5DE8" w:rsidRPr="000705A7" w:rsidRDefault="007549AA" w:rsidP="000705A7">
      <w:pPr>
        <w:jc w:val="both"/>
        <w:rPr>
          <w:rFonts w:ascii="Garamond" w:hAnsi="Garamond"/>
          <w:sz w:val="22"/>
          <w:szCs w:val="22"/>
        </w:rPr>
      </w:pPr>
      <w:r w:rsidRPr="000705A7">
        <w:rPr>
          <w:rFonts w:ascii="Garamond" w:hAnsi="Garamond"/>
          <w:sz w:val="22"/>
          <w:szCs w:val="22"/>
        </w:rPr>
        <w:t>*Q2 and R2 denote predictive relevance and the coefficient of determination, respectively.</w:t>
      </w:r>
    </w:p>
    <w:p w14:paraId="30F0E21F" w14:textId="77777777" w:rsidR="003D5DE8" w:rsidRPr="000705A7" w:rsidRDefault="007549AA" w:rsidP="000705A7">
      <w:pPr>
        <w:jc w:val="both"/>
        <w:rPr>
          <w:rFonts w:ascii="Garamond" w:hAnsi="Garamond"/>
          <w:sz w:val="22"/>
          <w:szCs w:val="22"/>
        </w:rPr>
      </w:pPr>
      <w:r w:rsidRPr="000705A7">
        <w:rPr>
          <w:rFonts w:ascii="Garamond" w:hAnsi="Garamond"/>
          <w:sz w:val="22"/>
          <w:szCs w:val="22"/>
        </w:rPr>
        <w:t xml:space="preserve">*R-square substantial (&gt; 33%) </w:t>
      </w:r>
      <w:r w:rsidRPr="000705A7">
        <w:rPr>
          <w:rFonts w:ascii="Garamond" w:hAnsi="Garamond"/>
          <w:sz w:val="22"/>
          <w:szCs w:val="22"/>
        </w:rPr>
        <w:fldChar w:fldCharType="begin" w:fldLock="1"/>
      </w:r>
      <w:r w:rsidRPr="000705A7">
        <w:rPr>
          <w:rFonts w:ascii="Garamond" w:hAnsi="Garamond"/>
          <w:sz w:val="22"/>
          <w:szCs w:val="22"/>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2011)","plainTextFormattedCitation":"(Joe F Hair et al., 2011)","previouslyFormattedCitation":"(Joe F Hair et al., 2011)"},"properties":{"noteIndex":0},"schema":"https://github.com/citation-style-language/schema/raw/master/csl-citation.json"}</w:instrText>
      </w:r>
      <w:r w:rsidRPr="000705A7">
        <w:rPr>
          <w:rFonts w:ascii="Garamond" w:hAnsi="Garamond"/>
          <w:sz w:val="22"/>
          <w:szCs w:val="22"/>
        </w:rPr>
        <w:fldChar w:fldCharType="separate"/>
      </w:r>
      <w:r w:rsidRPr="000705A7">
        <w:rPr>
          <w:rFonts w:ascii="Garamond" w:hAnsi="Garamond"/>
          <w:noProof/>
          <w:color w:val="000000" w:themeColor="text1"/>
          <w:sz w:val="22"/>
          <w:szCs w:val="22"/>
        </w:rPr>
        <w:t>(Joe F Hair et al., 2011)</w:t>
      </w:r>
      <w:r w:rsidRPr="000705A7">
        <w:rPr>
          <w:rFonts w:ascii="Garamond" w:hAnsi="Garamond"/>
          <w:sz w:val="22"/>
          <w:szCs w:val="22"/>
        </w:rPr>
        <w:fldChar w:fldCharType="end"/>
      </w:r>
      <w:r w:rsidRPr="000705A7">
        <w:rPr>
          <w:rFonts w:ascii="Garamond" w:hAnsi="Garamond"/>
          <w:sz w:val="22"/>
          <w:szCs w:val="22"/>
        </w:rPr>
        <w:t xml:space="preserve">; t-value </w:t>
      </w:r>
      <w:r w:rsidRPr="000705A7">
        <w:rPr>
          <w:rFonts w:ascii="Garamond" w:hAnsi="Garamond"/>
          <w:color w:val="000000"/>
          <w:sz w:val="22"/>
          <w:szCs w:val="22"/>
        </w:rPr>
        <w:t>minimum threshold (</w:t>
      </w:r>
      <w:r w:rsidRPr="000705A7">
        <w:rPr>
          <w:rFonts w:ascii="Garamond" w:hAnsi="Garamond"/>
          <w:i/>
          <w:iCs/>
          <w:color w:val="000000"/>
          <w:sz w:val="22"/>
          <w:szCs w:val="22"/>
        </w:rPr>
        <w:t>t - values</w:t>
      </w:r>
      <w:r w:rsidRPr="000705A7">
        <w:rPr>
          <w:rFonts w:ascii="Garamond" w:hAnsi="Garamond"/>
          <w:color w:val="000000"/>
          <w:sz w:val="22"/>
          <w:szCs w:val="22"/>
        </w:rPr>
        <w:t xml:space="preserve"> 1.96) </w:t>
      </w:r>
      <w:r w:rsidRPr="000705A7">
        <w:rPr>
          <w:rFonts w:ascii="Garamond" w:hAnsi="Garamond"/>
          <w:sz w:val="22"/>
          <w:szCs w:val="22"/>
        </w:rPr>
        <w:fldChar w:fldCharType="begin" w:fldLock="1"/>
      </w:r>
      <w:r w:rsidRPr="000705A7">
        <w:rPr>
          <w:rFonts w:ascii="Garamond" w:hAnsi="Garamond"/>
          <w:color w:val="000000"/>
          <w:sz w:val="22"/>
          <w:szCs w:val="22"/>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2013)","plainTextFormattedCitation":"(Wong, 2013)","previouslyFormattedCitation":"(Wong, 2013)"},"properties":{"noteIndex":0},"schema":"https://github.com/citation-style-language/schema/raw/master/csl-citation.json"}</w:instrText>
      </w:r>
      <w:r w:rsidRPr="000705A7">
        <w:rPr>
          <w:rFonts w:ascii="Garamond" w:hAnsi="Garamond"/>
          <w:color w:val="000000"/>
          <w:sz w:val="22"/>
          <w:szCs w:val="22"/>
        </w:rPr>
        <w:fldChar w:fldCharType="separate"/>
      </w:r>
      <w:r w:rsidRPr="000705A7">
        <w:rPr>
          <w:rFonts w:ascii="Garamond" w:hAnsi="Garamond"/>
          <w:noProof/>
          <w:color w:val="000000"/>
          <w:sz w:val="22"/>
          <w:szCs w:val="22"/>
        </w:rPr>
        <w:t>(Wong, 2013)</w:t>
      </w:r>
      <w:r w:rsidRPr="000705A7">
        <w:rPr>
          <w:rFonts w:ascii="Garamond" w:hAnsi="Garamond"/>
          <w:color w:val="000000"/>
          <w:sz w:val="22"/>
          <w:szCs w:val="22"/>
        </w:rPr>
        <w:fldChar w:fldCharType="end"/>
      </w:r>
      <w:r w:rsidRPr="000705A7">
        <w:rPr>
          <w:rFonts w:ascii="Garamond" w:hAnsi="Garamond"/>
          <w:color w:val="000000"/>
          <w:sz w:val="22"/>
          <w:szCs w:val="22"/>
        </w:rPr>
        <w:t xml:space="preserve">, </w:t>
      </w:r>
      <w:r w:rsidRPr="000705A7">
        <w:rPr>
          <w:rFonts w:ascii="Garamond" w:hAnsi="Garamond"/>
          <w:sz w:val="22"/>
          <w:szCs w:val="22"/>
        </w:rPr>
        <w:t>p &lt; 0.05*, p &lt; 0.01**, p &lt; 0.001***. Sig = statistically significant, N.Sig. = Not statistically significant</w:t>
      </w:r>
      <w:r w:rsidRPr="000705A7">
        <w:rPr>
          <w:rFonts w:ascii="Garamond" w:hAnsi="Garamond"/>
          <w:color w:val="000000"/>
          <w:sz w:val="22"/>
          <w:szCs w:val="22"/>
        </w:rPr>
        <w:t>.</w:t>
      </w:r>
    </w:p>
    <w:p w14:paraId="241F8745" w14:textId="77777777" w:rsidR="003D5DE8" w:rsidRPr="009672FC" w:rsidRDefault="007549AA" w:rsidP="00890FB2">
      <w:pPr>
        <w:spacing w:before="240" w:line="360" w:lineRule="auto"/>
        <w:jc w:val="both"/>
        <w:rPr>
          <w:rFonts w:ascii="Garamond" w:hAnsi="Garamond"/>
          <w:b/>
          <w:bCs/>
          <w:color w:val="000000"/>
        </w:rPr>
      </w:pPr>
      <w:r w:rsidRPr="009672FC">
        <w:rPr>
          <w:rFonts w:ascii="Garamond" w:hAnsi="Garamond"/>
          <w:color w:val="000000"/>
        </w:rPr>
        <w:t xml:space="preserve">Despite a significant effect of </w:t>
      </w:r>
      <w:r w:rsidRPr="009672FC">
        <w:rPr>
          <w:rFonts w:ascii="Garamond" w:hAnsi="Garamond"/>
          <w:i/>
          <w:iCs/>
          <w:color w:val="000000"/>
        </w:rPr>
        <w:t>SITm</w:t>
      </w:r>
      <w:r w:rsidRPr="009672FC">
        <w:rPr>
          <w:rFonts w:ascii="Garamond" w:hAnsi="Garamond"/>
          <w:color w:val="000000"/>
        </w:rPr>
        <w:t xml:space="preserve"> on </w:t>
      </w:r>
      <w:r w:rsidRPr="009672FC">
        <w:rPr>
          <w:rFonts w:ascii="Garamond" w:hAnsi="Garamond"/>
          <w:i/>
          <w:iCs/>
          <w:color w:val="000000"/>
        </w:rPr>
        <w:t>RRm</w:t>
      </w:r>
      <w:r w:rsidRPr="009672FC">
        <w:rPr>
          <w:rFonts w:ascii="Garamond" w:hAnsi="Garamond"/>
          <w:color w:val="000000"/>
        </w:rPr>
        <w:t xml:space="preserve"> (</w:t>
      </w:r>
      <w:r w:rsidRPr="009672FC">
        <w:rPr>
          <w:rFonts w:ascii="Garamond" w:hAnsi="Garamond"/>
          <w:i/>
          <w:iCs/>
          <w:color w:val="000000"/>
        </w:rPr>
        <w:t>t – value</w:t>
      </w:r>
      <w:r w:rsidRPr="009672FC">
        <w:rPr>
          <w:rFonts w:ascii="Garamond" w:hAnsi="Garamond"/>
          <w:color w:val="000000"/>
        </w:rPr>
        <w:t xml:space="preserve"> = 2.138, </w:t>
      </w:r>
      <w:r w:rsidRPr="009672FC">
        <w:rPr>
          <w:rFonts w:ascii="Garamond" w:hAnsi="Garamond"/>
          <w:i/>
          <w:iCs/>
          <w:color w:val="000000"/>
        </w:rPr>
        <w:t>p</w:t>
      </w:r>
      <w:r w:rsidRPr="009672FC">
        <w:rPr>
          <w:rFonts w:ascii="Garamond" w:hAnsi="Garamond"/>
          <w:color w:val="000000"/>
        </w:rPr>
        <w:t xml:space="preserve"> &lt; 0.05) and </w:t>
      </w:r>
      <w:r w:rsidRPr="009672FC">
        <w:rPr>
          <w:rFonts w:ascii="Garamond" w:hAnsi="Garamond"/>
          <w:i/>
          <w:iCs/>
          <w:color w:val="000000"/>
        </w:rPr>
        <w:t>RRm</w:t>
      </w:r>
      <w:r w:rsidRPr="009672FC">
        <w:rPr>
          <w:rFonts w:ascii="Garamond" w:hAnsi="Garamond"/>
          <w:color w:val="000000"/>
        </w:rPr>
        <w:t xml:space="preserve"> on </w:t>
      </w:r>
      <w:r w:rsidRPr="009672FC">
        <w:rPr>
          <w:rFonts w:ascii="Garamond" w:hAnsi="Garamond"/>
          <w:i/>
          <w:iCs/>
          <w:color w:val="000000"/>
        </w:rPr>
        <w:t>IPm</w:t>
      </w:r>
      <w:r w:rsidRPr="009672FC">
        <w:rPr>
          <w:rFonts w:ascii="Garamond" w:hAnsi="Garamond"/>
          <w:color w:val="000000"/>
        </w:rPr>
        <w:t xml:space="preserve"> (</w:t>
      </w:r>
      <w:r w:rsidRPr="009672FC">
        <w:rPr>
          <w:rFonts w:ascii="Garamond" w:hAnsi="Garamond"/>
          <w:i/>
          <w:iCs/>
          <w:color w:val="000000"/>
        </w:rPr>
        <w:t>t – value</w:t>
      </w:r>
      <w:r w:rsidRPr="009672FC">
        <w:rPr>
          <w:rFonts w:ascii="Garamond" w:hAnsi="Garamond"/>
          <w:color w:val="000000"/>
        </w:rPr>
        <w:t xml:space="preserve"> = 5.490, </w:t>
      </w:r>
      <w:r w:rsidRPr="009672FC">
        <w:rPr>
          <w:rFonts w:ascii="Garamond" w:hAnsi="Garamond"/>
          <w:i/>
          <w:iCs/>
          <w:color w:val="000000"/>
        </w:rPr>
        <w:t>p</w:t>
      </w:r>
      <w:r w:rsidRPr="009672FC">
        <w:rPr>
          <w:rFonts w:ascii="Garamond" w:hAnsi="Garamond"/>
          <w:color w:val="000000"/>
        </w:rPr>
        <w:t xml:space="preserve"> &lt; 0.001), empirical result found no mediation effect of </w:t>
      </w:r>
      <w:r w:rsidRPr="009672FC">
        <w:rPr>
          <w:rFonts w:ascii="Garamond" w:hAnsi="Garamond"/>
          <w:i/>
          <w:iCs/>
          <w:color w:val="000000"/>
        </w:rPr>
        <w:t>RRm</w:t>
      </w:r>
      <w:r w:rsidRPr="009672FC">
        <w:rPr>
          <w:rFonts w:ascii="Garamond" w:hAnsi="Garamond"/>
          <w:color w:val="000000"/>
        </w:rPr>
        <w:t xml:space="preserve"> in the relationship between </w:t>
      </w:r>
      <w:r w:rsidRPr="009672FC">
        <w:rPr>
          <w:rFonts w:ascii="Garamond" w:hAnsi="Garamond"/>
          <w:i/>
          <w:iCs/>
          <w:color w:val="000000"/>
        </w:rPr>
        <w:t>SITm</w:t>
      </w:r>
      <w:r w:rsidRPr="009672FC">
        <w:rPr>
          <w:rFonts w:ascii="Garamond" w:hAnsi="Garamond"/>
          <w:color w:val="000000"/>
        </w:rPr>
        <w:t xml:space="preserve"> and </w:t>
      </w:r>
      <w:r w:rsidRPr="009672FC">
        <w:rPr>
          <w:rFonts w:ascii="Garamond" w:hAnsi="Garamond"/>
          <w:i/>
          <w:iCs/>
          <w:color w:val="000000"/>
        </w:rPr>
        <w:t xml:space="preserve">IPm </w:t>
      </w:r>
      <w:r w:rsidRPr="009672FC">
        <w:rPr>
          <w:rFonts w:ascii="Garamond" w:hAnsi="Garamond"/>
          <w:color w:val="000000"/>
        </w:rPr>
        <w:t xml:space="preserve">(H7: </w:t>
      </w:r>
      <w:r w:rsidRPr="009672FC">
        <w:rPr>
          <w:rFonts w:ascii="Garamond" w:hAnsi="Garamond"/>
          <w:i/>
          <w:iCs/>
          <w:color w:val="000000"/>
        </w:rPr>
        <w:t>t – value</w:t>
      </w:r>
      <w:r w:rsidRPr="009672FC">
        <w:rPr>
          <w:rFonts w:ascii="Garamond" w:hAnsi="Garamond"/>
          <w:color w:val="000000"/>
        </w:rPr>
        <w:t xml:space="preserve"> = 0.146, </w:t>
      </w:r>
      <w:r w:rsidRPr="009672FC">
        <w:rPr>
          <w:rFonts w:ascii="Garamond" w:hAnsi="Garamond"/>
          <w:i/>
          <w:iCs/>
          <w:color w:val="000000"/>
        </w:rPr>
        <w:t>p</w:t>
      </w:r>
      <w:r w:rsidRPr="009672FC">
        <w:rPr>
          <w:rFonts w:ascii="Garamond" w:hAnsi="Garamond"/>
          <w:color w:val="000000"/>
        </w:rPr>
        <w:t xml:space="preserve"> &gt; 0.005), failing to support H7. Furthermore, there was no mediating effect of relational risk </w:t>
      </w:r>
      <w:r w:rsidRPr="009672FC">
        <w:rPr>
          <w:rFonts w:ascii="Garamond" w:hAnsi="Garamond"/>
          <w:i/>
          <w:iCs/>
          <w:color w:val="000000"/>
        </w:rPr>
        <w:t>(RRm)</w:t>
      </w:r>
      <w:r w:rsidRPr="009672FC">
        <w:rPr>
          <w:rFonts w:ascii="Garamond" w:hAnsi="Garamond"/>
          <w:color w:val="000000"/>
        </w:rPr>
        <w:t xml:space="preserve"> on the relationship between competence trust </w:t>
      </w:r>
      <w:r w:rsidRPr="009672FC">
        <w:rPr>
          <w:rFonts w:ascii="Garamond" w:hAnsi="Garamond"/>
          <w:i/>
          <w:iCs/>
          <w:color w:val="000000"/>
        </w:rPr>
        <w:t>(CTm)</w:t>
      </w:r>
      <w:r w:rsidRPr="009672FC">
        <w:rPr>
          <w:rFonts w:ascii="Garamond" w:hAnsi="Garamond"/>
          <w:color w:val="000000"/>
        </w:rPr>
        <w:t xml:space="preserve"> and innovation performance </w:t>
      </w:r>
      <w:r w:rsidRPr="009672FC">
        <w:rPr>
          <w:rFonts w:ascii="Garamond" w:hAnsi="Garamond"/>
          <w:i/>
          <w:iCs/>
          <w:color w:val="000000"/>
        </w:rPr>
        <w:t>(IPm)</w:t>
      </w:r>
      <w:r w:rsidRPr="009672FC">
        <w:rPr>
          <w:rFonts w:ascii="Garamond" w:hAnsi="Garamond"/>
          <w:color w:val="000000"/>
        </w:rPr>
        <w:t xml:space="preserve"> (H8: </w:t>
      </w:r>
      <w:r w:rsidRPr="009672FC">
        <w:rPr>
          <w:rFonts w:ascii="Garamond" w:hAnsi="Garamond"/>
          <w:i/>
          <w:iCs/>
          <w:color w:val="000000"/>
        </w:rPr>
        <w:t>t – value</w:t>
      </w:r>
      <w:r w:rsidRPr="009672FC">
        <w:rPr>
          <w:rFonts w:ascii="Garamond" w:hAnsi="Garamond"/>
          <w:color w:val="000000"/>
        </w:rPr>
        <w:t xml:space="preserve"> = 1.495, </w:t>
      </w:r>
      <w:r w:rsidRPr="009672FC">
        <w:rPr>
          <w:rFonts w:ascii="Garamond" w:hAnsi="Garamond"/>
          <w:i/>
          <w:iCs/>
          <w:color w:val="000000"/>
        </w:rPr>
        <w:t xml:space="preserve">p </w:t>
      </w:r>
      <w:r w:rsidRPr="009672FC">
        <w:rPr>
          <w:rFonts w:ascii="Garamond" w:hAnsi="Garamond"/>
          <w:color w:val="000000"/>
        </w:rPr>
        <w:t xml:space="preserve">&gt; 0.05). Since no effect of </w:t>
      </w:r>
      <w:r w:rsidRPr="009672FC">
        <w:rPr>
          <w:rFonts w:ascii="Garamond" w:hAnsi="Garamond"/>
          <w:i/>
          <w:iCs/>
          <w:color w:val="000000"/>
        </w:rPr>
        <w:t>CTm</w:t>
      </w:r>
      <w:r w:rsidRPr="009672FC">
        <w:rPr>
          <w:rFonts w:ascii="Garamond" w:hAnsi="Garamond"/>
          <w:color w:val="000000"/>
        </w:rPr>
        <w:t xml:space="preserve"> on </w:t>
      </w:r>
      <w:r w:rsidRPr="009672FC">
        <w:rPr>
          <w:rFonts w:ascii="Garamond" w:hAnsi="Garamond"/>
          <w:i/>
          <w:iCs/>
          <w:color w:val="000000"/>
        </w:rPr>
        <w:t>RRm</w:t>
      </w:r>
      <w:r w:rsidRPr="009672FC">
        <w:rPr>
          <w:rFonts w:ascii="Garamond" w:hAnsi="Garamond"/>
          <w:color w:val="000000"/>
        </w:rPr>
        <w:t xml:space="preserve"> (</w:t>
      </w:r>
      <w:r w:rsidRPr="009672FC">
        <w:rPr>
          <w:rFonts w:ascii="Garamond" w:hAnsi="Garamond"/>
          <w:i/>
          <w:iCs/>
          <w:color w:val="000000"/>
        </w:rPr>
        <w:t>t – value</w:t>
      </w:r>
      <w:r w:rsidRPr="009672FC">
        <w:rPr>
          <w:rFonts w:ascii="Garamond" w:hAnsi="Garamond"/>
          <w:color w:val="000000"/>
        </w:rPr>
        <w:t xml:space="preserve"> =1.616, </w:t>
      </w:r>
      <w:r w:rsidRPr="009672FC">
        <w:rPr>
          <w:rFonts w:ascii="Garamond" w:hAnsi="Garamond"/>
          <w:i/>
          <w:iCs/>
          <w:color w:val="000000"/>
        </w:rPr>
        <w:t>p</w:t>
      </w:r>
      <w:r w:rsidRPr="009672FC">
        <w:rPr>
          <w:rFonts w:ascii="Garamond" w:hAnsi="Garamond"/>
          <w:color w:val="000000"/>
        </w:rPr>
        <w:t xml:space="preserve"> &gt; 0.05) was observed, however, a significant effect of </w:t>
      </w:r>
      <w:r w:rsidRPr="009672FC">
        <w:rPr>
          <w:rFonts w:ascii="Garamond" w:hAnsi="Garamond"/>
          <w:i/>
          <w:iCs/>
          <w:color w:val="000000"/>
        </w:rPr>
        <w:t>RRm</w:t>
      </w:r>
      <w:r w:rsidRPr="009672FC">
        <w:rPr>
          <w:rFonts w:ascii="Garamond" w:hAnsi="Garamond"/>
          <w:color w:val="000000"/>
        </w:rPr>
        <w:t xml:space="preserve"> on </w:t>
      </w:r>
      <w:r w:rsidRPr="009672FC">
        <w:rPr>
          <w:rFonts w:ascii="Garamond" w:hAnsi="Garamond"/>
          <w:i/>
          <w:iCs/>
          <w:color w:val="000000"/>
        </w:rPr>
        <w:t>IPm</w:t>
      </w:r>
      <w:r w:rsidRPr="009672FC">
        <w:rPr>
          <w:rFonts w:ascii="Garamond" w:hAnsi="Garamond"/>
          <w:color w:val="000000"/>
        </w:rPr>
        <w:t xml:space="preserve"> (</w:t>
      </w:r>
      <w:r w:rsidRPr="009672FC">
        <w:rPr>
          <w:rFonts w:ascii="Garamond" w:hAnsi="Garamond"/>
          <w:i/>
          <w:iCs/>
          <w:color w:val="000000"/>
        </w:rPr>
        <w:t>t – value</w:t>
      </w:r>
      <w:r w:rsidRPr="009672FC">
        <w:rPr>
          <w:rFonts w:ascii="Garamond" w:hAnsi="Garamond"/>
          <w:color w:val="000000"/>
        </w:rPr>
        <w:t xml:space="preserve"> = 5.490, </w:t>
      </w:r>
      <w:r w:rsidRPr="009672FC">
        <w:rPr>
          <w:rFonts w:ascii="Garamond" w:hAnsi="Garamond"/>
          <w:i/>
          <w:iCs/>
          <w:color w:val="000000"/>
        </w:rPr>
        <w:t>p</w:t>
      </w:r>
      <w:r w:rsidRPr="009672FC">
        <w:rPr>
          <w:rFonts w:ascii="Garamond" w:hAnsi="Garamond"/>
          <w:color w:val="000000"/>
        </w:rPr>
        <w:t xml:space="preserve"> &lt; 0.001) was established by the empirical results. These results conclude a presence of partial mediation of </w:t>
      </w:r>
      <w:r w:rsidRPr="009672FC">
        <w:rPr>
          <w:rFonts w:ascii="Garamond" w:hAnsi="Garamond"/>
          <w:i/>
          <w:iCs/>
          <w:color w:val="000000"/>
        </w:rPr>
        <w:t>RRm</w:t>
      </w:r>
      <w:r w:rsidRPr="009672FC">
        <w:rPr>
          <w:rFonts w:ascii="Garamond" w:hAnsi="Garamond"/>
          <w:color w:val="000000"/>
        </w:rPr>
        <w:t xml:space="preserve"> on this relationship between </w:t>
      </w:r>
      <w:r w:rsidRPr="009672FC">
        <w:rPr>
          <w:rFonts w:ascii="Garamond" w:hAnsi="Garamond"/>
          <w:i/>
          <w:iCs/>
          <w:color w:val="000000"/>
        </w:rPr>
        <w:t>CTm</w:t>
      </w:r>
      <w:r w:rsidRPr="009672FC">
        <w:rPr>
          <w:rFonts w:ascii="Garamond" w:hAnsi="Garamond"/>
          <w:color w:val="000000"/>
        </w:rPr>
        <w:t xml:space="preserve"> and </w:t>
      </w:r>
      <w:r w:rsidRPr="009672FC">
        <w:rPr>
          <w:rFonts w:ascii="Garamond" w:hAnsi="Garamond"/>
          <w:i/>
          <w:iCs/>
          <w:color w:val="000000"/>
        </w:rPr>
        <w:t>IPm</w:t>
      </w:r>
      <w:r w:rsidRPr="009672FC">
        <w:rPr>
          <w:rFonts w:ascii="Garamond" w:hAnsi="Garamond"/>
          <w:color w:val="000000"/>
        </w:rPr>
        <w:t xml:space="preserve">. Finally, relational risk </w:t>
      </w:r>
      <w:r w:rsidRPr="009672FC">
        <w:rPr>
          <w:rFonts w:ascii="Garamond" w:hAnsi="Garamond"/>
          <w:i/>
          <w:iCs/>
          <w:color w:val="000000"/>
        </w:rPr>
        <w:t>(RRm)</w:t>
      </w:r>
      <w:r w:rsidRPr="009672FC">
        <w:rPr>
          <w:rFonts w:ascii="Garamond" w:hAnsi="Garamond"/>
          <w:color w:val="000000"/>
        </w:rPr>
        <w:t xml:space="preserve"> mediates the effects of openness trust </w:t>
      </w:r>
      <w:r w:rsidRPr="009672FC">
        <w:rPr>
          <w:rFonts w:ascii="Garamond" w:hAnsi="Garamond"/>
          <w:i/>
          <w:iCs/>
          <w:color w:val="000000"/>
        </w:rPr>
        <w:t>(OTm)</w:t>
      </w:r>
      <w:r w:rsidRPr="009672FC">
        <w:rPr>
          <w:rFonts w:ascii="Garamond" w:hAnsi="Garamond"/>
          <w:color w:val="000000"/>
        </w:rPr>
        <w:t xml:space="preserve"> on innovation performance </w:t>
      </w:r>
      <w:r w:rsidRPr="009672FC">
        <w:rPr>
          <w:rFonts w:ascii="Garamond" w:hAnsi="Garamond"/>
          <w:i/>
          <w:iCs/>
          <w:color w:val="000000"/>
        </w:rPr>
        <w:t xml:space="preserve">(IPm) </w:t>
      </w:r>
      <w:r w:rsidRPr="009672FC">
        <w:rPr>
          <w:rFonts w:ascii="Garamond" w:hAnsi="Garamond"/>
          <w:color w:val="000000"/>
        </w:rPr>
        <w:t xml:space="preserve">(H9: </w:t>
      </w:r>
      <w:r w:rsidRPr="009672FC">
        <w:rPr>
          <w:rFonts w:ascii="Garamond" w:hAnsi="Garamond"/>
          <w:i/>
          <w:iCs/>
          <w:color w:val="000000"/>
        </w:rPr>
        <w:t>t – value</w:t>
      </w:r>
      <w:r w:rsidRPr="009672FC">
        <w:rPr>
          <w:rFonts w:ascii="Garamond" w:hAnsi="Garamond"/>
          <w:color w:val="000000"/>
        </w:rPr>
        <w:t xml:space="preserve"> = </w:t>
      </w:r>
      <w:r w:rsidRPr="009672FC">
        <w:rPr>
          <w:rFonts w:ascii="Garamond" w:hAnsi="Garamond"/>
          <w:color w:val="000000"/>
        </w:rPr>
        <w:lastRenderedPageBreak/>
        <w:t xml:space="preserve">3.161, </w:t>
      </w:r>
      <w:r w:rsidRPr="009672FC">
        <w:rPr>
          <w:rFonts w:ascii="Garamond" w:hAnsi="Garamond"/>
          <w:i/>
          <w:iCs/>
          <w:color w:val="000000"/>
        </w:rPr>
        <w:t>p</w:t>
      </w:r>
      <w:r w:rsidRPr="009672FC">
        <w:rPr>
          <w:rFonts w:ascii="Garamond" w:hAnsi="Garamond"/>
          <w:color w:val="000000"/>
        </w:rPr>
        <w:t xml:space="preserve"> &lt; 0.005). Since the effect of </w:t>
      </w:r>
      <w:r w:rsidRPr="009672FC">
        <w:rPr>
          <w:rFonts w:ascii="Garamond" w:hAnsi="Garamond"/>
          <w:i/>
          <w:iCs/>
          <w:color w:val="000000"/>
        </w:rPr>
        <w:t>OTm</w:t>
      </w:r>
      <w:r w:rsidRPr="009672FC">
        <w:rPr>
          <w:rFonts w:ascii="Garamond" w:hAnsi="Garamond"/>
          <w:color w:val="000000"/>
        </w:rPr>
        <w:t xml:space="preserve"> on </w:t>
      </w:r>
      <w:r w:rsidRPr="009672FC">
        <w:rPr>
          <w:rFonts w:ascii="Garamond" w:hAnsi="Garamond"/>
          <w:i/>
          <w:iCs/>
          <w:color w:val="000000"/>
        </w:rPr>
        <w:t>RRm</w:t>
      </w:r>
      <w:r w:rsidRPr="009672FC">
        <w:rPr>
          <w:rFonts w:ascii="Garamond" w:hAnsi="Garamond"/>
          <w:color w:val="000000"/>
        </w:rPr>
        <w:t xml:space="preserve">, and </w:t>
      </w:r>
      <w:r w:rsidRPr="009672FC">
        <w:rPr>
          <w:rFonts w:ascii="Garamond" w:hAnsi="Garamond"/>
          <w:i/>
          <w:iCs/>
          <w:color w:val="000000"/>
        </w:rPr>
        <w:t>RRm</w:t>
      </w:r>
      <w:r w:rsidRPr="009672FC">
        <w:rPr>
          <w:rFonts w:ascii="Garamond" w:hAnsi="Garamond"/>
          <w:color w:val="000000"/>
        </w:rPr>
        <w:t xml:space="preserve"> on </w:t>
      </w:r>
      <w:r w:rsidRPr="009672FC">
        <w:rPr>
          <w:rFonts w:ascii="Garamond" w:hAnsi="Garamond"/>
          <w:i/>
          <w:iCs/>
          <w:color w:val="000000"/>
        </w:rPr>
        <w:t>IPm</w:t>
      </w:r>
      <w:r w:rsidRPr="009672FC">
        <w:rPr>
          <w:rFonts w:ascii="Garamond" w:hAnsi="Garamond"/>
          <w:color w:val="000000"/>
        </w:rPr>
        <w:t>, were all significant, full mediation effects confirm H10. See further illustrations in figure 5.</w:t>
      </w:r>
    </w:p>
    <w:p w14:paraId="68952AE5" w14:textId="411842F5" w:rsidR="003D5DE8" w:rsidRPr="009672FC" w:rsidRDefault="007549AA">
      <w:pPr>
        <w:pStyle w:val="Title"/>
        <w:numPr>
          <w:ilvl w:val="2"/>
          <w:numId w:val="11"/>
        </w:numPr>
        <w:spacing w:before="240" w:line="360" w:lineRule="auto"/>
        <w:outlineLvl w:val="2"/>
        <w:rPr>
          <w:rFonts w:ascii="Garamond" w:hAnsi="Garamond" w:cs="Times New Roman"/>
          <w:b/>
          <w:bCs/>
          <w:i/>
          <w:iCs/>
          <w:color w:val="000000"/>
          <w:sz w:val="24"/>
          <w:szCs w:val="24"/>
        </w:rPr>
      </w:pPr>
      <w:bookmarkStart w:id="194" w:name="_Toc85708759"/>
      <w:bookmarkStart w:id="195" w:name="_Toc85709773"/>
      <w:r w:rsidRPr="009672FC">
        <w:rPr>
          <w:rFonts w:ascii="Garamond" w:hAnsi="Garamond" w:cs="Times New Roman"/>
          <w:b/>
          <w:bCs/>
          <w:i/>
          <w:iCs/>
          <w:color w:val="000000"/>
          <w:sz w:val="24"/>
          <w:szCs w:val="24"/>
        </w:rPr>
        <w:t>Multi-Group Analysis (Small vs Medium-sized Enterprises)</w:t>
      </w:r>
      <w:bookmarkEnd w:id="194"/>
      <w:bookmarkEnd w:id="195"/>
    </w:p>
    <w:p w14:paraId="44CAC7D0" w14:textId="5F9AC703" w:rsidR="00890FB2" w:rsidRPr="009672FC" w:rsidRDefault="007549AA" w:rsidP="00890FB2">
      <w:pPr>
        <w:spacing w:line="360" w:lineRule="auto"/>
        <w:jc w:val="both"/>
        <w:rPr>
          <w:rFonts w:ascii="Garamond" w:hAnsi="Garamond"/>
        </w:rPr>
      </w:pPr>
      <w:r w:rsidRPr="009672FC">
        <w:rPr>
          <w:rFonts w:ascii="Garamond" w:hAnsi="Garamond"/>
          <w:color w:val="000000"/>
        </w:rPr>
        <w:t xml:space="preserve">In this section, the research assesses how small-and-medium-sized enterprises differ in their institutional trust-building practices. Multi-Group Analysis (MGA) in SmartPLS helps to examine the </w:t>
      </w:r>
      <w:r w:rsidRPr="009672FC">
        <w:rPr>
          <w:rFonts w:ascii="Garamond" w:hAnsi="Garamond"/>
          <w:b/>
          <w:bCs/>
          <w:i/>
          <w:iCs/>
          <w:color w:val="000000"/>
        </w:rPr>
        <w:t>RQ1</w:t>
      </w:r>
      <w:r w:rsidRPr="009672FC">
        <w:rPr>
          <w:rFonts w:ascii="Garamond" w:hAnsi="Garamond"/>
          <w:b/>
          <w:bCs/>
          <w:color w:val="000000"/>
        </w:rPr>
        <w:t>:</w:t>
      </w:r>
      <w:r w:rsidRPr="009672FC">
        <w:rPr>
          <w:rFonts w:ascii="Garamond" w:hAnsi="Garamond"/>
          <w:color w:val="000000"/>
        </w:rPr>
        <w:t xml:space="preserve"> “Does trust-building practice differ significantly between firms according to size (small-sized vs medium-sized)?”.  MGA is a suitable tool in </w:t>
      </w:r>
      <w:r w:rsidRPr="009672FC">
        <w:rPr>
          <w:rFonts w:ascii="Garamond" w:hAnsi="Garamond"/>
        </w:rPr>
        <w:t xml:space="preserve">PLS multigroup analysis </w:t>
      </w:r>
      <w:r w:rsidRPr="009672FC">
        <w:rPr>
          <w:rFonts w:ascii="Garamond" w:hAnsi="Garamond"/>
        </w:rPr>
        <w:fldChar w:fldCharType="begin" w:fldLock="1"/>
      </w:r>
      <w:r w:rsidRPr="009672FC">
        <w:rPr>
          <w:rFonts w:ascii="Garamond" w:hAnsi="Garamond"/>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2016)","plainTextFormattedCitation":"(Garson, 2016)","previouslyFormattedCitation":"(Garson,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(Garson, 2016)</w:t>
      </w:r>
      <w:r w:rsidRPr="009672FC">
        <w:rPr>
          <w:rFonts w:ascii="Garamond" w:hAnsi="Garamond"/>
        </w:rPr>
        <w:fldChar w:fldCharType="end"/>
      </w:r>
      <w:r w:rsidRPr="009672FC">
        <w:rPr>
          <w:rFonts w:ascii="Garamond" w:hAnsi="Garamond"/>
        </w:rPr>
        <w:t xml:space="preserve">, enabling researchers to determine if the PLS model significantly differs between groups (e.g., small vs medium-sized firms). Scholars argue that MGA is a more preferred technique over ANOVA, simply because MGA is more conservative and works well with small sample size, an important strength of the SmartPLS tool </w:t>
      </w:r>
      <w:r w:rsidRPr="009672FC">
        <w:rPr>
          <w:rFonts w:ascii="Garamond" w:hAnsi="Garamond"/>
        </w:rPr>
        <w:fldChar w:fldCharType="begin" w:fldLock="1"/>
      </w:r>
      <w:r w:rsidRPr="009672FC">
        <w:rPr>
          <w:rFonts w:ascii="Garamond" w:hAnsi="Garamond"/>
        </w:rPr>
        <w:instrText>ADDIN CSL_CITATION {"citationItems":[{"id":"ITEM-1","itemData":{"DOI":"10.1201/b16017-6","ISBN":"9781626380394","abstract":"In the previous chapter, details were provided regarding the research design, instruments used, rationale behind pilot questionnaire, details of pilot study, main study, population, sample size, sampling method, profile of institutions, data collection procedure, description of variables, various tests employed etc. 4.1 Data Analysis and Interpretation This section peeps deep into the statistical analysis of the data. After completion of full-fledged survey with finalized questionnaire, data was arranged in an orderly fashion in a summary of spread sheet, by counting the frequency of responses of each question. The hypotheses have been formulated and tested using SPSS software and the results have been arrived at. The total analysis was carried out by using SPSS 18.1 software package. 4.2 Statistical Tests Employed The hypotheses have been formulated and tested using SPSS software and the results have been arrived at. The total analysis was carried out by using SPSS 18.1 software package. Various other statistical tools and tests used for analysis included reliability analysis, reliability testing, Cronbach's Alpha, Kaiser-Meyer-Olkin measure of sampling adequacy, tabulation of data, descriptive statistics, means, averages, factor analysis, total variance analysis, principal component analysis using EIGEN values, rotated component matrix, correlation","author":[{"dropping-particle":"","family":"Garson","given":"G. David","non-dropping-particle":"","parse-names":false,"suffix":""}],"container-title":"Multi-Label Dimensionality Reduction","id":"ITEM-1","issued":{"date-parts":[["2016"]]},"number-of-pages":"43-62","publisher":"G. David Garson and Statistical Associates Publishing","title":"Partial Least Squares: Regression &amp; Structural Equation Models","type":"book"},"uris":["http://www.mendeley.com/documents/?uuid=f3f48b11-874b-408f-8d4d-f6a48321f071"]}],"mendeley":{"formattedCitation":"(Garson, 2016)","plainTextFormattedCitation":"(Garson, 2016)","previouslyFormattedCitation":"(Garson,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(Garson, 2016)</w:t>
      </w:r>
      <w:r w:rsidRPr="009672FC">
        <w:rPr>
          <w:rFonts w:ascii="Garamond" w:hAnsi="Garamond"/>
        </w:rPr>
        <w:fldChar w:fldCharType="end"/>
      </w:r>
      <w:r w:rsidRPr="009672FC">
        <w:rPr>
          <w:rFonts w:ascii="Garamond" w:hAnsi="Garamond"/>
        </w:rPr>
        <w:t xml:space="preserve">. </w:t>
      </w:r>
    </w:p>
    <w:p w14:paraId="301FBE80" w14:textId="7AE1F14F" w:rsidR="00890FB2" w:rsidRPr="009672FC" w:rsidRDefault="00890FB2" w:rsidP="00890FB2">
      <w:pPr>
        <w:jc w:val="center"/>
        <w:rPr>
          <w:rFonts w:ascii="Garamond" w:hAnsi="Garamond"/>
          <w:b/>
          <w:bCs/>
        </w:rPr>
      </w:pPr>
    </w:p>
    <w:p w14:paraId="51FE1962" w14:textId="06D1C944" w:rsidR="00EB5D6B" w:rsidRPr="00BC16AE" w:rsidRDefault="00EB5D6B" w:rsidP="00EB5D6B">
      <w:pPr>
        <w:pStyle w:val="Caption"/>
        <w:jc w:val="center"/>
        <w:rPr>
          <w:rFonts w:ascii="Garamond" w:hAnsi="Garamond"/>
          <w:b/>
          <w:bCs/>
          <w:sz w:val="22"/>
          <w:szCs w:val="22"/>
        </w:rPr>
      </w:pPr>
      <w:bookmarkStart w:id="196" w:name="_Toc85710583"/>
      <w:r w:rsidRPr="00BC16AE">
        <w:rPr>
          <w:rFonts w:ascii="Garamond" w:hAnsi="Garamond"/>
          <w:sz w:val="22"/>
          <w:szCs w:val="22"/>
        </w:rPr>
        <w:t xml:space="preserve">Figure </w:t>
      </w:r>
      <w:r w:rsidR="00C10BC3" w:rsidRPr="00BC16AE">
        <w:rPr>
          <w:rFonts w:ascii="Garamond" w:hAnsi="Garamond"/>
          <w:sz w:val="22"/>
          <w:szCs w:val="22"/>
        </w:rPr>
        <w:fldChar w:fldCharType="begin"/>
      </w:r>
      <w:r w:rsidR="00C10BC3" w:rsidRPr="00BC16AE">
        <w:rPr>
          <w:rFonts w:ascii="Garamond" w:hAnsi="Garamond"/>
          <w:sz w:val="22"/>
          <w:szCs w:val="22"/>
        </w:rPr>
        <w:instrText xml:space="preserve"> SEQ Figure \* ARABIC </w:instrText>
      </w:r>
      <w:r w:rsidR="00C10BC3" w:rsidRPr="00BC16AE">
        <w:rPr>
          <w:rFonts w:ascii="Garamond" w:hAnsi="Garamond"/>
          <w:sz w:val="22"/>
          <w:szCs w:val="22"/>
        </w:rPr>
        <w:fldChar w:fldCharType="separate"/>
      </w:r>
      <w:r w:rsidR="001C1648">
        <w:rPr>
          <w:rFonts w:ascii="Garamond" w:hAnsi="Garamond"/>
          <w:noProof/>
          <w:sz w:val="22"/>
          <w:szCs w:val="22"/>
        </w:rPr>
        <w:t>8</w:t>
      </w:r>
      <w:r w:rsidR="00C10BC3" w:rsidRPr="00BC16AE">
        <w:rPr>
          <w:rFonts w:ascii="Garamond" w:hAnsi="Garamond"/>
          <w:noProof/>
          <w:sz w:val="22"/>
          <w:szCs w:val="22"/>
        </w:rPr>
        <w:fldChar w:fldCharType="end"/>
      </w:r>
      <w:r w:rsidRPr="00BC16AE">
        <w:rPr>
          <w:rFonts w:ascii="Garamond" w:hAnsi="Garamond"/>
          <w:sz w:val="22"/>
          <w:szCs w:val="22"/>
        </w:rPr>
        <w:t>. The Path Coefficients for Small-sized enterprise</w:t>
      </w:r>
      <w:bookmarkEnd w:id="196"/>
      <w:r w:rsidR="00BC16AE">
        <w:rPr>
          <w:rFonts w:ascii="Garamond" w:hAnsi="Garamond"/>
          <w:sz w:val="22"/>
          <w:szCs w:val="22"/>
        </w:rPr>
        <w:t>s</w:t>
      </w:r>
    </w:p>
    <w:p w14:paraId="4CDBF576" w14:textId="77777777" w:rsidR="00890FB2" w:rsidRPr="009672FC" w:rsidRDefault="00890FB2" w:rsidP="00890FB2">
      <w:pPr>
        <w:spacing w:before="240"/>
        <w:jc w:val="center"/>
        <w:rPr>
          <w:rFonts w:ascii="Garamond" w:hAnsi="Garamond"/>
        </w:rPr>
      </w:pPr>
      <w:r w:rsidRPr="009672FC">
        <w:rPr>
          <w:rFonts w:ascii="Garamond" w:hAnsi="Garamond"/>
          <w:noProof/>
          <w:lang w:eastAsia="en-US"/>
        </w:rPr>
        <w:drawing>
          <wp:inline distT="0" distB="0" distL="0" distR="0" wp14:anchorId="07C9B67C" wp14:editId="57F8CA89">
            <wp:extent cx="5549900" cy="2305050"/>
            <wp:effectExtent l="0" t="0" r="0" b="0"/>
            <wp:docPr id="13" name="Picture 25"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5" descr="Diagram, schematic&#10;&#10;Description automatically generated"/>
                    <pic:cNvPicPr>
                      <a:picLocks noChangeAspect="1" noChangeArrowheads="1"/>
                    </pic:cNvPicPr>
                  </pic:nvPicPr>
                  <pic:blipFill>
                    <a:blip r:embed="rId32"/>
                    <a:stretch>
                      <a:fillRect/>
                    </a:stretch>
                  </pic:blipFill>
                  <pic:spPr bwMode="auto">
                    <a:xfrm>
                      <a:off x="0" y="0"/>
                      <a:ext cx="5549900" cy="2305050"/>
                    </a:xfrm>
                    <a:prstGeom prst="rect">
                      <a:avLst/>
                    </a:prstGeom>
                  </pic:spPr>
                </pic:pic>
              </a:graphicData>
            </a:graphic>
          </wp:inline>
        </w:drawing>
      </w:r>
    </w:p>
    <w:p w14:paraId="2D649C37" w14:textId="77777777" w:rsidR="00890FB2" w:rsidRPr="00BC16AE" w:rsidRDefault="00890FB2" w:rsidP="00BC16AE">
      <w:pPr>
        <w:ind w:firstLine="720"/>
        <w:jc w:val="both"/>
        <w:rPr>
          <w:rFonts w:ascii="Garamond" w:hAnsi="Garamond"/>
          <w:i/>
          <w:iCs/>
          <w:color w:val="000000"/>
          <w:sz w:val="22"/>
          <w:szCs w:val="22"/>
        </w:rPr>
      </w:pPr>
      <w:r w:rsidRPr="00BC16AE">
        <w:rPr>
          <w:rFonts w:ascii="Garamond" w:hAnsi="Garamond"/>
          <w:i/>
          <w:iCs/>
          <w:color w:val="000000"/>
          <w:sz w:val="22"/>
          <w:szCs w:val="22"/>
        </w:rPr>
        <w:t xml:space="preserve">Source, primary data, June 2021, </w:t>
      </w:r>
      <w:r w:rsidRPr="00BC16AE">
        <w:rPr>
          <w:rFonts w:ascii="Garamond" w:hAnsi="Garamond"/>
          <w:i/>
          <w:iCs/>
          <w:sz w:val="22"/>
          <w:szCs w:val="22"/>
        </w:rPr>
        <w:t>Smart-PLS MGA output (</w:t>
      </w:r>
      <w:proofErr w:type="spellStart"/>
      <w:r w:rsidRPr="00BC16AE">
        <w:rPr>
          <w:rFonts w:ascii="Garamond" w:hAnsi="Garamond"/>
          <w:i/>
          <w:iCs/>
          <w:sz w:val="22"/>
          <w:szCs w:val="22"/>
        </w:rPr>
        <w:t>Henseler</w:t>
      </w:r>
      <w:proofErr w:type="spellEnd"/>
      <w:r w:rsidRPr="00BC16AE">
        <w:rPr>
          <w:rFonts w:ascii="Garamond" w:hAnsi="Garamond"/>
          <w:i/>
          <w:iCs/>
          <w:sz w:val="22"/>
          <w:szCs w:val="22"/>
        </w:rPr>
        <w:t xml:space="preserve">, </w:t>
      </w:r>
      <w:proofErr w:type="spellStart"/>
      <w:r w:rsidRPr="00BC16AE">
        <w:rPr>
          <w:rFonts w:ascii="Garamond" w:hAnsi="Garamond"/>
          <w:i/>
          <w:iCs/>
          <w:sz w:val="22"/>
          <w:szCs w:val="22"/>
        </w:rPr>
        <w:t>Ringle</w:t>
      </w:r>
      <w:proofErr w:type="spellEnd"/>
      <w:r w:rsidRPr="00BC16AE">
        <w:rPr>
          <w:rFonts w:ascii="Garamond" w:hAnsi="Garamond"/>
          <w:i/>
          <w:iCs/>
          <w:sz w:val="22"/>
          <w:szCs w:val="22"/>
        </w:rPr>
        <w:t xml:space="preserve"> &amp; </w:t>
      </w:r>
      <w:proofErr w:type="spellStart"/>
      <w:r w:rsidRPr="00BC16AE">
        <w:rPr>
          <w:rFonts w:ascii="Garamond" w:hAnsi="Garamond"/>
          <w:i/>
          <w:iCs/>
          <w:sz w:val="22"/>
          <w:szCs w:val="22"/>
        </w:rPr>
        <w:t>Sarstedt</w:t>
      </w:r>
      <w:proofErr w:type="spellEnd"/>
      <w:r w:rsidRPr="00BC16AE">
        <w:rPr>
          <w:rFonts w:ascii="Garamond" w:hAnsi="Garamond"/>
          <w:i/>
          <w:iCs/>
          <w:sz w:val="22"/>
          <w:szCs w:val="22"/>
        </w:rPr>
        <w:t>, 2015)</w:t>
      </w:r>
    </w:p>
    <w:p w14:paraId="4CB15B1B" w14:textId="6C1C45EB" w:rsidR="00890FB2" w:rsidRPr="009672FC" w:rsidRDefault="007549AA" w:rsidP="00890FB2">
      <w:pPr>
        <w:spacing w:before="240" w:line="360" w:lineRule="auto"/>
        <w:jc w:val="both"/>
        <w:rPr>
          <w:rFonts w:ascii="Garamond" w:hAnsi="Garamond"/>
        </w:rPr>
      </w:pPr>
      <w:r w:rsidRPr="009672FC">
        <w:rPr>
          <w:rFonts w:ascii="Garamond" w:hAnsi="Garamond"/>
        </w:rPr>
        <w:t>A multi-Group Analysis assesses firms in terms of size. This classification of responses was based on the size of business in The Gambia (MSMEs Policy, 2019). Results of the path coefficients empirically show that only similarity/identification trust, was statistically significant for small enterprises (</w:t>
      </w:r>
      <w:r w:rsidRPr="009672FC">
        <w:rPr>
          <w:rFonts w:ascii="Garamond" w:hAnsi="Garamond"/>
          <w:i/>
          <w:iCs/>
        </w:rPr>
        <w:t>p</w:t>
      </w:r>
      <w:r w:rsidRPr="009672FC">
        <w:rPr>
          <w:rFonts w:ascii="Garamond" w:hAnsi="Garamond"/>
        </w:rPr>
        <w:t xml:space="preserve"> &lt; 0.005; </w:t>
      </w:r>
      <w:r w:rsidRPr="009672FC">
        <w:rPr>
          <w:rFonts w:ascii="Garamond" w:hAnsi="Garamond"/>
          <w:i/>
          <w:iCs/>
        </w:rPr>
        <w:t>t – value</w:t>
      </w:r>
      <w:r w:rsidRPr="009672FC">
        <w:rPr>
          <w:rFonts w:ascii="Garamond" w:hAnsi="Garamond"/>
        </w:rPr>
        <w:t xml:space="preserve"> = 2.489, t - value &gt; 1.96). However, the path coefficients for other trust-building </w:t>
      </w:r>
      <w:r w:rsidR="00813D37" w:rsidRPr="009672FC">
        <w:rPr>
          <w:rFonts w:ascii="Garamond" w:hAnsi="Garamond"/>
        </w:rPr>
        <w:t>dimensions</w:t>
      </w:r>
      <w:r w:rsidRPr="009672FC">
        <w:rPr>
          <w:rFonts w:ascii="Garamond" w:hAnsi="Garamond"/>
        </w:rPr>
        <w:t xml:space="preserve"> (</w:t>
      </w:r>
      <w:r w:rsidRPr="009672FC">
        <w:rPr>
          <w:rFonts w:ascii="Garamond" w:hAnsi="Garamond"/>
          <w:i/>
          <w:iCs/>
        </w:rPr>
        <w:t>CTm, OTm, RTm, RRm</w:t>
      </w:r>
      <w:r w:rsidRPr="009672FC">
        <w:rPr>
          <w:rFonts w:ascii="Garamond" w:hAnsi="Garamond"/>
        </w:rPr>
        <w:t>, and</w:t>
      </w:r>
      <w:r w:rsidRPr="009672FC">
        <w:rPr>
          <w:rFonts w:ascii="Garamond" w:hAnsi="Garamond"/>
          <w:i/>
          <w:iCs/>
        </w:rPr>
        <w:t xml:space="preserve"> IPm</w:t>
      </w:r>
      <w:r w:rsidRPr="009672FC">
        <w:rPr>
          <w:rFonts w:ascii="Garamond" w:hAnsi="Garamond"/>
        </w:rPr>
        <w:t>) are below the acceptable threshold (</w:t>
      </w:r>
      <w:r w:rsidRPr="009672FC">
        <w:rPr>
          <w:rFonts w:ascii="Garamond" w:hAnsi="Garamond"/>
          <w:i/>
          <w:iCs/>
        </w:rPr>
        <w:t>t – value</w:t>
      </w:r>
      <w:r w:rsidRPr="009672FC">
        <w:rPr>
          <w:rFonts w:ascii="Garamond" w:hAnsi="Garamond"/>
        </w:rPr>
        <w:t xml:space="preserve"> &lt; 1.96) and thus not statistically significant for small-sized enterprises. See Figure 6 </w:t>
      </w:r>
      <w:r w:rsidRPr="009672FC">
        <w:rPr>
          <w:rFonts w:ascii="Garamond" w:hAnsi="Garamond"/>
        </w:rPr>
        <w:lastRenderedPageBreak/>
        <w:t>(SmartPLS MGA output)</w:t>
      </w:r>
      <w:r w:rsidRPr="009672FC">
        <w:rPr>
          <w:rFonts w:ascii="Garamond" w:hAnsi="Garamond"/>
          <w:color w:val="000000"/>
        </w:rPr>
        <w:t xml:space="preserve"> </w:t>
      </w:r>
      <w:r w:rsidRPr="009672FC">
        <w:rPr>
          <w:rFonts w:ascii="Garamond" w:hAnsi="Garamond"/>
        </w:rPr>
        <w:t>showing path relationships for small-sized enterprises for better illustration.</w:t>
      </w:r>
    </w:p>
    <w:p w14:paraId="5FC5AB3C" w14:textId="529BB0D0" w:rsidR="00890FB2" w:rsidRPr="009672FC" w:rsidRDefault="00890FB2" w:rsidP="00890FB2">
      <w:pPr>
        <w:spacing w:before="240" w:line="360" w:lineRule="auto"/>
        <w:jc w:val="both"/>
        <w:rPr>
          <w:rFonts w:ascii="Garamond" w:hAnsi="Garamond"/>
          <w:b/>
          <w:bCs/>
        </w:rPr>
      </w:pPr>
      <w:r w:rsidRPr="009672FC">
        <w:rPr>
          <w:rFonts w:ascii="Garamond" w:hAnsi="Garamond"/>
          <w:color w:val="000000"/>
        </w:rPr>
        <w:t xml:space="preserve">Moreover, the results of the MGA output (Figure 7) for medium-sized enterprises, show that the effect of relational risk </w:t>
      </w:r>
      <w:r w:rsidRPr="009672FC">
        <w:rPr>
          <w:rFonts w:ascii="Garamond" w:hAnsi="Garamond"/>
          <w:i/>
          <w:iCs/>
          <w:color w:val="000000"/>
        </w:rPr>
        <w:t>(RRm)</w:t>
      </w:r>
      <w:r w:rsidRPr="009672FC">
        <w:rPr>
          <w:rFonts w:ascii="Garamond" w:hAnsi="Garamond"/>
          <w:color w:val="000000"/>
        </w:rPr>
        <w:t xml:space="preserve"> on innovation performance </w:t>
      </w:r>
      <w:r w:rsidRPr="009672FC">
        <w:rPr>
          <w:rFonts w:ascii="Garamond" w:hAnsi="Garamond"/>
          <w:i/>
          <w:iCs/>
          <w:color w:val="000000"/>
        </w:rPr>
        <w:t>(IPm)</w:t>
      </w:r>
      <w:r w:rsidRPr="009672FC">
        <w:rPr>
          <w:rFonts w:ascii="Garamond" w:hAnsi="Garamond"/>
          <w:color w:val="000000"/>
        </w:rPr>
        <w:t xml:space="preserve"> has the biggest effect (t – value = 7.997) on the model compared to others. Also, the paths from openness trust </w:t>
      </w:r>
      <w:r w:rsidRPr="009672FC">
        <w:rPr>
          <w:rFonts w:ascii="Garamond" w:hAnsi="Garamond"/>
          <w:i/>
          <w:iCs/>
          <w:color w:val="000000"/>
        </w:rPr>
        <w:t>(</w:t>
      </w:r>
      <w:proofErr w:type="spellStart"/>
      <w:r w:rsidRPr="009672FC">
        <w:rPr>
          <w:rFonts w:ascii="Garamond" w:hAnsi="Garamond"/>
          <w:i/>
          <w:iCs/>
          <w:color w:val="000000"/>
        </w:rPr>
        <w:t>OPm</w:t>
      </w:r>
      <w:proofErr w:type="spellEnd"/>
      <w:r w:rsidRPr="009672FC">
        <w:rPr>
          <w:rFonts w:ascii="Garamond" w:hAnsi="Garamond"/>
          <w:i/>
          <w:iCs/>
          <w:color w:val="000000"/>
        </w:rPr>
        <w:t>)</w:t>
      </w:r>
      <w:r w:rsidRPr="009672FC">
        <w:rPr>
          <w:rFonts w:ascii="Garamond" w:hAnsi="Garamond"/>
          <w:color w:val="000000"/>
        </w:rPr>
        <w:t xml:space="preserve"> to relational risk </w:t>
      </w:r>
      <w:r w:rsidRPr="009672FC">
        <w:rPr>
          <w:rFonts w:ascii="Garamond" w:hAnsi="Garamond"/>
          <w:i/>
          <w:iCs/>
          <w:color w:val="000000"/>
        </w:rPr>
        <w:t>(RRm)</w:t>
      </w:r>
      <w:r w:rsidRPr="009672FC">
        <w:rPr>
          <w:rFonts w:ascii="Garamond" w:hAnsi="Garamond"/>
          <w:color w:val="000000"/>
        </w:rPr>
        <w:t xml:space="preserve"> (t – value = 2.042), competence trust </w:t>
      </w:r>
      <w:r w:rsidRPr="009672FC">
        <w:rPr>
          <w:rFonts w:ascii="Garamond" w:hAnsi="Garamond"/>
          <w:i/>
          <w:iCs/>
          <w:color w:val="000000"/>
        </w:rPr>
        <w:t>(CTm)</w:t>
      </w:r>
      <w:r w:rsidRPr="009672FC">
        <w:rPr>
          <w:rFonts w:ascii="Garamond" w:hAnsi="Garamond"/>
          <w:color w:val="000000"/>
        </w:rPr>
        <w:t xml:space="preserve"> to relational risk </w:t>
      </w:r>
      <w:r w:rsidRPr="009672FC">
        <w:rPr>
          <w:rFonts w:ascii="Garamond" w:hAnsi="Garamond"/>
          <w:i/>
          <w:iCs/>
          <w:color w:val="000000"/>
        </w:rPr>
        <w:t>(RRm)</w:t>
      </w:r>
      <w:r w:rsidRPr="009672FC">
        <w:rPr>
          <w:rFonts w:ascii="Garamond" w:hAnsi="Garamond"/>
          <w:color w:val="000000"/>
        </w:rPr>
        <w:t xml:space="preserve"> (t – value = 2.080) met the minimum threshold of t – value = 1.96 </w:t>
      </w:r>
      <w:r w:rsidRPr="009672FC">
        <w:rPr>
          <w:rFonts w:ascii="Garamond" w:hAnsi="Garamond"/>
        </w:rPr>
        <w:fldChar w:fldCharType="begin" w:fldLock="1"/>
      </w:r>
      <w:r w:rsidRPr="009672FC">
        <w:rPr>
          <w:rFonts w:ascii="Garamond" w:hAnsi="Garamond"/>
          <w:color w:val="000000"/>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2013)","plainTextFormattedCitation":"(Wong, 2013)","previouslyFormattedCitation":"(Wong,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(Wong, 2013)</w:t>
      </w:r>
      <w:r w:rsidRPr="009672FC">
        <w:rPr>
          <w:rFonts w:ascii="Garamond" w:hAnsi="Garamond"/>
          <w:color w:val="000000"/>
        </w:rPr>
        <w:fldChar w:fldCharType="end"/>
      </w:r>
      <w:r w:rsidRPr="009672FC">
        <w:rPr>
          <w:rFonts w:ascii="Garamond" w:hAnsi="Garamond"/>
          <w:color w:val="000000"/>
        </w:rPr>
        <w:t xml:space="preserve">, thus have a significant effect on medium-sized enterprises. However, relational trust </w:t>
      </w:r>
      <w:r w:rsidRPr="009672FC">
        <w:rPr>
          <w:rFonts w:ascii="Garamond" w:hAnsi="Garamond"/>
          <w:i/>
          <w:iCs/>
          <w:color w:val="000000"/>
        </w:rPr>
        <w:t>(RTm)</w:t>
      </w:r>
      <w:r w:rsidRPr="009672FC">
        <w:rPr>
          <w:rFonts w:ascii="Garamond" w:hAnsi="Garamond"/>
          <w:color w:val="000000"/>
        </w:rPr>
        <w:t xml:space="preserve"> (</w:t>
      </w:r>
      <w:r w:rsidRPr="009672FC">
        <w:rPr>
          <w:rFonts w:ascii="Garamond" w:hAnsi="Garamond"/>
          <w:i/>
          <w:iCs/>
          <w:color w:val="000000"/>
        </w:rPr>
        <w:t>t – values</w:t>
      </w:r>
      <w:r w:rsidRPr="009672FC">
        <w:rPr>
          <w:rFonts w:ascii="Garamond" w:hAnsi="Garamond"/>
          <w:color w:val="000000"/>
        </w:rPr>
        <w:t xml:space="preserve"> = 1.269; 1.84) and similarity/identification trust </w:t>
      </w:r>
      <w:r w:rsidRPr="009672FC">
        <w:rPr>
          <w:rFonts w:ascii="Garamond" w:hAnsi="Garamond"/>
          <w:i/>
          <w:iCs/>
          <w:color w:val="000000"/>
        </w:rPr>
        <w:t>(SITm)</w:t>
      </w:r>
      <w:r w:rsidRPr="009672FC">
        <w:rPr>
          <w:rFonts w:ascii="Garamond" w:hAnsi="Garamond"/>
          <w:color w:val="000000"/>
        </w:rPr>
        <w:t xml:space="preserve"> (</w:t>
      </w:r>
      <w:r w:rsidRPr="009672FC">
        <w:rPr>
          <w:rFonts w:ascii="Garamond" w:hAnsi="Garamond"/>
          <w:i/>
          <w:iCs/>
          <w:color w:val="000000"/>
        </w:rPr>
        <w:t>t – values</w:t>
      </w:r>
      <w:r w:rsidRPr="009672FC">
        <w:rPr>
          <w:rFonts w:ascii="Garamond" w:hAnsi="Garamond"/>
          <w:color w:val="000000"/>
        </w:rPr>
        <w:t xml:space="preserve"> = 1.267; 1.374) all falls below the acceptable threshold (</w:t>
      </w:r>
      <w:r w:rsidRPr="009672FC">
        <w:rPr>
          <w:rFonts w:ascii="Garamond" w:hAnsi="Garamond"/>
          <w:i/>
          <w:iCs/>
          <w:color w:val="000000"/>
        </w:rPr>
        <w:t>t – value</w:t>
      </w:r>
      <w:r w:rsidRPr="009672FC">
        <w:rPr>
          <w:rFonts w:ascii="Garamond" w:hAnsi="Garamond"/>
          <w:color w:val="000000"/>
        </w:rPr>
        <w:t xml:space="preserve"> = 1.96) thus accounting for no significant effect on the model for medium-sized enterprise.</w:t>
      </w:r>
    </w:p>
    <w:p w14:paraId="6FB96D4C" w14:textId="5A058963" w:rsidR="003D5DE8" w:rsidRPr="00BC16AE" w:rsidRDefault="00EB5D6B" w:rsidP="00BC16AE">
      <w:pPr>
        <w:pStyle w:val="Caption"/>
        <w:spacing w:after="0"/>
        <w:jc w:val="center"/>
        <w:rPr>
          <w:rFonts w:ascii="Garamond" w:hAnsi="Garamond"/>
          <w:color w:val="000000"/>
          <w:sz w:val="22"/>
          <w:szCs w:val="22"/>
        </w:rPr>
      </w:pPr>
      <w:bookmarkStart w:id="197" w:name="_Toc85710584"/>
      <w:r w:rsidRPr="00BC16AE">
        <w:rPr>
          <w:rFonts w:ascii="Garamond" w:hAnsi="Garamond"/>
          <w:sz w:val="22"/>
          <w:szCs w:val="22"/>
        </w:rPr>
        <w:t xml:space="preserve">Figure </w:t>
      </w:r>
      <w:r w:rsidR="00C10BC3" w:rsidRPr="00BC16AE">
        <w:rPr>
          <w:rFonts w:ascii="Garamond" w:hAnsi="Garamond"/>
          <w:sz w:val="22"/>
          <w:szCs w:val="22"/>
        </w:rPr>
        <w:fldChar w:fldCharType="begin"/>
      </w:r>
      <w:r w:rsidR="00C10BC3" w:rsidRPr="00BC16AE">
        <w:rPr>
          <w:rFonts w:ascii="Garamond" w:hAnsi="Garamond"/>
          <w:sz w:val="22"/>
          <w:szCs w:val="22"/>
        </w:rPr>
        <w:instrText xml:space="preserve"> SEQ Figure \* ARABIC </w:instrText>
      </w:r>
      <w:r w:rsidR="00C10BC3" w:rsidRPr="00BC16AE">
        <w:rPr>
          <w:rFonts w:ascii="Garamond" w:hAnsi="Garamond"/>
          <w:sz w:val="22"/>
          <w:szCs w:val="22"/>
        </w:rPr>
        <w:fldChar w:fldCharType="separate"/>
      </w:r>
      <w:r w:rsidR="001C1648">
        <w:rPr>
          <w:rFonts w:ascii="Garamond" w:hAnsi="Garamond"/>
          <w:noProof/>
          <w:sz w:val="22"/>
          <w:szCs w:val="22"/>
        </w:rPr>
        <w:t>9</w:t>
      </w:r>
      <w:r w:rsidR="00C10BC3" w:rsidRPr="00BC16AE">
        <w:rPr>
          <w:rFonts w:ascii="Garamond" w:hAnsi="Garamond"/>
          <w:noProof/>
          <w:sz w:val="22"/>
          <w:szCs w:val="22"/>
        </w:rPr>
        <w:fldChar w:fldCharType="end"/>
      </w:r>
      <w:r w:rsidRPr="00BC16AE">
        <w:rPr>
          <w:rFonts w:ascii="Garamond" w:hAnsi="Garamond"/>
          <w:sz w:val="22"/>
          <w:szCs w:val="22"/>
        </w:rPr>
        <w:t>. The Path Coefficients for Medium-sized enterprises</w:t>
      </w:r>
      <w:bookmarkEnd w:id="197"/>
    </w:p>
    <w:p w14:paraId="37A2E4E9" w14:textId="77777777" w:rsidR="003D5DE8" w:rsidRPr="009672FC" w:rsidRDefault="007549AA">
      <w:pPr>
        <w:spacing w:before="240"/>
        <w:jc w:val="center"/>
        <w:rPr>
          <w:rFonts w:ascii="Garamond" w:hAnsi="Garamond"/>
          <w:color w:val="000000"/>
        </w:rPr>
      </w:pPr>
      <w:r w:rsidRPr="009672FC">
        <w:rPr>
          <w:rFonts w:ascii="Garamond" w:hAnsi="Garamond"/>
          <w:noProof/>
          <w:lang w:eastAsia="en-US"/>
        </w:rPr>
        <w:drawing>
          <wp:inline distT="0" distB="0" distL="0" distR="0" wp14:anchorId="0BC910E9" wp14:editId="23E94A68">
            <wp:extent cx="5678170" cy="2592125"/>
            <wp:effectExtent l="0" t="0" r="0" b="0"/>
            <wp:docPr id="11" name="Picture 27"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7" descr="Diagram, schematic&#10;&#10;Description automatically generated"/>
                    <pic:cNvPicPr>
                      <a:picLocks noChangeAspect="1" noChangeArrowheads="1"/>
                    </pic:cNvPicPr>
                  </pic:nvPicPr>
                  <pic:blipFill>
                    <a:blip r:embed="rId33"/>
                    <a:stretch>
                      <a:fillRect/>
                    </a:stretch>
                  </pic:blipFill>
                  <pic:spPr bwMode="auto">
                    <a:xfrm>
                      <a:off x="0" y="0"/>
                      <a:ext cx="5682229" cy="2593978"/>
                    </a:xfrm>
                    <a:prstGeom prst="rect">
                      <a:avLst/>
                    </a:prstGeom>
                  </pic:spPr>
                </pic:pic>
              </a:graphicData>
            </a:graphic>
          </wp:inline>
        </w:drawing>
      </w:r>
    </w:p>
    <w:p w14:paraId="7F34927C" w14:textId="47D82BDB" w:rsidR="003D5DE8" w:rsidRPr="00BC16AE" w:rsidRDefault="007549AA" w:rsidP="00BC16AE">
      <w:pPr>
        <w:spacing w:line="360" w:lineRule="auto"/>
        <w:ind w:firstLine="720"/>
        <w:jc w:val="both"/>
        <w:rPr>
          <w:rFonts w:ascii="Garamond" w:hAnsi="Garamond"/>
          <w:i/>
          <w:iCs/>
          <w:sz w:val="22"/>
          <w:szCs w:val="22"/>
        </w:rPr>
      </w:pPr>
      <w:r w:rsidRPr="00BC16AE">
        <w:rPr>
          <w:rFonts w:ascii="Garamond" w:hAnsi="Garamond"/>
          <w:i/>
          <w:iCs/>
          <w:color w:val="000000"/>
          <w:sz w:val="22"/>
          <w:szCs w:val="22"/>
        </w:rPr>
        <w:t xml:space="preserve">Source, primary data, June 2021, </w:t>
      </w:r>
      <w:r w:rsidRPr="00BC16AE">
        <w:rPr>
          <w:rFonts w:ascii="Garamond" w:hAnsi="Garamond"/>
          <w:i/>
          <w:iCs/>
          <w:sz w:val="22"/>
          <w:szCs w:val="22"/>
        </w:rPr>
        <w:t>Smart-PLS MGA output (</w:t>
      </w:r>
      <w:proofErr w:type="spellStart"/>
      <w:r w:rsidRPr="00BC16AE">
        <w:rPr>
          <w:rFonts w:ascii="Garamond" w:hAnsi="Garamond"/>
          <w:i/>
          <w:iCs/>
          <w:sz w:val="22"/>
          <w:szCs w:val="22"/>
        </w:rPr>
        <w:t>Henseler</w:t>
      </w:r>
      <w:proofErr w:type="spellEnd"/>
      <w:r w:rsidRPr="00BC16AE">
        <w:rPr>
          <w:rFonts w:ascii="Garamond" w:hAnsi="Garamond"/>
          <w:i/>
          <w:iCs/>
          <w:sz w:val="22"/>
          <w:szCs w:val="22"/>
        </w:rPr>
        <w:t xml:space="preserve">, </w:t>
      </w:r>
      <w:proofErr w:type="spellStart"/>
      <w:r w:rsidRPr="00BC16AE">
        <w:rPr>
          <w:rFonts w:ascii="Garamond" w:hAnsi="Garamond"/>
          <w:i/>
          <w:iCs/>
          <w:sz w:val="22"/>
          <w:szCs w:val="22"/>
        </w:rPr>
        <w:t>Ringle</w:t>
      </w:r>
      <w:proofErr w:type="spellEnd"/>
      <w:r w:rsidRPr="00BC16AE">
        <w:rPr>
          <w:rFonts w:ascii="Garamond" w:hAnsi="Garamond"/>
          <w:i/>
          <w:iCs/>
          <w:sz w:val="22"/>
          <w:szCs w:val="22"/>
        </w:rPr>
        <w:t xml:space="preserve"> &amp; </w:t>
      </w:r>
      <w:proofErr w:type="spellStart"/>
      <w:r w:rsidRPr="00BC16AE">
        <w:rPr>
          <w:rFonts w:ascii="Garamond" w:hAnsi="Garamond"/>
          <w:i/>
          <w:iCs/>
          <w:sz w:val="22"/>
          <w:szCs w:val="22"/>
        </w:rPr>
        <w:t>Sarstedt</w:t>
      </w:r>
      <w:proofErr w:type="spellEnd"/>
      <w:r w:rsidRPr="00BC16AE">
        <w:rPr>
          <w:rFonts w:ascii="Garamond" w:hAnsi="Garamond"/>
          <w:i/>
          <w:iCs/>
          <w:sz w:val="22"/>
          <w:szCs w:val="22"/>
        </w:rPr>
        <w:t>, 2015)</w:t>
      </w:r>
    </w:p>
    <w:p w14:paraId="4B17539D" w14:textId="58EF8CD1" w:rsidR="00890FB2" w:rsidRPr="009672FC" w:rsidRDefault="00890FB2" w:rsidP="00890FB2">
      <w:pPr>
        <w:spacing w:before="240" w:line="360" w:lineRule="auto"/>
        <w:jc w:val="both"/>
        <w:rPr>
          <w:rFonts w:ascii="Garamond" w:hAnsi="Garamond"/>
          <w:color w:val="000000"/>
          <w:sz w:val="18"/>
          <w:szCs w:val="18"/>
        </w:rPr>
      </w:pPr>
      <w:r w:rsidRPr="009672FC">
        <w:rPr>
          <w:rFonts w:ascii="Garamond" w:hAnsi="Garamond"/>
        </w:rPr>
        <w:t xml:space="preserve">We can conclude, therefore, that institutional trust-building practices differ between firms (small vs large) invariably. While the positive effect of similarity/identification trust </w:t>
      </w:r>
      <w:r w:rsidRPr="009672FC">
        <w:rPr>
          <w:rFonts w:ascii="Garamond" w:hAnsi="Garamond"/>
          <w:i/>
          <w:iCs/>
        </w:rPr>
        <w:t>(SITm)</w:t>
      </w:r>
      <w:r w:rsidRPr="009672FC">
        <w:rPr>
          <w:rFonts w:ascii="Garamond" w:hAnsi="Garamond"/>
        </w:rPr>
        <w:t xml:space="preserve"> on relational risk </w:t>
      </w:r>
      <w:r w:rsidRPr="009672FC">
        <w:rPr>
          <w:rFonts w:ascii="Garamond" w:hAnsi="Garamond"/>
          <w:i/>
          <w:iCs/>
        </w:rPr>
        <w:t>(RRm)</w:t>
      </w:r>
      <w:r w:rsidRPr="009672FC">
        <w:rPr>
          <w:rFonts w:ascii="Garamond" w:hAnsi="Garamond"/>
        </w:rPr>
        <w:t xml:space="preserve"> is significant for small-sized enterprises, for medium-sized enterprises on the other hand, neither the effect of </w:t>
      </w:r>
      <w:r w:rsidRPr="009672FC">
        <w:rPr>
          <w:rFonts w:ascii="Garamond" w:hAnsi="Garamond"/>
          <w:i/>
          <w:iCs/>
        </w:rPr>
        <w:t>SITm</w:t>
      </w:r>
      <w:r w:rsidRPr="009672FC">
        <w:rPr>
          <w:rFonts w:ascii="Garamond" w:hAnsi="Garamond"/>
        </w:rPr>
        <w:t xml:space="preserve"> on </w:t>
      </w:r>
      <w:r w:rsidRPr="009672FC">
        <w:rPr>
          <w:rFonts w:ascii="Garamond" w:hAnsi="Garamond"/>
          <w:i/>
          <w:iCs/>
        </w:rPr>
        <w:t>RRm</w:t>
      </w:r>
      <w:r w:rsidRPr="009672FC">
        <w:rPr>
          <w:rFonts w:ascii="Garamond" w:hAnsi="Garamond"/>
        </w:rPr>
        <w:t xml:space="preserve"> nor </w:t>
      </w:r>
      <w:r w:rsidRPr="009672FC">
        <w:rPr>
          <w:rFonts w:ascii="Garamond" w:hAnsi="Garamond"/>
          <w:i/>
          <w:iCs/>
        </w:rPr>
        <w:t>SITm</w:t>
      </w:r>
      <w:r w:rsidRPr="009672FC">
        <w:rPr>
          <w:rFonts w:ascii="Garamond" w:hAnsi="Garamond"/>
        </w:rPr>
        <w:t xml:space="preserve"> on </w:t>
      </w:r>
      <w:r w:rsidRPr="009672FC">
        <w:rPr>
          <w:rFonts w:ascii="Garamond" w:hAnsi="Garamond"/>
          <w:i/>
          <w:iCs/>
        </w:rPr>
        <w:t>IPm</w:t>
      </w:r>
      <w:r w:rsidRPr="009672FC">
        <w:rPr>
          <w:rFonts w:ascii="Garamond" w:hAnsi="Garamond"/>
        </w:rPr>
        <w:t xml:space="preserve"> was significant. The effect of </w:t>
      </w:r>
      <w:r w:rsidRPr="009672FC">
        <w:rPr>
          <w:rFonts w:ascii="Garamond" w:hAnsi="Garamond"/>
          <w:i/>
          <w:iCs/>
        </w:rPr>
        <w:t>OTm</w:t>
      </w:r>
      <w:r w:rsidRPr="009672FC">
        <w:rPr>
          <w:rFonts w:ascii="Garamond" w:hAnsi="Garamond"/>
        </w:rPr>
        <w:t xml:space="preserve"> on both </w:t>
      </w:r>
      <w:r w:rsidRPr="009672FC">
        <w:rPr>
          <w:rFonts w:ascii="Garamond" w:hAnsi="Garamond"/>
          <w:i/>
          <w:iCs/>
        </w:rPr>
        <w:t>RRm</w:t>
      </w:r>
      <w:r w:rsidRPr="009672FC">
        <w:rPr>
          <w:rFonts w:ascii="Garamond" w:hAnsi="Garamond"/>
        </w:rPr>
        <w:t xml:space="preserve"> and </w:t>
      </w:r>
      <w:r w:rsidRPr="009672FC">
        <w:rPr>
          <w:rFonts w:ascii="Garamond" w:hAnsi="Garamond"/>
          <w:i/>
          <w:iCs/>
        </w:rPr>
        <w:t xml:space="preserve">IPm, CTm </w:t>
      </w:r>
      <w:r w:rsidRPr="009672FC">
        <w:rPr>
          <w:rFonts w:ascii="Garamond" w:hAnsi="Garamond"/>
        </w:rPr>
        <w:t>on</w:t>
      </w:r>
      <w:r w:rsidRPr="009672FC">
        <w:rPr>
          <w:rFonts w:ascii="Garamond" w:hAnsi="Garamond"/>
          <w:i/>
          <w:iCs/>
        </w:rPr>
        <w:t xml:space="preserve"> RRm</w:t>
      </w:r>
      <w:r w:rsidRPr="009672FC">
        <w:rPr>
          <w:rFonts w:ascii="Garamond" w:hAnsi="Garamond"/>
        </w:rPr>
        <w:t xml:space="preserve">, were significant for only medium-sized enterprises. However, no effect of </w:t>
      </w:r>
      <w:r w:rsidRPr="009672FC">
        <w:rPr>
          <w:rFonts w:ascii="Garamond" w:hAnsi="Garamond"/>
          <w:i/>
          <w:iCs/>
        </w:rPr>
        <w:t xml:space="preserve">CTm </w:t>
      </w:r>
      <w:r w:rsidRPr="009672FC">
        <w:rPr>
          <w:rFonts w:ascii="Garamond" w:hAnsi="Garamond"/>
        </w:rPr>
        <w:t>on</w:t>
      </w:r>
      <w:r w:rsidRPr="009672FC">
        <w:rPr>
          <w:rFonts w:ascii="Garamond" w:hAnsi="Garamond"/>
          <w:i/>
          <w:iCs/>
        </w:rPr>
        <w:t xml:space="preserve"> IPm</w:t>
      </w:r>
      <w:r w:rsidRPr="009672FC">
        <w:rPr>
          <w:rFonts w:ascii="Garamond" w:hAnsi="Garamond"/>
        </w:rPr>
        <w:t xml:space="preserve"> was established for medium-sized enterprises.</w:t>
      </w:r>
    </w:p>
    <w:p w14:paraId="1EE4A911" w14:textId="773F30BF" w:rsidR="003D5DE8" w:rsidRPr="009672FC" w:rsidRDefault="007549AA">
      <w:pPr>
        <w:pStyle w:val="Title"/>
        <w:numPr>
          <w:ilvl w:val="1"/>
          <w:numId w:val="11"/>
        </w:numPr>
        <w:spacing w:before="240" w:line="360" w:lineRule="auto"/>
        <w:jc w:val="both"/>
        <w:outlineLvl w:val="1"/>
        <w:rPr>
          <w:rFonts w:ascii="Garamond" w:hAnsi="Garamond" w:cs="Times New Roman"/>
          <w:b/>
          <w:bCs/>
          <w:color w:val="000000"/>
          <w:sz w:val="24"/>
          <w:szCs w:val="24"/>
        </w:rPr>
      </w:pPr>
      <w:bookmarkStart w:id="198" w:name="_Toc85708760"/>
      <w:bookmarkStart w:id="199" w:name="_Toc85709774"/>
      <w:r w:rsidRPr="009672FC">
        <w:rPr>
          <w:rFonts w:ascii="Garamond" w:hAnsi="Garamond" w:cs="Times New Roman"/>
          <w:b/>
          <w:bCs/>
          <w:color w:val="000000"/>
          <w:sz w:val="24"/>
          <w:szCs w:val="24"/>
        </w:rPr>
        <w:lastRenderedPageBreak/>
        <w:t>Discussions and Conclusions</w:t>
      </w:r>
      <w:bookmarkEnd w:id="198"/>
      <w:bookmarkEnd w:id="199"/>
    </w:p>
    <w:p w14:paraId="4536BB21" w14:textId="3A36E79F" w:rsidR="003D5DE8" w:rsidRPr="009672FC" w:rsidRDefault="007549AA">
      <w:pPr>
        <w:spacing w:line="360" w:lineRule="auto"/>
        <w:jc w:val="both"/>
        <w:rPr>
          <w:rFonts w:ascii="Garamond" w:hAnsi="Garamond"/>
          <w:color w:val="000000"/>
        </w:rPr>
      </w:pPr>
      <w:r w:rsidRPr="009672FC">
        <w:rPr>
          <w:rFonts w:ascii="Garamond" w:hAnsi="Garamond"/>
          <w:color w:val="000000"/>
        </w:rPr>
        <w:t>Despite the critical importance of trust in the inter-firm relationship for the innovation performance of SMEs in the phase of the current and highly competitive business environment, unfortunately, only a few empirical studies explored the trust research, specifically in the context of SMEs’ inter-firm relationships</w:t>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2009)","manualFormatting":"(Connelly et al., 2018: Ibrahim and Ribbers, 2009; Bachmann and Inkpen, 2011)","plainTextFormattedCitation":"(Ibrahim &amp; Ribbers, 2009)","previouslyFormattedCitation":"(Ibrahim &amp; Ribbers,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{"citationItems":[{"id":"ITEM-1","itemData":{"DOI":"10.1177/0149206315596813","ISSN":"15571211","abstract":"Trust is an important factor for managing transaction costs within interorganizational relationships (IORs). Research on trust indicates that separate dimensions of trust arise from a partner’s competence (i.e., technical skills, experience, and reliability) and integrity (i.e., motives, honesty, and character), and that these dimensions have potentially unique effects. Because scholars rarely apply this distinction within IOR research, past studies may have masked important relationships involving competence- and integrity-based trust. In response, we build and test theory that explains how competence- and integrity-based trust have asymmetric effects on different kinds of transaction costs. In particular, we build on theory that describes how parties process positive and negative information about others’ behavior to predict that integrity-based trust in IORs is more potent for reducing transaction costs than is competence-based trust. We also theorize that building strong IORs requires more up-front investment with competence-based but not with integrity-based trust. By applying meta-analytic structural equation modeling to data on 37,366 IORs drawn from 150 samples, we find that integrity-based trust is about 10 times more effective at reducing these costs. A key implication is that managers seeking to improve the efficiency of their IORs may do well by performing competently, but they can do even better by building perceptions of integrity.","author":[{"dropping-particle":"","family":"Connelly","given":"Brian L.","non-dropping-particle":"","parse-names":false,"suffix":""},{"dropping-particle":"","family":"Crook","given":"T. Russell","non-dropping-particle":"","parse-names":false,"suffix":""},{"dropping-particle":"","family":"Combs","given":"James G.","non-dropping-particle":"","parse-names":false,"suffix":""},{"dropping-particle":"","family":"Ketchen","given":"David J.","non-dropping-particle":"","parse-names":false,"suffix":""},{"dropping-particle":"","family":"Aguinis","given":"Herman","non-dropping-particle":"","parse-names":false,"suffix":""}],"container-title":"Journal of Management","id":"ITEM-1","issue":"3","issued":{"date-parts":[["2018"]]},"page":"919-945","title":"Competence- and Integrity-Based Trust in Interorganizational Relationships: Which Matters More?","type":"article-journal","volume":"44"},"uris":["http://www.mendeley.com/documents/?uuid=3d66014e-e338-4b18-a506-9351e27f03fe"]}],"mendeley":{"formattedCitation":"(Connelly et al., 2018)","manualFormatting":"(Connelly et al., 2018: ","plainTextFormattedCitation":"(Connelly et al., 2018)","previouslyFormattedCitation":"(Connelly et al., 2018)"},"properties":{"noteIndex":0},"schema":"https://github.com/citation-style-language/schema/raw/master/csl-citation.json"}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color w:val="000000"/>
        </w:rPr>
        <w:t xml:space="preserve">(Connelly </w:t>
      </w:r>
      <w:r w:rsidRPr="009672FC">
        <w:rPr>
          <w:rFonts w:ascii="Garamond" w:hAnsi="Garamond"/>
          <w:i/>
          <w:noProof/>
          <w:color w:val="000000"/>
        </w:rPr>
        <w:t>et al.</w:t>
      </w:r>
      <w:r w:rsidRPr="009672FC">
        <w:rPr>
          <w:rFonts w:ascii="Garamond" w:hAnsi="Garamond"/>
          <w:noProof/>
          <w:color w:val="000000"/>
        </w:rPr>
        <w:t xml:space="preserve">, 2018: </w:t>
      </w:r>
      <w:r w:rsidRPr="009672FC">
        <w:rPr>
          <w:rFonts w:ascii="Garamond" w:hAnsi="Garamond"/>
          <w:noProof/>
        </w:rPr>
        <w:fldChar w:fldCharType="end"/>
      </w:r>
      <w:r w:rsidRPr="009672FC">
        <w:rPr>
          <w:rFonts w:ascii="Garamond" w:hAnsi="Garamond"/>
          <w:noProof/>
          <w:color w:val="000000"/>
        </w:rPr>
        <w:t xml:space="preserve">Ibrahim and Ribbers, 2009; </w:t>
      </w:r>
      <w:r w:rsidRPr="009672FC">
        <w:rPr>
          <w:rFonts w:ascii="Garamond" w:hAnsi="Garamond"/>
          <w:noProof/>
        </w:rPr>
        <w:fldChar w:fldCharType="begin" w:fldLock="1"/>
      </w:r>
      <w:r w:rsidRPr="009672FC">
        <w:rPr>
          <w:rFonts w:ascii="Garamond" w:hAnsi="Garamond"/>
          <w:noProof/>
          <w:color w:val="000000"/>
        </w:rPr>
        <w:instrText>ADDIN CSL_CITATION {"citationItems":[{"id":"ITEM-1","itemData":{"DOI":"10.1177/0170840610397477","ISSN":"01708406","abstract":"This paper deals with the role of institutions in the development of trust in relationships between organizations. We review various strands of literature on organizational trust and examine the assumptions made about how trust building processes are influenced by institutional arrangements. Following this conceptual analysis, we discuss four mechanisms that are pivotal in the development of institutional-based trust. We also examine four situations where the influence of institutions can be particularly conducive to building trust. Finally, we argue that each of the situations calls for specific mechanisms to be predominantly employed in order to effectively create trust in inter-organizational relationships. © The Author(s) 2011.","author":[{"dropping-particle":"","family":"Bachmann","given":"Reinhard","non-dropping-particle":"","parse-names":false,"suffix":""},{"dropping-particle":"","family":"Inkpen","given":"Andrew C.","non-dropping-particle":"","parse-names":false,"suffix":""}],"container-title":"Organization Studies","id":"ITEM-1","issue":"2","issued":{"date-parts":[["2011"]]},"page":"281-301","title":"Understanding institutional-based trust building processes in inter-organizational relationships","type":"article-journal","volume":"32"},"uris":["http://www.mendeley.com/documents/?uuid=0801efa5-0642-460f-b0ac-30495bfba558"]}],"mendeley":{"formattedCitation":"(Bachmann &amp; Inkpen, 2011)","manualFormatting":"Bachmann and Inkpen, 2011","plainTextFormattedCitation":"(Bachmann &amp; Inkpen, 2011)","previouslyFormattedCitation":"(Bachmann &amp; Inkpen, 2011)"},"properties":{"noteIndex":0},"schema":"https://github.com/citation-style-language/schema/raw/master/csl-citation.json"}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rPr>
        <w:t>Bachmann and Inkpen, 2011</w:t>
      </w:r>
      <w:r w:rsidRPr="009672FC">
        <w:rPr>
          <w:rFonts w:ascii="Garamond" w:hAnsi="Garamond"/>
          <w:noProof/>
          <w:color w:val="000000"/>
        </w:rPr>
        <w:fldChar w:fldCharType="end"/>
      </w:r>
      <w:r w:rsidRPr="009672FC">
        <w:rPr>
          <w:rFonts w:ascii="Garamond" w:hAnsi="Garamond"/>
          <w:noProof/>
          <w:color w:val="000000"/>
        </w:rPr>
        <w:t>)</w:t>
      </w:r>
      <w:r w:rsidRPr="009672FC">
        <w:rPr>
          <w:rFonts w:ascii="Garamond" w:hAnsi="Garamond"/>
        </w:rPr>
        <w:fldChar w:fldCharType="end"/>
      </w:r>
      <w:r w:rsidRPr="009672FC">
        <w:rPr>
          <w:rFonts w:ascii="Garamond" w:hAnsi="Garamond"/>
          <w:color w:val="000000"/>
        </w:rPr>
        <w:t xml:space="preserve">. However, there is a research gap in the specific impacts of trust </w:t>
      </w:r>
      <w:r w:rsidR="00813D37" w:rsidRPr="009672FC">
        <w:rPr>
          <w:rFonts w:ascii="Garamond" w:hAnsi="Garamond"/>
          <w:color w:val="000000"/>
        </w:rPr>
        <w:t xml:space="preserve">dimensions </w:t>
      </w:r>
      <w:r w:rsidRPr="009672FC">
        <w:rPr>
          <w:rFonts w:ascii="Garamond" w:hAnsi="Garamond"/>
          <w:color w:val="000000"/>
        </w:rPr>
        <w:t xml:space="preserve">that encourage inter-firm innovation performance </w:t>
      </w:r>
      <w:r w:rsidRPr="009672FC">
        <w:rPr>
          <w:rFonts w:ascii="Garamond" w:hAnsi="Garamond"/>
        </w:rPr>
        <w:fldChar w:fldCharType="begin" w:fldLock="1"/>
      </w:r>
      <w:r w:rsidRPr="009672FC">
        <w:rPr>
          <w:rFonts w:ascii="Garamond" w:hAnsi="Garamond"/>
          <w:color w:val="000000"/>
        </w:rPr>
        <w:instrText>ADDIN CSL_CITATION {"citationItems":[{"id":"ITEM-1","itemData":{"DOI":"10.2478/mper-2014-0005","ISSN":"2080-8208","abstract":"The purpose of this study was to propose a theoretical model and empirically measure whether trust impacts organizational performance. This study focused on three constructs: management trust (MT); organizational trust (OT); and organizational performance (OP). Specifically, the results of this study determined whether management trust (MT) significantly and positively contributes to organizational trust (OT) and whether organizational trust (OT) significantly and positively contributes to organizational performance (OP). Based on the findings, recommendations were made for building and sustaining a culture that will lead to improved organizational performance).","author":[{"dropping-particle":"","family":"Paliszkiewicz","given":"Joanna","non-dropping-particle":"","parse-names":false,"suffix":""},{"dropping-particle":"","family":"Koohang","given":"Alex","non-dropping-particle":"","parse-names":false,"suffix":""},{"dropping-particle":"","family":"Gołuchowski","given":"Jerzy","non-dropping-particle":"","parse-names":false,"suffix":""},{"dropping-particle":"","family":"Horn Nord","given":"Jeretta","non-dropping-particle":"","parse-names":false,"suffix":""}],"container-title":"Management and Production Engineering Review","id":"ITEM-1","issue":"1","issued":{"date-parts":[["2014"]]},"page":"32-41","title":"Management trust, organizational trust, and organizational performance: advancing and measuring a theoretical model","type":"article-journal","volume":"5"},"uris":["http://www.mendeley.com/documents/?uuid=dd9d5aa8-243d-4f33-bf2a-9a17c01c68f3"]}],"mendeley":{"formattedCitation":"(Paliszkiewicz et al., 2014)","manualFormatting":"(Paliszkiewicz et al., 2014; Saunders et al., 2004)","plainTextFormattedCitation":"(Paliszkiewicz et al., 2014)","previouslyFormattedCitation":"(Paliszkiewicz et al., 2014)"},"properties":{"noteIndex":0},"schema":"https://github.com/citation-style-language/schema/raw/master/csl-citation.json"}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 xml:space="preserve">(Paliszkiewicz </w:t>
      </w:r>
      <w:r w:rsidRPr="009672FC">
        <w:rPr>
          <w:rFonts w:ascii="Garamond" w:hAnsi="Garamond"/>
          <w:i/>
          <w:noProof/>
          <w:color w:val="000000"/>
        </w:rPr>
        <w:t>et al.</w:t>
      </w:r>
      <w:r w:rsidRPr="009672FC">
        <w:rPr>
          <w:rFonts w:ascii="Garamond" w:hAnsi="Garamond"/>
          <w:noProof/>
          <w:color w:val="000000"/>
        </w:rPr>
        <w:t xml:space="preserve">, 2014; </w:t>
      </w:r>
      <w:r w:rsidRPr="009672FC">
        <w:rPr>
          <w:rFonts w:ascii="Garamond" w:hAnsi="Garamond"/>
          <w:noProof/>
        </w:rPr>
        <w:fldChar w:fldCharType="begin" w:fldLock="1"/>
      </w:r>
      <w:r w:rsidRPr="009672FC">
        <w:rPr>
          <w:rFonts w:ascii="Garamond" w:hAnsi="Garamond"/>
          <w:noProof/>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et al., 2004)","manualFormatting":"Saunders et al., 2004)","plainTextFormattedCitation":"(C. Saunders et al., 2004)","previouslyFormattedCitation":"(C. Saunders et al., 2004)"},"properties":{"noteIndex":0},"schema":"https://github.com/citation-style-language/schema/raw/master/csl-citation.json"}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rPr>
        <w:t xml:space="preserve">Saunders </w:t>
      </w:r>
      <w:r w:rsidRPr="009672FC">
        <w:rPr>
          <w:rFonts w:ascii="Garamond" w:hAnsi="Garamond"/>
          <w:i/>
          <w:noProof/>
          <w:color w:val="000000"/>
        </w:rPr>
        <w:t>et al.</w:t>
      </w:r>
      <w:r w:rsidRPr="009672FC">
        <w:rPr>
          <w:rFonts w:ascii="Garamond" w:hAnsi="Garamond"/>
          <w:noProof/>
          <w:color w:val="000000"/>
        </w:rPr>
        <w:t>, 2004)</w:t>
      </w:r>
      <w:r w:rsidRPr="009672FC">
        <w:rPr>
          <w:rFonts w:ascii="Garamond" w:hAnsi="Garamond"/>
          <w:noProof/>
          <w:color w:val="000000"/>
        </w:rPr>
        <w:fldChar w:fldCharType="end"/>
      </w:r>
      <w:r w:rsidRPr="009672FC">
        <w:rPr>
          <w:rFonts w:ascii="Garamond" w:hAnsi="Garamond"/>
          <w:color w:val="000000"/>
        </w:rPr>
        <w:fldChar w:fldCharType="end"/>
      </w:r>
      <w:r w:rsidRPr="009672FC">
        <w:rPr>
          <w:rFonts w:ascii="Garamond" w:hAnsi="Garamond"/>
          <w:color w:val="000000"/>
        </w:rPr>
        <w:t xml:space="preserve">. Our study addresses this gap as one of the first attempts that examined the effects of institutional trust </w:t>
      </w:r>
      <w:r w:rsidR="00813D37" w:rsidRPr="009672FC">
        <w:rPr>
          <w:rFonts w:ascii="Garamond" w:hAnsi="Garamond"/>
          <w:color w:val="000000"/>
        </w:rPr>
        <w:t xml:space="preserve">dimensions </w:t>
      </w:r>
      <w:r w:rsidRPr="009672FC">
        <w:rPr>
          <w:rFonts w:ascii="Garamond" w:hAnsi="Garamond"/>
          <w:color w:val="000000"/>
        </w:rPr>
        <w:t>on innovation performance in SMEs inter-firm business relationships. The results of this study signal that in SMEs’ business relationship, the mechanism of building inter-firm trust and sustaining such trust relationship, is however a critical determinant of the firms’ ability to continuously engage in partnership, be able to strive in the competitive business environment, thus enabling them to leverage complementary resources or capabilities for innovation. This study extends the literature on how trust constitutes a key determinant in innovation performance of SMEs business relationship</w:t>
      </w:r>
      <w:r w:rsidR="002663FA" w:rsidRPr="009672FC">
        <w:rPr>
          <w:rFonts w:ascii="Garamond" w:hAnsi="Garamond"/>
          <w:color w:val="000000"/>
        </w:rPr>
        <w:t>s</w:t>
      </w:r>
      <w:r w:rsidRPr="009672FC">
        <w:rPr>
          <w:rFonts w:ascii="Garamond" w:hAnsi="Garamond"/>
          <w:color w:val="000000"/>
        </w:rPr>
        <w:t xml:space="preserve"> </w:t>
      </w:r>
      <w:r w:rsidRPr="009672FC">
        <w:rPr>
          <w:rFonts w:ascii="Garamond" w:hAnsi="Garamond"/>
        </w:rPr>
        <w:fldChar w:fldCharType="begin" w:fldLock="1"/>
      </w:r>
      <w:r w:rsidRPr="009672FC">
        <w:rPr>
          <w:rFonts w:ascii="Garamond" w:hAnsi="Garamond"/>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et al., 2004)","manualFormatting":"(Saunders et al., 2004)","plainTextFormattedCitation":"(C. Saunders et al., 2004)","previouslyFormattedCitation":"(C. Saunders et al.,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(Saunders et al., 2004)</w:t>
      </w:r>
      <w:r w:rsidRPr="009672FC">
        <w:rPr>
          <w:rFonts w:ascii="Garamond" w:hAnsi="Garamond"/>
          <w:color w:val="000000"/>
        </w:rPr>
        <w:fldChar w:fldCharType="end"/>
      </w:r>
      <w:r w:rsidRPr="009672FC">
        <w:rPr>
          <w:rFonts w:ascii="Garamond" w:hAnsi="Garamond"/>
          <w:color w:val="000000"/>
        </w:rPr>
        <w:t xml:space="preserve">. These results provide the first empirical evidence on the institutional inter-firm trust-building and its consequence on innovation particularly for SMEs </w:t>
      </w:r>
      <w:r w:rsidRPr="009672FC">
        <w:rPr>
          <w:rFonts w:ascii="Garamond" w:hAnsi="Garamond"/>
        </w:rPr>
        <w:fldChar w:fldCharType="begin" w:fldLock="1"/>
      </w:r>
      <w:r w:rsidRPr="009672FC">
        <w:rPr>
          <w:rFonts w:ascii="Garamond" w:hAnsi="Garamond"/>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et al., 2004)","manualFormatting":"(Saunders et al., 2004; Sengupta, Castaldi and Silverman, 2000)","plainTextFormattedCitation":"(C. Saunders et al., 2004)","previouslyFormattedCitation":"(C. Saunders et al.,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 xml:space="preserve">(Saunders </w:t>
      </w:r>
      <w:r w:rsidRPr="009672FC">
        <w:rPr>
          <w:rFonts w:ascii="Garamond" w:hAnsi="Garamond"/>
          <w:i/>
          <w:noProof/>
          <w:color w:val="000000"/>
        </w:rPr>
        <w:t>et al.</w:t>
      </w:r>
      <w:r w:rsidRPr="009672FC">
        <w:rPr>
          <w:rFonts w:ascii="Garamond" w:hAnsi="Garamond"/>
          <w:noProof/>
          <w:color w:val="000000"/>
        </w:rPr>
        <w:t xml:space="preserve">, 2004; </w:t>
      </w:r>
      <w:r w:rsidRPr="009672FC">
        <w:rPr>
          <w:rFonts w:ascii="Garamond" w:hAnsi="Garamond"/>
          <w:noProof/>
        </w:rPr>
        <w:fldChar w:fldCharType="begin" w:fldLock="1"/>
      </w:r>
      <w:r w:rsidRPr="009672FC">
        <w:rPr>
          <w:rFonts w:ascii="Garamond" w:hAnsi="Garamond"/>
          <w:noProof/>
          <w:color w:val="000000"/>
        </w:rPr>
        <w:instrText>ADDIN CSL_CITATION {"citationItems":[{"id":"ITEM-1","itemData":{"DOI":"10.1300/J130v05n04_03","ISSN":"10686061","abstract":"This paper focuses on the export performance of US environmental technology (EnviroTech) firms, which are predominantly small and medium enterprises (SMEs). We conceptualize and empirically test a model of perceived export performance contingent upon the perceived effectiveness of host country partner (HCP) alliances, dependence, and trust in the HCP. We find that US SME EnviroTech firms contemplating exports need two critical ingredients for success. First, they must forge close, cooperative, long-term strategic alliances with HCPs for mutual benefit. And second, they must pay specific attention to building trust in the HCP in order to achieve greater success with the strategic alliance and exports. Though dependence on a host country partner increases the vulnerability of the exporter and detracts from an effective alliance, trust is the antidote that can neutralize the negative impact of dependence. © 2000 Taylor &amp; Francis Group, LLC.","author":[{"dropping-particle":"","family":"Sengupta","given":"Sanjit","non-dropping-particle":"","parse-names":false,"suffix":""},{"dropping-particle":"","family":"Castaldi","given":"Richard M.","non-dropping-particle":"","parse-names":false,"suffix":""},{"dropping-particle":"","family":"Silverman","given":"Murray","non-dropping-particle":"","parse-names":false,"suffix":""}],"container-title":"Journal of Transnational Management Development","id":"ITEM-1","issue":"4","issued":{"date-parts":[["2000"]]},"page":"25-40","title":"A dependence-trust modelm of export alliance performance in small and medium enterprises (SMEs)","type":"article-journal","volume":"5"},"uris":["http://www.mendeley.com/documents/?uuid=e58c9e98-4e29-418c-a984-51c9f2451d08"]}],"mendeley":{"formattedCitation":"(Sengupta et al., 2000)","manualFormatting":"Sengupta, Castaldi and Silverman, 2000)","plainTextFormattedCitation":"(Sengupta et al., 2000)","previouslyFormattedCitation":"(Sengupta et al., 2000)"},"properties":{"noteIndex":0},"schema":"https://github.com/citation-style-language/schema/raw/master/csl-citation.json"}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color w:val="000000"/>
        </w:rPr>
        <w:t>Sengupta, Castaldi and Silverman, 2000)</w:t>
      </w:r>
      <w:r w:rsidRPr="009672FC">
        <w:rPr>
          <w:rFonts w:ascii="Garamond" w:hAnsi="Garamond"/>
          <w:noProof/>
          <w:color w:val="000000"/>
        </w:rPr>
        <w:fldChar w:fldCharType="end"/>
      </w:r>
      <w:r w:rsidRPr="009672FC">
        <w:rPr>
          <w:rFonts w:ascii="Garamond" w:hAnsi="Garamond"/>
          <w:color w:val="000000"/>
        </w:rPr>
        <w:fldChar w:fldCharType="end"/>
      </w:r>
      <w:r w:rsidRPr="009672FC">
        <w:rPr>
          <w:rFonts w:ascii="Garamond" w:hAnsi="Garamond"/>
          <w:color w:val="000000"/>
        </w:rPr>
        <w:t xml:space="preserve"> in the context of the developing economy of The Gambia.</w:t>
      </w:r>
    </w:p>
    <w:p w14:paraId="5FB5C58A" w14:textId="168F9347" w:rsidR="003D5DE8" w:rsidRPr="009672FC" w:rsidRDefault="007549AA" w:rsidP="00890FB2">
      <w:pPr>
        <w:spacing w:before="240" w:line="360" w:lineRule="auto"/>
        <w:jc w:val="both"/>
        <w:rPr>
          <w:rFonts w:ascii="Garamond" w:hAnsi="Garamond"/>
        </w:rPr>
      </w:pPr>
      <w:r w:rsidRPr="009672FC">
        <w:rPr>
          <w:rFonts w:ascii="Garamond" w:hAnsi="Garamond"/>
          <w:color w:val="000000"/>
        </w:rPr>
        <w:t xml:space="preserve">While several previous studies explored the impact of trust in the B2B relationship as a whole </w:t>
      </w:r>
      <w:r w:rsidRPr="009672FC">
        <w:rPr>
          <w:rFonts w:ascii="Garamond" w:hAnsi="Garamond"/>
        </w:rPr>
        <w:fldChar w:fldCharType="begin" w:fldLock="1"/>
      </w:r>
      <w:r w:rsidRPr="009672FC">
        <w:rPr>
          <w:rFonts w:ascii="Garamond" w:hAnsi="Garamond"/>
          <w:color w:val="000000"/>
        </w:rPr>
        <w:instrText>ADDIN CSL_CITATION {"citationItems":[{"id":"ITEM-1","itemData":{"DOI":"10.1145/1052220.1052255","ISBN":"1581139306","abstract":"While research about trust in B2C relationships appears to be flourishing, we contend that trust in B2B relationships remains underexplored. As the first step toward the remedy of this, we conducted a review of studies in which trust in B2B relationships has been covered, albeit to varied extents. We found that, contrary to the authors' and our expectation, there appeared to be a set of common characteristics among the definitions of trust in those studies. We explored in depth five key dimensions of trust that have been discussed most frequently. They reflect the richness of the concept of trust in B2B relationships. Since, within the context of B2B, trust should not be viewed separately from technologies, we discussed the conceptualizations with which technologies may be viewed as related to trust in B2B. We found that IT has been most commonly viewed either as a tool or nominally. The time factor of trust also is discussed, followed by our conclusion on the commonalities and gaps among the current studies on trust in B2B relationships. Copyright 2004 ACM.","author":[{"dropping-particle":"","family":"Saunders","given":"Carol","non-dropping-particle":"","parse-names":false,"suffix":""},{"dropping-particle":"","family":"Wu","given":"Yu","non-dropping-particle":"","parse-names":false,"suffix":""},{"dropping-particle":"","family":"Li","given":"Yuzhu","non-dropping-particle":"","parse-names":false,"suffix":""},{"dropping-particle":"","family":"Weisfeld","given":"Shawn","non-dropping-particle":"","parse-names":false,"suffix":""}],"container-title":"ACM International Conference Proceeding Series","id":"ITEM-1","issued":{"date-parts":[["2004"]]},"page":"272-279","title":"Interorganizational trust in B2B relationships","type":"paper-conference","volume":"60"},"uris":["http://www.mendeley.com/documents/?uuid=d85e0b7e-748c-47d7-83f3-cd0ed85d7b61"]}],"mendeley":{"formattedCitation":"(C. Saunders et al., 2004)","manualFormatting":"(Saunders et al., 2004)","plainTextFormattedCitation":"(C. Saunders et al., 2004)","previouslyFormattedCitation":"(C. Saunders et al., 2004)"},"properties":{"noteIndex":0},"schema":"https://github.com/citation-style-language/schema/raw/master/csl-citation.json"}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rPr>
        <w:t>(Saunders et al., 2004)</w:t>
      </w:r>
      <w:r w:rsidRPr="009672FC">
        <w:rPr>
          <w:rFonts w:ascii="Garamond" w:hAnsi="Garamond"/>
          <w:color w:val="000000"/>
        </w:rPr>
        <w:fldChar w:fldCharType="end"/>
      </w:r>
      <w:r w:rsidRPr="009672FC">
        <w:rPr>
          <w:rFonts w:ascii="Garamond" w:hAnsi="Garamond"/>
          <w:color w:val="000000"/>
        </w:rPr>
        <w:t>, this study narrows the focus of analysis to SMEs engag</w:t>
      </w:r>
      <w:r w:rsidR="002663FA" w:rsidRPr="009672FC">
        <w:rPr>
          <w:rFonts w:ascii="Garamond" w:hAnsi="Garamond"/>
          <w:color w:val="000000"/>
        </w:rPr>
        <w:t>ing</w:t>
      </w:r>
      <w:r w:rsidRPr="009672FC">
        <w:rPr>
          <w:rFonts w:ascii="Garamond" w:hAnsi="Garamond"/>
          <w:color w:val="000000"/>
        </w:rPr>
        <w:t xml:space="preserve"> in some sort of collaboration with other SMEs. This approach leads to the understanding of specific institutional trust </w:t>
      </w:r>
      <w:r w:rsidR="00813D37" w:rsidRPr="009672FC">
        <w:rPr>
          <w:rFonts w:ascii="Garamond" w:hAnsi="Garamond"/>
          <w:color w:val="000000"/>
        </w:rPr>
        <w:t xml:space="preserve">dimensions </w:t>
      </w:r>
      <w:r w:rsidRPr="009672FC">
        <w:rPr>
          <w:rFonts w:ascii="Garamond" w:hAnsi="Garamond"/>
          <w:color w:val="000000"/>
        </w:rPr>
        <w:t xml:space="preserve">that foster inter-firm relationships and innovation performance. Specifically, the research suggests that institutional openness trust and similarity of firms have a direct positive impact on actors’ innovation performance. This finding corroborates the results of a few studies </w:t>
      </w:r>
      <w:r w:rsidRPr="009672FC">
        <w:rPr>
          <w:rFonts w:ascii="Garamond" w:hAnsi="Garamond"/>
        </w:rPr>
        <w:fldChar w:fldCharType="begin" w:fldLock="1"/>
      </w:r>
      <w:r w:rsidRPr="009672FC">
        <w:rPr>
          <w:rFonts w:ascii="Garamond" w:hAnsi="Garamond"/>
          <w:color w:val="000000"/>
        </w:rPr>
        <w:instrText>ADDIN CSL_CITATION {"citationItems":[{"id":"ITEM-1","itemData":{"DOI":"10.1017/jmo.2014.3","ISSN":"18333672","abstract":"Despite the fact that the majority of studies have suggested that it is beneficial for organizational performance, some empirical evidence has generated contradictory results concerning these variables. For this reason, this research attempts to look in-depth at the relationships between trust and organizational performance, using organizational learning capability as an explanatory variable. To confirm the hypotheses, the structural equation technique was used on data from a survey carried out in Spanish firms with recognized excellence in human resources management. The results obtained show that, in these firms, organizational learning capability mediates in the relationship between trust and organizational performance. Copyright © 2013 Cambridge University Press and Australian and New Zealand Academy of Management.","author":[{"dropping-particle":"","family":"Guinot","given":"Jacob","non-dropping-particle":"","parse-names":false,"suffix":""},{"dropping-particle":"","family":"Chiva","given":"Ricardo","non-dropping-particle":"","parse-names":false,"suffix":""},{"dropping-particle":"","family":"Mallén","given":"Fermín","non-dropping-particle":"","parse-names":false,"suffix":""}],"container-title":"Journal of Management and Organization","id":"ITEM-1","issue":"5","issued":{"date-parts":[["2013"]]},"page":"559-582","title":"Organizational trust and performance: Is organizational learning capability a missing link?","type":"article-journal","volume":"19"},"uris":["http://www.mendeley.com/documents/?uuid=e1112632-9fc0-4a8e-a7bc-4c5eb860990f"]}],"mendeley":{"formattedCitation":"(Guinot et al., 2013)","manualFormatting":"(e.g., Guinot, Chiva and Mallén, 2013; Shockley-Zalabak and Morreale, 2011; Lewicki and Wiethoff, 2000)","plainTextFormattedCitation":"(Guinot et al., 2013)","previouslyFormattedCitation":"(Guinot et al., 2013)"},"properties":{"noteIndex":0},"schema":"https://github.com/citation-style-language/schema/raw/master/csl-citation.json"}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rPr>
        <w:t xml:space="preserve">(e.g., Guinot, Chiva and Mallén, 2013; </w:t>
      </w:r>
      <w:r w:rsidRPr="009672FC">
        <w:rPr>
          <w:rFonts w:ascii="Garamond" w:hAnsi="Garamond"/>
          <w:noProof/>
        </w:rPr>
        <w:fldChar w:fldCharType="begin" w:fldLock="1"/>
      </w:r>
      <w:r w:rsidRPr="009672FC">
        <w:rPr>
          <w:rFonts w:ascii="Garamond" w:hAnsi="Garamond"/>
          <w:noProof/>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 Lewicki and Wiethoff, 2000)","plainTextFormattedCitation":"(Shockley-Zalabak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color w:val="000000"/>
        </w:rPr>
        <w:t xml:space="preserve">Shockley-Zalabak and Morreale, 2011; </w:t>
      </w:r>
      <w:r w:rsidRPr="009672FC">
        <w:rPr>
          <w:rFonts w:ascii="Garamond" w:hAnsi="Garamond"/>
          <w:noProof/>
        </w:rPr>
        <w:fldChar w:fldCharType="begin" w:fldLock="1"/>
      </w:r>
      <w:r w:rsidRPr="009672FC">
        <w:rPr>
          <w:rFonts w:ascii="Garamond" w:hAnsi="Garamond"/>
          <w:noProof/>
          <w:color w:val="000000"/>
        </w:rPr>
        <w:instrText>ADDIN CSL_CITATION {"citationItems":[{"id":"ITEM-1","itemData":{"ISBN":"0-7879-8058-7","PMID":"14446291","abstract":"(from the chapter) In this chapter, we review some of the work on trust and show its relevance to effective conflict management. We also extend some of this work to a broader understanding of the key role of trust in relationships, and how different types of relationships can be characterized according to the levels of trust and distrust that are present. Finally, we describe procedures for rebuilding trust that has been broken, and for managing distrust in ways that can enhance short-term conflict containment while rebuilding trust over the long run. (PsycINFO Database Record (c) 2012 APA, all rights reserved) (chapter)","author":[{"dropping-particle":"","family":"Lewicki","given":"R. J.","non-dropping-particle":"","parse-names":false,"suffix":""},{"dropping-particle":"","family":"Wiethoff","given":"C.","non-dropping-particle":"","parse-names":false,"suffix":""}],"container-title":"The handbook of conflict resolution: Theory and practice (2nd Ed).","id":"ITEM-1","issue":"1","issued":{"date-parts":[["2000"]]},"number-of-pages":"92-119","title":"Trust, trust development, and trust repair.","type":"book"},"uris":["http://www.mendeley.com/documents/?uuid=0aabb272-c2b2-499f-b521-bb2038f93722"]}],"mendeley":{"formattedCitation":"(Lewicki &amp; Wiethoff, 2000)","manualFormatting":"Lewicki and Wiethoff, 2000)","plainTextFormattedCitation":"(Lewicki &amp; Wiethoff, 2000)","previouslyFormattedCitation":"(Lewicki &amp; Wiethoff, 2000)"},"properties":{"noteIndex":0},"schema":"https://github.com/citation-style-language/schema/raw/master/csl-citation.json"}</w:instrText>
      </w:r>
      <w:r w:rsidRPr="009672FC">
        <w:rPr>
          <w:rFonts w:ascii="Garamond" w:hAnsi="Garamond"/>
          <w:noProof/>
          <w:color w:val="000000"/>
        </w:rPr>
        <w:fldChar w:fldCharType="separate"/>
      </w:r>
      <w:r w:rsidRPr="009672FC">
        <w:rPr>
          <w:rFonts w:ascii="Garamond" w:hAnsi="Garamond"/>
          <w:noProof/>
        </w:rPr>
        <w:t>Lewicki and Wiethoff, 2000)</w:t>
      </w:r>
      <w:r w:rsidRPr="009672FC">
        <w:rPr>
          <w:rFonts w:ascii="Garamond" w:hAnsi="Garamond"/>
          <w:noProof/>
          <w:color w:val="000000"/>
        </w:rPr>
        <w:fldChar w:fldCharType="end"/>
      </w:r>
      <w:r w:rsidRPr="009672FC">
        <w:rPr>
          <w:rFonts w:ascii="Garamond" w:hAnsi="Garamond"/>
          <w:noProof/>
        </w:rPr>
        <w:fldChar w:fldCharType="end"/>
      </w:r>
      <w:r w:rsidRPr="009672FC">
        <w:rPr>
          <w:rFonts w:ascii="Garamond" w:hAnsi="Garamond"/>
          <w:color w:val="000000"/>
        </w:rPr>
        <w:fldChar w:fldCharType="end"/>
      </w:r>
      <w:r w:rsidRPr="009672FC">
        <w:rPr>
          <w:rFonts w:ascii="Garamond" w:hAnsi="Garamond"/>
        </w:rPr>
        <w:t xml:space="preserve">. Interesting, our study found that institutional relational risk (due to over-familiarity, partners’ opportunistic behaviour, etc.) has a significant indirect effect on the relationship between partner’s reliability trust and innovation performance of the actors. This result confirmed the study of </w:t>
      </w:r>
      <w:r w:rsidRPr="009672FC">
        <w:rPr>
          <w:rFonts w:ascii="Garamond" w:hAnsi="Garamond"/>
        </w:rPr>
        <w:fldChar w:fldCharType="begin" w:fldLock="1"/>
      </w:r>
      <w:r w:rsidRPr="009672FC">
        <w:rPr>
          <w:rFonts w:ascii="Garamond" w:hAnsi="Garamond"/>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2001)","manualFormatting":"Das and Teng (2001a)","plainTextFormattedCitation":"(Das &amp; Teng, 2001)","previouslyFormattedCitation":"(Das &amp; Teng, 2001)"},"properties":{"noteIndex":0},"schema":"https://github.com/citation-style-language/schema/raw/master/csl-citation.json"}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Das and Teng (2001a)</w:t>
      </w:r>
      <w:r w:rsidRPr="009672FC">
        <w:rPr>
          <w:rFonts w:ascii="Garamond" w:hAnsi="Garamond"/>
        </w:rPr>
        <w:fldChar w:fldCharType="end"/>
      </w:r>
      <w:r w:rsidRPr="009672FC">
        <w:rPr>
          <w:rFonts w:ascii="Garamond" w:hAnsi="Garamond"/>
        </w:rPr>
        <w:t xml:space="preserve">. In fact, the findings further corroborate that </w:t>
      </w:r>
      <w:r w:rsidRPr="009672FC">
        <w:rPr>
          <w:rFonts w:ascii="Garamond" w:hAnsi="Garamond"/>
        </w:rPr>
        <w:lastRenderedPageBreak/>
        <w:t xml:space="preserve">actors’ reliability trust and openness trust account for up to 16% of the variance in relational risks between alliance partners.  </w:t>
      </w:r>
    </w:p>
    <w:p w14:paraId="5B683631"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Furthermore, the openness trust of an alliance partner accounts for both direct and indirect effects on the innovation performance, confirming the results previously established </w:t>
      </w:r>
      <w:r w:rsidRPr="009672FC">
        <w:rPr>
          <w:rFonts w:ascii="Garamond" w:hAnsi="Garamond"/>
        </w:rPr>
        <w:fldChar w:fldCharType="begin" w:fldLock="1"/>
      </w:r>
      <w:r w:rsidRPr="009672FC">
        <w:rPr>
          <w:rFonts w:ascii="Garamond" w:hAnsi="Garamond"/>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1998)","manualFormatting":"(Bouncken, 2011; Ibrahim and Ribbers, 2009; Zaheer, McEvily and Perrone, 1998)","plainTextFormattedCitation":"(Zaheer et al., 1998)","previouslyFormattedCitation":"(Zaheer et al.,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fldChar w:fldCharType="begin" w:fldLock="1"/>
      </w:r>
      <w:r w:rsidRPr="009672FC">
        <w:rPr>
          <w:rFonts w:ascii="Garamond" w:hAnsi="Garamond"/>
          <w:noProof/>
        </w:rPr>
        <w:instrText>ADDIN CSL_CITATION {"citationItems":[{"id":"ITEM-1","itemData":{"DOI":"10.1111/j.1467-8551.2010.00688.x","ISSN":"10453172","abstract":"Project alliances offer firms an opportunity to increase innovation performance through the flexible combination of specialized competencies across firms. Inspired by internal project management I classify two metrics of project alliances: formal and emergent operating practices. This study of 166 project alliances analyses the innovation performance impact of those practices. I find that emergent operating practices improve planned and serendipitous innovation regardless of a firm's size. After a classification of two groups, small and large firms, I find that firm size moderates the effect of formal operating practices. Results show that small firms can improve their innovation performance by formal operating practices. Instead, large firms will face performance reductions on planned innovation when implementing formal operating practices. © 2010 British Academy of Management.","author":[{"dropping-particle":"","family":"Bouncken","given":"Ricarda B.","non-dropping-particle":"","parse-names":false,"suffix":""}],"container-title":"British Journal of Management","id":"ITEM-1","issue":"4","issued":{"date-parts":[["2011"]]},"page":"586-608","title":"Innovation by Operating Practices in Project Alliances - When Size Matters","type":"article-journal","volume":"22"},"uris":["http://www.mendeley.com/documents/?uuid=d4ddaf71-dd27-484d-b0f1-566dc6da9551"]}],"mendeley":{"formattedCitation":"(Bouncken, 2011)","manualFormatting":"(Bouncken, 2011;","plainTextFormattedCitation":"(Bouncken, 2011)","previouslyFormattedCitation":"(Bouncken, 2011)"},"properties":{"noteIndex":0},"schema":"https://github.com/citation-style-language/schema/raw/master/csl-citation.json"}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(Bouncken, 2011;</w:t>
      </w:r>
      <w:r w:rsidRPr="009672FC">
        <w:rPr>
          <w:rFonts w:ascii="Garamond" w:hAnsi="Garamond"/>
          <w:noProof/>
        </w:rPr>
        <w:fldChar w:fldCharType="end"/>
      </w:r>
      <w:r w:rsidRPr="009672FC">
        <w:rPr>
          <w:rFonts w:ascii="Garamond" w:hAnsi="Garamond"/>
          <w:noProof/>
        </w:rPr>
        <w:t xml:space="preserve"> </w:t>
      </w:r>
      <w:r w:rsidRPr="009672FC">
        <w:rPr>
          <w:rFonts w:ascii="Garamond" w:hAnsi="Garamond"/>
          <w:noProof/>
        </w:rPr>
        <w:fldChar w:fldCharType="begin" w:fldLock="1"/>
      </w:r>
      <w:r w:rsidRPr="009672FC">
        <w:rPr>
          <w:rFonts w:ascii="Garamond" w:hAnsi="Garamond"/>
          <w:noProof/>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Ibrahim and Ribbers, 2009;</w:t>
      </w:r>
      <w:r w:rsidRPr="009672FC">
        <w:rPr>
          <w:rFonts w:ascii="Garamond" w:hAnsi="Garamond"/>
          <w:noProof/>
        </w:rPr>
        <w:fldChar w:fldCharType="end"/>
      </w:r>
      <w:r w:rsidRPr="009672FC">
        <w:rPr>
          <w:rFonts w:ascii="Garamond" w:hAnsi="Garamond"/>
          <w:noProof/>
        </w:rPr>
        <w:t xml:space="preserve"> Zaheer, McEvily and Perrone, 1998)</w:t>
      </w:r>
      <w:r w:rsidRPr="009672FC">
        <w:rPr>
          <w:rFonts w:ascii="Garamond" w:hAnsi="Garamond"/>
        </w:rPr>
        <w:fldChar w:fldCharType="end"/>
      </w:r>
      <w:r w:rsidRPr="009672FC">
        <w:rPr>
          <w:rFonts w:ascii="Garamond" w:hAnsi="Garamond"/>
        </w:rPr>
        <w:t>. It is therefore suggested that actors’ willingness to engage in relevant knowledge exchange, reduces the potentials for actors’ opportunistic behaviour. This would allow firms to access timely and relevant information or proprietary knowledge, thus enhancing firms’ innovation capabilities and performance</w:t>
      </w:r>
      <w:r w:rsidRPr="009672FC">
        <w:rPr>
          <w:rFonts w:ascii="Garamond" w:hAnsi="Garamond"/>
        </w:rPr>
        <w:fldChar w:fldCharType="begin" w:fldLock="1"/>
      </w:r>
      <w:r w:rsidRPr="009672FC">
        <w:rPr>
          <w:rFonts w:ascii="Garamond" w:hAnsi="Garamond"/>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(Ibrahim &amp; Ribbers, 2009)</w:t>
      </w:r>
      <w:r w:rsidRPr="009672FC">
        <w:rPr>
          <w:rFonts w:ascii="Garamond" w:hAnsi="Garamond"/>
        </w:rPr>
        <w:fldChar w:fldCharType="end"/>
      </w:r>
      <w:r w:rsidRPr="009672FC">
        <w:rPr>
          <w:rFonts w:ascii="Garamond" w:hAnsi="Garamond"/>
        </w:rPr>
        <w:t>. Such relational trust is a source of joint investment in relation-specific assets (</w:t>
      </w:r>
      <w:r w:rsidRPr="009672FC">
        <w:rPr>
          <w:rFonts w:ascii="Garamond" w:hAnsi="Garamond"/>
        </w:rPr>
        <w:fldChar w:fldCharType="begin" w:fldLock="1"/>
      </w:r>
      <w:r w:rsidRPr="009672FC">
        <w:rPr>
          <w:rFonts w:ascii="Garamond" w:hAnsi="Garamond"/>
        </w:rPr>
        <w:instrText>ADDIN CSL_CITATION {"citationItems":[{"id":"ITEM-1","itemData":{"DOI":"10.1002/smj.2785","ISSN":"10970266","abstract":"Research Summary: This paper extends the relational view to offer a dynamic perspective on the factors that drive value creation and value capture over the alliance life cycle. We argue that access to complementary resources provides an initial rationale for forming alliances, but benefits from complementarity can attenuate over time. Indeed, viewed dynamically, factors that often lead to higher value creation—informal trust, repeated ties, customized assets—may also lead to diminished alliance performance. We highlight interdependence between the complementary resources of partners as the critical factor determining the pattern of alliance value creation, notably how quickly alliances generate value and how quickly they are likely to dissolve. We identify factors, both internal and external to the alliance, that trigger diminished value creation and increased competition for value capture among partners. Managerial Summary: The \"relational view\" perspective has shown that firms create value in alliances when they identify partners with complementary resources, when they build high levels of informal trust and they share knowledge and make investments that are customized to the partner. The level of resource interdependence in alliances determines how quickly alliances can reach their potential in value creation and how quickly they are likely to dissolve. Viewed dynamically, factors that often lead to higher value creation—like informal trust, repeated ties, customized assets—may also lead to diminished alliance performance. Finally, a number of factors both internal to and external to an alliance may trigger competition between the partners within an alliance to capture the value created by the alliance and also diminish the value created within the alliance. [ABSTRACT FROM AUTHOR]","author":[{"dropping-particle":"","family":"Dyer","given":"Jeffrey H.","non-dropping-particle":"","parse-names":false,"suffix":""},{"dropping-particle":"","family":"Singh","given":"Harbir","non-dropping-particle":"","parse-names":false,"suffix":""},{"dropping-particle":"","family":"Hesterly","given":"William S.","non-dropping-particle":"","parse-names":false,"suffix":""}],"container-title":"Strategic Management Journal","id":"ITEM-1","issue":"12","issued":{"date-parts":[["2018"]]},"page":"3140-3162","title":"The relational view revisited: A dynamic perspective on value creation and value capture","type":"article-journal","volume":"39"},"uris":["http://www.mendeley.com/documents/?uuid=56d9e87e-3827-490b-bbe2-30949a4a69b9"]}],"mendeley":{"formattedCitation":"(Dyer et al., 2018)","manualFormatting":"Dyer, Singh and Hesterly, 2018)","plainTextFormattedCitation":"(Dyer et al., 2018)","previouslyFormattedCitation":"(Dyer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Dyer, Singh and Hesterly, 2018)</w:t>
      </w:r>
      <w:r w:rsidRPr="009672FC">
        <w:rPr>
          <w:rFonts w:ascii="Garamond" w:hAnsi="Garamond"/>
        </w:rPr>
        <w:fldChar w:fldCharType="end"/>
      </w:r>
      <w:r w:rsidRPr="009672FC">
        <w:rPr>
          <w:rFonts w:ascii="Garamond" w:hAnsi="Garamond"/>
        </w:rPr>
        <w:t xml:space="preserve">, and further deepening ties and knowledge-sharing relations </w:t>
      </w:r>
      <w:r w:rsidRPr="009672FC">
        <w:rPr>
          <w:rFonts w:ascii="Garamond" w:hAnsi="Garamond"/>
        </w:rPr>
        <w:fldChar w:fldCharType="begin" w:fldLock="1"/>
      </w:r>
      <w:r w:rsidRPr="009672FC">
        <w:rPr>
          <w:rFonts w:ascii="Garamond" w:hAnsi="Garamond"/>
        </w:rPr>
        <w:instrText>ADDIN CSL_CITATION {"citationItems":[{"id":"ITEM-1","itemData":{"DOI":"10.1007/s11846-014-0160-6","ISSN":"18636691","abstract":"Small and medium-sized enterprises (SMEs) have to carefully decide their innovation timing and the associated market entry strategy to initiate change. The question of taking either a pioneer or a follower strategy for the innovation’s market entry has so far delivered controversial empirical results in large enterprises, while the performance implications of SMEs have been widely ignored. This is where our research sets out, investigating 169 established SMEs in a longitudinal study, with our results showing that SMEs take advantage of a pioneer strategy. As researched by a moderator analysis, a follower strategy can even have a reductive effect on performance: SMEs are not able to combine knowledge with allies downstream in the supply chain. Overall, our study delivers new insights into qualitative and quantitative change of established SMEs by employing a research design looking at the performance effects of strategies and knowledge combination among firms.","author":[{"dropping-particle":"","family":"Bouncken","given":"Ricarda B.","non-dropping-particle":"","parse-names":false,"suffix":""},{"dropping-particle":"","family":"Pesch","given":"Robin","non-dropping-particle":"","parse-names":false,"suffix":""},{"dropping-particle":"","family":"Kraus","given":"Sascha","non-dropping-particle":"","parse-names":false,"suffix":""}],"container-title":"Review of Managerial Science","id":"ITEM-1","issue":"2","issued":{"date-parts":[["2015"]]},"page":"361-384","title":"SME innovativeness in buyer–seller alliances: effects of entry timing strategies and inter-organizational learning","type":"article-journal","volume":"9"},"uris":["http://www.mendeley.com/documents/?uuid=c495019b-a730-478f-85bc-6966b0e26d78"]}],"mendeley":{"formattedCitation":"(Bouncken et al., 2015)","manualFormatting":"(Bouncken, Pesch and Kraus, 2015; Bouncken and Kraus, 2013).","plainTextFormattedCitation":"(Bouncken et al., 2015)","previouslyFormattedCitation":"(Bouncken et al.,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(Bouncken, Pesch and Kraus, 2015; </w:t>
      </w:r>
      <w:r w:rsidRPr="009672FC">
        <w:rPr>
          <w:rFonts w:ascii="Garamond" w:hAnsi="Garamond"/>
          <w:noProof/>
        </w:rPr>
        <w:fldChar w:fldCharType="begin" w:fldLock="1"/>
      </w:r>
      <w:r w:rsidRPr="009672FC">
        <w:rPr>
          <w:rFonts w:ascii="Garamond" w:hAnsi="Garamond"/>
          <w:noProof/>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2013)","manualFormatting":"Bouncken and Kraus, 2013)","plainTextFormattedCitation":"(Bouncken &amp; Kraus, 2013)","previouslyFormattedCitation":"(Bouncken &amp; Kraus,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Bouncken and Kraus, 2013)</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xml:space="preserve"> While a few previous research explored the direct effect of actors openness on organizational relationship performance </w:t>
      </w:r>
      <w:r w:rsidRPr="009672FC">
        <w:rPr>
          <w:rFonts w:ascii="Garamond" w:hAnsi="Garamond"/>
        </w:rPr>
        <w:fldChar w:fldCharType="begin" w:fldLock="1"/>
      </w:r>
      <w:r w:rsidRPr="009672FC">
        <w:rPr>
          <w:rFonts w:ascii="Garamond" w:hAnsi="Garamond"/>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 Blomqvist and Ståhle, 2000)","plainTextFormattedCitation":"(Ibrahim &amp; Ribbers, 2009)","previouslyFormattedCitation":"(Ibrahim &amp; Ribbers,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(Ibrahim and Ribbers, 2009; </w:t>
      </w:r>
      <w:r w:rsidRPr="009672FC">
        <w:rPr>
          <w:rFonts w:ascii="Garamond" w:hAnsi="Garamond"/>
          <w:noProof/>
        </w:rPr>
        <w:fldChar w:fldCharType="begin" w:fldLock="1"/>
      </w:r>
      <w:r w:rsidRPr="009672FC">
        <w:rPr>
          <w:rFonts w:ascii="Garamond" w:hAnsi="Garamond"/>
          <w:noProof/>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Blomqvist and Ståhle, 2000)</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our study introduces the role of the relational risk to validate the mediating effect on the relationship between institutional openness trust and innovation performance. This finding is an original contribution to trust research.  </w:t>
      </w:r>
    </w:p>
    <w:p w14:paraId="47F3E7B1"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Although we found no effect of institutional competence trust on alliance relational risk, contrary to previous research </w:t>
      </w:r>
      <w:r w:rsidRPr="009672FC">
        <w:rPr>
          <w:rFonts w:ascii="Garamond" w:hAnsi="Garamond"/>
        </w:rPr>
        <w:fldChar w:fldCharType="begin" w:fldLock="1"/>
      </w:r>
      <w:r w:rsidRPr="009672FC">
        <w:rPr>
          <w:rFonts w:ascii="Garamond" w:hAnsi="Garamond"/>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2009)","plainTextFormattedCitation":"(Ibrahim &amp; Ribbers, 2009)","previouslyFormattedCitation":"(Ibrahim &amp; Ribbers,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(Ibrahim &amp; Ribbers, 2009)</w:t>
      </w:r>
      <w:r w:rsidRPr="009672FC">
        <w:rPr>
          <w:rFonts w:ascii="Garamond" w:hAnsi="Garamond"/>
        </w:rPr>
        <w:fldChar w:fldCharType="end"/>
      </w:r>
      <w:r w:rsidRPr="009672FC">
        <w:rPr>
          <w:rFonts w:ascii="Garamond" w:hAnsi="Garamond"/>
        </w:rPr>
        <w:t xml:space="preserve">, our findings, however, showed that competence trust of a partner impacts innovation performance when the relational risk is introduced. This implies that trust in an alliance partner’s competence does not result in innovation, only when the relational risk associated with timely execution of contract terms, poor performance, standard quality, etc. are controlled. Managing the relational risk could thus result in collaborative working relationships where relevant knowledge is shared and thus innovation performance is improved </w:t>
      </w:r>
      <w:r w:rsidRPr="009672FC">
        <w:rPr>
          <w:rFonts w:ascii="Garamond" w:hAnsi="Garamond"/>
        </w:rPr>
        <w:fldChar w:fldCharType="begin" w:fldLock="1"/>
      </w:r>
      <w:r w:rsidRPr="009672FC">
        <w:rPr>
          <w:rFonts w:ascii="Garamond" w:hAnsi="Garamond"/>
        </w:rPr>
        <w:instrText>ADDIN CSL_CITATION {"citationItems":[{"id":"ITEM-1","itemData":{"DOI":"10.1016/j.jbusres.2013.02.032","ISSN":"01482963","abstract":"This study researches an important topic for knowledge-intensive SMEs that operate in clusters. Results from a sample of 830 SMEs as well as from qualitative validation interviews indicate that coopetition, the simultaneous pursuit of cooperation and competition, has a varying impact on innovations of SMEs. Three moderators influence coopetition's innovation performance: (1) sharing knowledge with the partner, (2) learning from the partner (inlearning), and (3) technological uncertainty. Overall, the study finds that coopetition can trigger radical innovation, but at the same time can harm the extremely novel revolutionary innovation. The damaging effect on revolutionary innovation is even stronger when SMEs share knowledge with their partners. However, a positive effect of coopetition on revolutionary innovation is achievable if SMEs do integrate their partners' knowledge through inlearning. Coopetition is also advantageous under greater technological uncertainty. A latent profile analysis in this study disentangles unobserved heterogeneity and displays seven different profiles of SMEs. © 2013 Elsevier Inc.","author":[{"dropping-particle":"","family":"Bouncken","given":"Ricarda B.","non-dropping-particle":"","parse-names":false,"suffix":""},{"dropping-particle":"","family":"Kraus","given":"Sascha","non-dropping-particle":"","parse-names":false,"suffix":""}],"container-title":"Journal of Business Research","id":"ITEM-1","issue":"10","issued":{"date-parts":[["2013"]]},"page":"2060-2070","publisher":"Elsevier Inc.","title":"Innovation in knowledge-intensive industries: The double-edged sword of coopetition","type":"article-journal","volume":"66"},"uris":["http://www.mendeley.com/documents/?uuid=2253a6dc-0491-4a47-a8fa-6eacc7b87610"]}],"mendeley":{"formattedCitation":"(Bouncken &amp; Kraus, 2013)","plainTextFormattedCitation":"(Bouncken &amp; Kraus, 2013)","previouslyFormattedCitation":"(Bouncken &amp; Kraus,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(Bouncken &amp; Kraus, 2013)</w:t>
      </w:r>
      <w:r w:rsidRPr="009672FC">
        <w:rPr>
          <w:rFonts w:ascii="Garamond" w:hAnsi="Garamond"/>
        </w:rPr>
        <w:fldChar w:fldCharType="end"/>
      </w:r>
      <w:r w:rsidRPr="009672FC">
        <w:rPr>
          <w:rFonts w:ascii="Garamond" w:hAnsi="Garamond"/>
        </w:rPr>
        <w:t>. This finding is an original contribution to trust research.</w:t>
      </w:r>
    </w:p>
    <w:p w14:paraId="730C4EBC"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The effect of relational risk on the relationship between trust in institutional reliability and actors’ innovation was established and thus extends the current literature. </w:t>
      </w:r>
      <w:r w:rsidRPr="009672FC">
        <w:rPr>
          <w:rFonts w:ascii="Garamond" w:hAnsi="Garamond"/>
        </w:rPr>
        <w:fldChar w:fldCharType="begin" w:fldLock="1"/>
      </w:r>
      <w:r w:rsidRPr="009672FC">
        <w:rPr>
          <w:rFonts w:ascii="Garamond" w:hAnsi="Garamond"/>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1998)","manualFormatting":"Zaheer, McEvily and Perrone (1998)","plainTextFormattedCitation":"(Zaheer et al., 1998)","previouslyFormattedCitation":"(Zaheer et al.,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Zaheer, McEvily and Perrone (1998)</w:t>
      </w:r>
      <w:r w:rsidRPr="009672FC">
        <w:rPr>
          <w:rFonts w:ascii="Garamond" w:hAnsi="Garamond"/>
        </w:rPr>
        <w:fldChar w:fldCharType="end"/>
      </w:r>
      <w:r w:rsidRPr="009672FC">
        <w:rPr>
          <w:rFonts w:ascii="Garamond" w:hAnsi="Garamond"/>
        </w:rPr>
        <w:t xml:space="preserve"> argue that high trust in institutional reliability, enables actors to be effectively relied upon to fulfil their obligations, enabling them to behave predictably and act fairly when the possibility for opportunism (relational risk) is present. This new evidence supports the claim that highly </w:t>
      </w:r>
      <w:r w:rsidRPr="009672FC">
        <w:rPr>
          <w:rFonts w:ascii="Garamond" w:hAnsi="Garamond"/>
        </w:rPr>
        <w:lastRenderedPageBreak/>
        <w:t xml:space="preserve">reliable alliance partners care about their reputation and image </w:t>
      </w:r>
      <w:r w:rsidRPr="009672FC">
        <w:rPr>
          <w:rFonts w:ascii="Garamond" w:hAnsi="Garamond"/>
        </w:rPr>
        <w:fldChar w:fldCharType="begin" w:fldLock="1"/>
      </w:r>
      <w:r w:rsidRPr="009672FC">
        <w:rPr>
          <w:rFonts w:ascii="Garamond" w:hAnsi="Garamond"/>
        </w:rPr>
        <w:instrText>ADDIN CSL_CITATION {"citationItems":[{"id":"ITEM-1","itemData":{"DOI":"10.1111/j.1467-6486.2007.00763.x","author":[{"dropping-particle":"","family":"Six","given":"Frédérique","non-dropping-particle":"","parse-names":false,"suffix":""},{"dropping-particle":"","family":"Sorge","given":"Arndt","non-dropping-particle":"","parse-names":false,"suffix":""}],"container-title":"Journal of Management Studies","id":"ITEM-1","issue":"5","issued":{"date-parts":[["2008"]]},"page":"857-884","title":"Creating a High-Trust Organization : An Exploration into Organizational Policies that Stimulate Interpersonal Trust Building","type":"article-journal","volume":"45"},"uris":["http://www.mendeley.com/documents/?uuid=78e93a87-582b-4dd2-b435-6b7b039c19de"]}],"mendeley":{"formattedCitation":"(F. Six &amp; Sorge, 2008)","plainTextFormattedCitation":"(F. Six &amp; Sorge, 2008)","previouslyFormattedCitation":"(F. Six &amp; Sorge, 2008)"},"properties":{"noteIndex":0},"schema":"https://github.com/citation-style-language/schema/raw/master/csl-citation.json"}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 Six &amp; Sorge, 2008)</w:t>
      </w:r>
      <w:r w:rsidRPr="009672FC">
        <w:rPr>
          <w:rFonts w:ascii="Garamond" w:hAnsi="Garamond"/>
        </w:rPr>
        <w:fldChar w:fldCharType="end"/>
      </w:r>
      <w:r w:rsidRPr="009672FC">
        <w:rPr>
          <w:rFonts w:ascii="Garamond" w:hAnsi="Garamond"/>
        </w:rPr>
        <w:t xml:space="preserve">, and thus mechanisms for controlling relational risks in alliance relations are established.  </w:t>
      </w:r>
    </w:p>
    <w:p w14:paraId="16D6CAE0" w14:textId="772AE3EC" w:rsidR="00EB5D6B" w:rsidRPr="00BC16AE" w:rsidRDefault="007549AA" w:rsidP="00890FB2">
      <w:pPr>
        <w:spacing w:before="240" w:line="360" w:lineRule="auto"/>
        <w:jc w:val="both"/>
        <w:rPr>
          <w:rFonts w:ascii="Garamond" w:hAnsi="Garamond"/>
        </w:rPr>
      </w:pPr>
      <w:r w:rsidRPr="009672FC">
        <w:rPr>
          <w:rFonts w:ascii="Garamond" w:hAnsi="Garamond"/>
        </w:rPr>
        <w:t xml:space="preserve">Furthermore, our research highlights the influence of institutional trust factors on alliance actors’ innovation performance according to the size of the business enterprise (small vs medium). Specifically, for small-sized enterprises, trust in similarity/identification of alliance partners have a significant, positive impact on relational risk, thus reducing the firms’ innovation capability. This implies that small-sized enterprises having shared values, shared identity, and cultural similarity in an alliance are more likely to enjoy mutual trust, and low opportunistic behaviour </w:t>
      </w:r>
      <w:r w:rsidRPr="009672FC">
        <w:rPr>
          <w:rFonts w:ascii="Garamond" w:hAnsi="Garamond"/>
        </w:rPr>
        <w:fldChar w:fldCharType="begin" w:fldLock="1"/>
      </w:r>
      <w:r w:rsidRPr="009672FC">
        <w:rPr>
          <w:rFonts w:ascii="Garamond" w:hAnsi="Garamond"/>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1997)","plainTextFormattedCitation":"(Saxton, 1997)","previouslyFormattedCitation":"(Saxton, 1997)"},"properties":{"noteIndex":0},"schema":"https://github.com/citation-style-language/schema/raw/master/csl-citation.json"}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(Saxton, 1997)</w:t>
      </w:r>
      <w:r w:rsidRPr="009672FC">
        <w:rPr>
          <w:rFonts w:ascii="Garamond" w:hAnsi="Garamond"/>
        </w:rPr>
        <w:fldChar w:fldCharType="end"/>
      </w:r>
      <w:r w:rsidRPr="009672FC">
        <w:rPr>
          <w:rFonts w:ascii="Garamond" w:hAnsi="Garamond"/>
        </w:rPr>
        <w:t xml:space="preserve">. According to </w:t>
      </w:r>
      <w:r w:rsidRPr="009672FC">
        <w:rPr>
          <w:rFonts w:ascii="Garamond" w:hAnsi="Garamond"/>
        </w:rPr>
        <w:fldChar w:fldCharType="begin" w:fldLock="1"/>
      </w:r>
      <w:r w:rsidRPr="009672FC">
        <w:rPr>
          <w:rFonts w:ascii="Garamond" w:hAnsi="Garamond"/>
        </w:rPr>
        <w:instrText>ADDIN CSL_CITATION {"citationItems":[{"id":"ITEM-1","itemData":{"DOI":"10.1177/1350508411420900","ISBN":"1350508411","ISSN":"13505084","abstract":"Recent research on interorganizational trust has stressed the need to develop a deeper understanding of the multi-level nature of this construct. This article focuses on trust on different analytical levels in an interorganizational context, and on the hitherto underspecified connections between these. Based on an institutionalization approach, it revisits the classic question: (how) can organizations trust each other? To do so, we consider organizations as objects of trust and reappraise the transferral from interpersonal to interorganizational trust in 'facework' (Giddens, 1990). We also examine the conflicts and struggles of trust and power that can arise from this process between boundary spanners and their organizational constituents. Next, we consider organizations as subjects of trust in interorganizational relationships. We detail the institutionalization of trust and its reproduction on an organizational level, and how it can be transmitted to new generations of organizational actors, creating path-dependent histories of trust which are truly interorganizational. Taking up the theme of trust and power, we analyse ways in which the institutionalization of trust can entail that of power, too, and examine the implications of this from a critical point of view. We conclude that in interorganizational trust, both the subject and object of trust move across analytical levels, and further, that this movement demonstrates the significance of the organization as a distinct entity that can be both trusted and trusting. © The Author(s) 2011.","author":[{"dropping-particle":"","family":"Kroeger","given":"Frens","non-dropping-particle":"","parse-names":false,"suffix":""}],"container-title":"Organization","id":"ITEM-1","issue":"6","issued":{"date-parts":[["2012"]]},"page":"743-763","title":"Trusting organizations: The institutionalization of trust in interorganizational relationships","type":"article-journal","volume":"19"},"uris":["http://www.mendeley.com/documents/?uuid=097520c0-d000-4103-ba50-c67ac99d6c30"]}],"mendeley":{"formattedCitation":"(Kroeger, 2012)","manualFormatting":"Kroeger (2012)","plainTextFormattedCitation":"(Kroeger, 2012)","previouslyFormattedCitation":"(Kroeger,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Kroeger (2012)</w:t>
      </w:r>
      <w:r w:rsidRPr="009672FC">
        <w:rPr>
          <w:rFonts w:ascii="Garamond" w:hAnsi="Garamond"/>
        </w:rPr>
        <w:fldChar w:fldCharType="end"/>
      </w:r>
      <w:r w:rsidRPr="009672FC">
        <w:rPr>
          <w:rFonts w:ascii="Garamond" w:hAnsi="Garamond"/>
        </w:rPr>
        <w:t xml:space="preserve">, such identities bind firms to common ideology and expectations. However, for medium-sized enterprises, the effect of trust in similarity/identification of alliance partners on innovation was not significant. Unlike small-sized enterprises, that rely on the social ties of the entrepreneurs/managers, we found no effect of similarity/identification trust on relational risk for medium-sized firms. Moreover, our results established that the relational risk of alliance partners influences the relationship between trust in the competence and alliance partners’ openness on innovation performance of actors.  this implies that medium-sized enterprises engaged in building competence trust and promoting institutional openness thus positively influencing inter-organizational relationships and innovation capability. </w:t>
      </w:r>
    </w:p>
    <w:p w14:paraId="2F04FB0B" w14:textId="59478E21" w:rsidR="003D5DE8" w:rsidRPr="009672FC" w:rsidRDefault="007549AA">
      <w:pPr>
        <w:pStyle w:val="Title"/>
        <w:numPr>
          <w:ilvl w:val="2"/>
          <w:numId w:val="14"/>
        </w:numPr>
        <w:spacing w:before="240" w:line="360" w:lineRule="auto"/>
        <w:outlineLvl w:val="2"/>
        <w:rPr>
          <w:rFonts w:ascii="Garamond" w:hAnsi="Garamond" w:cs="Times New Roman"/>
          <w:b/>
          <w:bCs/>
          <w:i/>
          <w:iCs/>
          <w:sz w:val="24"/>
          <w:szCs w:val="24"/>
        </w:rPr>
      </w:pPr>
      <w:bookmarkStart w:id="200" w:name="_Toc85708761"/>
      <w:bookmarkStart w:id="201" w:name="_Toc85709775"/>
      <w:r w:rsidRPr="009672FC">
        <w:rPr>
          <w:rFonts w:ascii="Garamond" w:hAnsi="Garamond" w:cs="Times New Roman"/>
          <w:b/>
          <w:bCs/>
          <w:i/>
          <w:iCs/>
          <w:sz w:val="24"/>
          <w:szCs w:val="24"/>
        </w:rPr>
        <w:t>Managerial and Theoretical Implications</w:t>
      </w:r>
      <w:bookmarkEnd w:id="200"/>
      <w:bookmarkEnd w:id="201"/>
    </w:p>
    <w:p w14:paraId="6D1F9CC6" w14:textId="2842633E" w:rsidR="003D5DE8" w:rsidRPr="009672FC" w:rsidRDefault="007549AA">
      <w:pPr>
        <w:spacing w:line="360" w:lineRule="auto"/>
        <w:jc w:val="both"/>
        <w:rPr>
          <w:rFonts w:ascii="Garamond" w:hAnsi="Garamond"/>
        </w:rPr>
      </w:pPr>
      <w:r w:rsidRPr="009672FC">
        <w:rPr>
          <w:rFonts w:ascii="Garamond" w:hAnsi="Garamond"/>
        </w:rPr>
        <w:t xml:space="preserve">This paper has </w:t>
      </w:r>
      <w:r w:rsidR="002663FA" w:rsidRPr="009672FC">
        <w:rPr>
          <w:rFonts w:ascii="Garamond" w:hAnsi="Garamond"/>
        </w:rPr>
        <w:t>some</w:t>
      </w:r>
      <w:r w:rsidRPr="009672FC">
        <w:rPr>
          <w:rFonts w:ascii="Garamond" w:hAnsi="Garamond"/>
        </w:rPr>
        <w:t xml:space="preserve"> managerial and theoretical implications. The results have some implications for organizational leaders of SMEs especially those involved in collaborative partnerships. Our results suggest that entrepreneurs/managers should promote trust-building programs to develop and sustain a trust-based inter-firm relationship. A trust-based inter-firm relationship is a critical determinant of inter-firm relationship quality and performance. To do this, entrepreneurs/managers of SMEs should first, adopt institutional mechanisms or practices that promote the specific types of trust. For instance, promoting institutional competence trust may involve establishing clear and specific task goals, draw</w:t>
      </w:r>
      <w:r w:rsidR="00813D37" w:rsidRPr="009672FC">
        <w:rPr>
          <w:rFonts w:ascii="Garamond" w:hAnsi="Garamond"/>
        </w:rPr>
        <w:t>ing</w:t>
      </w:r>
      <w:r w:rsidRPr="009672FC">
        <w:rPr>
          <w:rFonts w:ascii="Garamond" w:hAnsi="Garamond"/>
        </w:rPr>
        <w:t xml:space="preserve"> expectations, and regular monitoring of performance </w:t>
      </w:r>
      <w:r w:rsidRPr="009672FC">
        <w:rPr>
          <w:rFonts w:ascii="Garamond" w:hAnsi="Garamond"/>
        </w:rPr>
        <w:fldChar w:fldCharType="begin" w:fldLock="1"/>
      </w:r>
      <w:r w:rsidRPr="009672FC">
        <w:rPr>
          <w:rFonts w:ascii="Garamond" w:hAnsi="Garamond"/>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(Shockley-Zalabak &amp; Morreale, 2011)</w:t>
      </w:r>
      <w:r w:rsidRPr="009672FC">
        <w:rPr>
          <w:rFonts w:ascii="Garamond" w:hAnsi="Garamond"/>
        </w:rPr>
        <w:fldChar w:fldCharType="end"/>
      </w:r>
      <w:r w:rsidRPr="009672FC">
        <w:rPr>
          <w:rFonts w:ascii="Garamond" w:hAnsi="Garamond"/>
        </w:rPr>
        <w:t xml:space="preserve">. Therefore, institutional practices such as professional training for managers and supervisors and the technological and skill development programs for employees are essential for competence building, especially in an inter-firm relationship context. Second, promoting institutional openness trust and honesty should be </w:t>
      </w:r>
      <w:r w:rsidRPr="009672FC">
        <w:rPr>
          <w:rFonts w:ascii="Garamond" w:hAnsi="Garamond"/>
        </w:rPr>
        <w:lastRenderedPageBreak/>
        <w:t xml:space="preserve">encouraged. However, care must be taken to control what information/knowledge is shared, and by whom. Promoting effective inter-firm dialogue, and socialization should be a </w:t>
      </w:r>
      <w:proofErr w:type="spellStart"/>
      <w:r w:rsidRPr="009672FC">
        <w:rPr>
          <w:rFonts w:ascii="Garamond" w:hAnsi="Garamond"/>
        </w:rPr>
        <w:t>centre</w:t>
      </w:r>
      <w:proofErr w:type="spellEnd"/>
      <w:r w:rsidRPr="009672FC">
        <w:rPr>
          <w:rFonts w:ascii="Garamond" w:hAnsi="Garamond"/>
        </w:rPr>
        <w:t xml:space="preserve"> of focus for entrepreneurs. These practices will ensure that relational risk such as distrust between alliance actors is minimized </w:t>
      </w:r>
      <w:r w:rsidRPr="009672FC">
        <w:rPr>
          <w:rFonts w:ascii="Garamond" w:hAnsi="Garamond"/>
        </w:rPr>
        <w:fldChar w:fldCharType="begin" w:fldLock="1"/>
      </w:r>
      <w:r w:rsidRPr="009672FC">
        <w:rPr>
          <w:rFonts w:ascii="Garamond" w:hAnsi="Garamond"/>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(Blomqvist &amp; Ståhle, 2000)</w:t>
      </w:r>
      <w:r w:rsidRPr="009672FC">
        <w:rPr>
          <w:rFonts w:ascii="Garamond" w:hAnsi="Garamond"/>
        </w:rPr>
        <w:fldChar w:fldCharType="end"/>
      </w:r>
      <w:r w:rsidRPr="009672FC">
        <w:rPr>
          <w:rFonts w:ascii="Garamond" w:hAnsi="Garamond"/>
        </w:rPr>
        <w:t xml:space="preserve">. Third, our findings may also assist entrepreneurs/managers to build on the institutional reputation through reliability trust in meeting production and delivery schedules, minimizing duplications and inefficiencies in an inter-firm relationship. Finally, communication is necessary for firms to develop shred identity, ideology, and expectations, thus reducing the relational risk of over-familiarity in the partnership. </w:t>
      </w:r>
    </w:p>
    <w:p w14:paraId="70CE5894" w14:textId="412C8812" w:rsidR="003D5DE8" w:rsidRPr="009672FC" w:rsidRDefault="007549AA" w:rsidP="00890FB2">
      <w:pPr>
        <w:spacing w:before="240" w:line="360" w:lineRule="auto"/>
        <w:jc w:val="both"/>
        <w:rPr>
          <w:rFonts w:ascii="Garamond" w:hAnsi="Garamond"/>
        </w:rPr>
      </w:pPr>
      <w:r w:rsidRPr="009672FC">
        <w:rPr>
          <w:rFonts w:ascii="Garamond" w:hAnsi="Garamond"/>
        </w:rPr>
        <w:t>The practice of institutional trust-building also differs significantly between firms (small vs medium). The use of personal contacts and social networks of entrepreneurs/managers attributable to small-sized enterprises must be managed effectively to reduce the plethora of relational risks associated with such ties. For example, friendship and other social ties in an alliance relation must be control</w:t>
      </w:r>
      <w:r w:rsidR="00813D37" w:rsidRPr="009672FC">
        <w:rPr>
          <w:rFonts w:ascii="Garamond" w:hAnsi="Garamond"/>
        </w:rPr>
        <w:t>led</w:t>
      </w:r>
      <w:r w:rsidRPr="009672FC">
        <w:rPr>
          <w:rFonts w:ascii="Garamond" w:hAnsi="Garamond"/>
        </w:rPr>
        <w:t xml:space="preserve"> through the existence of legal remedies, as a safety net for small firms. Also, small firms designate an office for managing the inter-firm relationship, thus reducing the relational risks of over-familiarity or partner’s opportunistic behavio</w:t>
      </w:r>
      <w:r w:rsidR="00813D37" w:rsidRPr="009672FC">
        <w:rPr>
          <w:rFonts w:ascii="Garamond" w:hAnsi="Garamond"/>
        </w:rPr>
        <w:t>u</w:t>
      </w:r>
      <w:r w:rsidRPr="009672FC">
        <w:rPr>
          <w:rFonts w:ascii="Garamond" w:hAnsi="Garamond"/>
        </w:rPr>
        <w:t>r. Similarly, these institutional trust-building mechanisms are also available to medium-sized enterprises.</w:t>
      </w:r>
    </w:p>
    <w:p w14:paraId="3AE1DED1" w14:textId="42EADEC8"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color w:val="000000" w:themeColor="text1"/>
        </w:rPr>
        <w:t>Thus, the [re]configuration of several institutional fields are required for building and maintaining inter-firm trust. For example, creating appropriate reward systems (</w:t>
      </w:r>
      <w:r w:rsidRPr="009672FC">
        <w:rPr>
          <w:rFonts w:ascii="Garamond" w:hAnsi="Garamond"/>
        </w:rPr>
        <w:fldChar w:fldCharType="begin" w:fldLock="1"/>
      </w:r>
      <w:r w:rsidRPr="009672FC">
        <w:rPr>
          <w:rFonts w:ascii="Garamond" w:hAnsi="Garamond"/>
          <w:color w:val="000000"/>
        </w:rPr>
        <w:instrText>ADDIN CSL_CITATION {"citationItems":[{"id":"ITEM-1","itemData":{"DOI":"10.1177/2278682113476164","ISBN":"2278682113","ISSN":"2278-6821","abstract":"Many authors have emphasized the importance of trust for achieving organizational success. The paper will give an overview of major issues in trust research, identifying foundations of building trust in organizations. The paper deals with important issues of connection between managers’ trust, organizational trust and organizational performance. The research connected with this topic was done in polish enterprises from Mazovia Province, This work was supported by Ministry of Science and Higher Education in Poland. Article is connected with realization of research project entitled “Orientation on trust and organizational performance” (No. N N115 549238). The analysis shows the approach to measure managers’ trust, organizational trust and organizational performance. Author checked the correlation between level of trust and organizational performance, which was positive.","author":[{"dropping-particle":"","family":"Paliszkiewicz","given":"Joanna","non-dropping-particle":"","parse-names":false,"suffix":""}],"container-title":"Jindal Journal of Business Research","id":"ITEM-1","issue":"2","issued":{"date-parts":[["2012"]]},"page":"153-161","title":"Managers’ Orientation on Trust and Organizational Performance","type":"article-journal","volume":"1"},"uris":["http://www.mendeley.com/documents/?uuid=3ec7b00b-87c9-4ebc-8f57-66093c3e196c"]}],"mendeley":{"formattedCitation":"(Paliszkiewicz, 2012)","manualFormatting":"Paliszkiewicz, 2012)","plainTextFormattedCitation":"(Paliszkiewicz, 2012)","previouslyFormattedCitation":"(Paliszkiewicz, 2012)"},"properties":{"noteIndex":0},"schema":"https://github.com/citation-style-language/schema/raw/master/csl-citation.json"}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Paliszkiewicz, 2012)</w:t>
      </w:r>
      <w:r w:rsidRPr="009672FC">
        <w:rPr>
          <w:rFonts w:ascii="Garamond" w:hAnsi="Garamond"/>
          <w:color w:val="000000"/>
        </w:rPr>
        <w:fldChar w:fldCharType="end"/>
      </w:r>
      <w:r w:rsidRPr="009672FC">
        <w:rPr>
          <w:rFonts w:ascii="Garamond" w:hAnsi="Garamond"/>
          <w:color w:val="000000" w:themeColor="text1"/>
        </w:rPr>
        <w:t xml:space="preserve">, synergistic teams </w:t>
      </w:r>
      <w:r w:rsidRPr="009672FC">
        <w:rPr>
          <w:rFonts w:ascii="Garamond" w:hAnsi="Garamond"/>
        </w:rPr>
        <w:fldChar w:fldCharType="begin" w:fldLock="1"/>
      </w:r>
      <w:r w:rsidRPr="009672FC">
        <w:rPr>
          <w:rFonts w:ascii="Garamond" w:hAnsi="Garamond"/>
          <w:color w:val="000000"/>
        </w:rPr>
        <w:instrText>ADDIN CSL_CITATION {"citationItems":[{"id":"ITEM-1","itemData":{"DOI":"10.1007/s12646-009-0008-3","ISSN":"09749861","abstract":"This study investigates the relationship between certain individual level determinants of interpersonal trust and its impact on organizational citizenship behavior. The participants (N=303) were top, middle, and lower level executives from manufacturing and services sectors. The results indicate that interaction frequency, consistency, and competence are significant predictors of interpersonal trust. Interpersonal trust is positively associated with organizational citizenship behavior, and it also partially mediated the relationship between individual level factors and organizational citizenship behavior. The results imply that the development of trust at the interpersonal level may be used as a strategy to motivate the employees to engage in extra role behaviors to ensure improved individual and organizational performance.","author":[{"dropping-particle":"","family":"Singh","given":"Upasana","non-dropping-particle":"","parse-names":false,"suffix":""},{"dropping-particle":"","family":"Srivastava","given":"Kailash B.L.","non-dropping-particle":"","parse-names":false,"suffix":""}],"container-title":"Psychological Studies","id":"ITEM-1","issue":"1","issued":{"date-parts":[["2009"]]},"page":"65-76","title":"Interpersonal trust and organizational citizenship behavior","type":"article-journal","volume":"54"},"uris":["http://www.mendeley.com/documents/?uuid=3f8619b2-9202-46d4-b228-6267f2439f4e"]}],"mendeley":{"formattedCitation":"(Singh &amp; Srivastava, 2009)","plainTextFormattedCitation":"(Singh &amp; Srivastava, 2009)","previouslyFormattedCitation":"(Singh &amp; Srivastava, 2009)"},"properties":{"noteIndex":0},"schema":"https://github.com/citation-style-language/schema/raw/master/csl-citation.json"}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(Singh &amp; Srivastava, 2009)</w:t>
      </w:r>
      <w:r w:rsidRPr="009672FC">
        <w:rPr>
          <w:rFonts w:ascii="Garamond" w:hAnsi="Garamond"/>
          <w:color w:val="000000"/>
        </w:rPr>
        <w:fldChar w:fldCharType="end"/>
      </w:r>
      <w:r w:rsidRPr="009672FC">
        <w:rPr>
          <w:rFonts w:ascii="Garamond" w:hAnsi="Garamond"/>
          <w:color w:val="000000" w:themeColor="text1"/>
        </w:rPr>
        <w:t>, promot</w:t>
      </w:r>
      <w:r w:rsidR="00813D37" w:rsidRPr="009672FC">
        <w:rPr>
          <w:rFonts w:ascii="Garamond" w:hAnsi="Garamond"/>
          <w:color w:val="000000" w:themeColor="text1"/>
        </w:rPr>
        <w:t>ing</w:t>
      </w:r>
      <w:r w:rsidRPr="009672FC">
        <w:rPr>
          <w:rFonts w:ascii="Garamond" w:hAnsi="Garamond"/>
          <w:color w:val="000000" w:themeColor="text1"/>
        </w:rPr>
        <w:t xml:space="preserve"> membership in professional associations </w:t>
      </w:r>
      <w:r w:rsidRPr="009672FC">
        <w:rPr>
          <w:rFonts w:ascii="Garamond" w:hAnsi="Garamond"/>
        </w:rPr>
        <w:fldChar w:fldCharType="begin" w:fldLock="1"/>
      </w:r>
      <w:r w:rsidRPr="009672FC">
        <w:rPr>
          <w:rFonts w:ascii="Garamond" w:hAnsi="Garamond"/>
          <w:color w:val="000000"/>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Studies","id":"ITEM-1","issue":"2","issued":{"date-parts":[["2001"]]},"page":"251-283","title":"Trust, Control, and Risk in Strategic Alliances: An Integrated Framework","type":"article-journal","volume":"22"},"uris":["http://www.mendeley.com/documents/?uuid=ed174143-3dbf-489b-af8a-89adb4684464"]}],"mendeley":{"formattedCitation":"(Das &amp; Teng, 2001)","plainTextFormattedCitation":"(Das &amp; Teng, 2001)","previouslyFormattedCitation":"(Das &amp; Teng, 2001)"},"properties":{"noteIndex":0},"schema":"https://github.com/citation-style-language/schema/raw/master/csl-citation.json"}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(Das &amp; Teng, 2001)</w:t>
      </w:r>
      <w:r w:rsidRPr="009672FC">
        <w:rPr>
          <w:rFonts w:ascii="Garamond" w:hAnsi="Garamond"/>
          <w:color w:val="000000"/>
        </w:rPr>
        <w:fldChar w:fldCharType="end"/>
      </w:r>
      <w:r w:rsidRPr="009672FC">
        <w:rPr>
          <w:rFonts w:ascii="Garamond" w:hAnsi="Garamond"/>
          <w:color w:val="000000" w:themeColor="text1"/>
        </w:rPr>
        <w:t>, trust management leadership, and relation-oriented culture (</w:t>
      </w:r>
      <w:r w:rsidRPr="009672FC">
        <w:rPr>
          <w:rFonts w:ascii="Garamond" w:hAnsi="Garamond"/>
        </w:rPr>
        <w:fldChar w:fldCharType="begin" w:fldLock="1"/>
      </w:r>
      <w:r w:rsidRPr="009672FC">
        <w:rPr>
          <w:rFonts w:ascii="Garamond" w:hAnsi="Garamond"/>
          <w:color w:val="000000"/>
        </w:rPr>
        <w:instrText>ADDIN CSL_CITATION {"citationItems":[{"id":"ITEM-1","itemData":{"author":[{"dropping-particle":"","family":"Shockley-Zalabak","given":"Pamela S","non-dropping-particle":"","parse-names":false,"suffix":""},{"dropping-particle":"","family":"Morreale","given":"Sherwyn P","non-dropping-particle":"","parse-names":false,"suffix":""}],"container-title":"Leader to Leader","id":"ITEM-1","issued":{"date-parts":[["2011"]]},"page":"39-45","title":"Building High-trust Organizations","type":"article-journal","volume":"60"},"uris":["http://www.mendeley.com/documents/?uuid=1f0f9158-2af4-40d7-bbc8-ab355d6ae468"]}],"mendeley":{"formattedCitation":"(Shockley-Zalabak &amp; Morreale, 2011)","manualFormatting":"Shockley-Zalabak and Morreale, 2011)","plainTextFormattedCitation":"(Shockley-Zalabak &amp; Morreale, 2011)","previouslyFormattedCitation":"(Shockley-Zalabak &amp; Morreale, 2011)"},"properties":{"noteIndex":0},"schema":"https://github.com/citation-style-language/schema/raw/master/csl-citation.json"}</w:instrText>
      </w:r>
      <w:r w:rsidRPr="009672FC">
        <w:rPr>
          <w:rFonts w:ascii="Garamond" w:hAnsi="Garamond"/>
          <w:color w:val="000000"/>
        </w:rPr>
        <w:fldChar w:fldCharType="separate"/>
      </w:r>
      <w:r w:rsidRPr="009672FC">
        <w:rPr>
          <w:rFonts w:ascii="Garamond" w:hAnsi="Garamond"/>
          <w:noProof/>
          <w:color w:val="000000" w:themeColor="text1"/>
        </w:rPr>
        <w:t>Shockley-Zalabak and Morreale, 2011)</w:t>
      </w:r>
      <w:r w:rsidRPr="009672FC">
        <w:rPr>
          <w:rFonts w:ascii="Garamond" w:hAnsi="Garamond"/>
          <w:color w:val="000000"/>
        </w:rPr>
        <w:fldChar w:fldCharType="end"/>
      </w:r>
      <w:r w:rsidRPr="009672FC">
        <w:rPr>
          <w:rFonts w:ascii="Garamond" w:hAnsi="Garamond"/>
          <w:color w:val="000000" w:themeColor="text1"/>
        </w:rPr>
        <w:t xml:space="preserve"> are critical aspects of inter-organizational relational trust and performance.</w:t>
      </w:r>
    </w:p>
    <w:p w14:paraId="320456BD" w14:textId="77777777" w:rsidR="00890FB2" w:rsidRPr="009672FC" w:rsidRDefault="007549AA" w:rsidP="00890FB2">
      <w:pPr>
        <w:spacing w:before="240" w:line="360" w:lineRule="auto"/>
        <w:jc w:val="both"/>
        <w:rPr>
          <w:rFonts w:ascii="Garamond" w:hAnsi="Garamond"/>
          <w:color w:val="000000" w:themeColor="text1"/>
        </w:rPr>
      </w:pPr>
      <w:r w:rsidRPr="009672FC">
        <w:rPr>
          <w:rFonts w:ascii="Garamond" w:hAnsi="Garamond"/>
        </w:rPr>
        <w:t xml:space="preserve">This paper also provides insights into the theoretical contribution of institutional trust-building factors in inter-firm business relationships. The findings suggest that the impact of institutional trust-building factors have an invariably different impact on actors’ innovation performance. More specifically, results suggest that trust in institutional openness, reliability trust of the alliance partner, trust in the similarity/identification with an alliance partner, positively predict alliance actors’ innovation performance. These findings are supported by several prior research. Moreover, this study also contributes to trust and inter-firm business relationship literature that relational </w:t>
      </w:r>
      <w:r w:rsidRPr="009672FC">
        <w:rPr>
          <w:rFonts w:ascii="Garamond" w:hAnsi="Garamond"/>
        </w:rPr>
        <w:lastRenderedPageBreak/>
        <w:t>risks of inter-firm collaboration impact the degree of institutional openness trust, reliability trust, and partially competence trust on inter-firm actors’ innovation performance. These findings provide new insights into trust research and theory.</w:t>
      </w:r>
    </w:p>
    <w:p w14:paraId="34C12B1D" w14:textId="41FBDFB0" w:rsidR="00EB5D6B" w:rsidRPr="00BC16AE" w:rsidRDefault="007549AA" w:rsidP="00890FB2">
      <w:pPr>
        <w:spacing w:before="240" w:line="360" w:lineRule="auto"/>
        <w:jc w:val="both"/>
        <w:rPr>
          <w:rFonts w:ascii="Garamond" w:hAnsi="Garamond"/>
        </w:rPr>
      </w:pPr>
      <w:r w:rsidRPr="009672FC">
        <w:rPr>
          <w:rFonts w:ascii="Garamond" w:hAnsi="Garamond"/>
        </w:rPr>
        <w:t>In conclusion, this study found a significant role of institutional trust-building factors in fostering the innovation capability of inter-firm business actors in The Gambia’s small segment of SMEs. The study found that the effect of institutional reliability trust, openness trust, and partially competence trust on innovation was transmitted by relational risk involve</w:t>
      </w:r>
      <w:r w:rsidR="00813D37" w:rsidRPr="009672FC">
        <w:rPr>
          <w:rFonts w:ascii="Garamond" w:hAnsi="Garamond"/>
        </w:rPr>
        <w:t>d</w:t>
      </w:r>
      <w:r w:rsidRPr="009672FC">
        <w:rPr>
          <w:rFonts w:ascii="Garamond" w:hAnsi="Garamond"/>
        </w:rPr>
        <w:t xml:space="preserve"> in inter-firm alliances. The results suggested that openness trust and reliability trust had a pivotal role in promoting innovation performance both directly and indirectly. Overall, this paper contributes to a little body of empirical literature that demonstrated that trust in an inter-firm business relationship is fundamental to actors’ innovation performance. The findings are expected to help entrepreneurs/managers of local SMEs to adopt strategies that help build and sustain institutionalized trust in the context of an inter-firm business relationship.</w:t>
      </w:r>
    </w:p>
    <w:p w14:paraId="1CD7B6C4" w14:textId="2D1DE601" w:rsidR="003D5DE8" w:rsidRPr="009672FC" w:rsidRDefault="007549AA">
      <w:pPr>
        <w:pStyle w:val="Title"/>
        <w:numPr>
          <w:ilvl w:val="2"/>
          <w:numId w:val="14"/>
        </w:numPr>
        <w:spacing w:before="240" w:line="360" w:lineRule="auto"/>
        <w:jc w:val="both"/>
        <w:outlineLvl w:val="2"/>
        <w:rPr>
          <w:rFonts w:ascii="Garamond" w:hAnsi="Garamond" w:cs="Times New Roman"/>
          <w:b/>
          <w:bCs/>
          <w:i/>
          <w:iCs/>
          <w:color w:val="000000"/>
          <w:sz w:val="24"/>
          <w:szCs w:val="24"/>
        </w:rPr>
      </w:pPr>
      <w:bookmarkStart w:id="202" w:name="_Toc85708762"/>
      <w:bookmarkStart w:id="203" w:name="_Toc85709776"/>
      <w:r w:rsidRPr="009672FC">
        <w:rPr>
          <w:rFonts w:ascii="Garamond" w:hAnsi="Garamond" w:cs="Times New Roman"/>
          <w:b/>
          <w:bCs/>
          <w:i/>
          <w:iCs/>
          <w:color w:val="000000"/>
          <w:sz w:val="24"/>
          <w:szCs w:val="24"/>
        </w:rPr>
        <w:t>Limitations and Future Research</w:t>
      </w:r>
      <w:bookmarkEnd w:id="202"/>
      <w:bookmarkEnd w:id="203"/>
    </w:p>
    <w:p w14:paraId="1A8B3D92" w14:textId="5D05B1B6" w:rsidR="003D5DE8" w:rsidRPr="009672FC" w:rsidRDefault="007549AA">
      <w:pPr>
        <w:spacing w:line="360" w:lineRule="auto"/>
        <w:jc w:val="both"/>
        <w:rPr>
          <w:rFonts w:ascii="Garamond" w:hAnsi="Garamond"/>
        </w:rPr>
      </w:pPr>
      <w:r w:rsidRPr="009672FC">
        <w:rPr>
          <w:rFonts w:ascii="Garamond" w:hAnsi="Garamond"/>
          <w:color w:val="000000"/>
        </w:rPr>
        <w:t>Suggestions for future research direction are based on the limitations of the current study. First, the current study is limited in term of the trust-building factors (only four) were used as other trust factors impacts innovation performance. Therefore, future research could explore the other trust factors on innovation performance. Second, the general term for innovation performance was used in the current study, thus limiting the specific type of innovation involved. We advise that future research could explicate the specific form of innovation, as inter-firm trust may impact different forms of innovation.  Third, the study is limited in terms of the small sample size and the use of firms domiciled in the Kanifing Municipality of The Gambia, w</w:t>
      </w:r>
      <w:r w:rsidR="00813D37" w:rsidRPr="009672FC">
        <w:rPr>
          <w:rFonts w:ascii="Garamond" w:hAnsi="Garamond"/>
          <w:color w:val="000000"/>
        </w:rPr>
        <w:t>as</w:t>
      </w:r>
      <w:r w:rsidRPr="009672FC">
        <w:rPr>
          <w:rFonts w:ascii="Garamond" w:hAnsi="Garamond"/>
          <w:color w:val="000000"/>
        </w:rPr>
        <w:t xml:space="preserve"> involved. Future research is encouraged to increase the sampling population and include wide national data to increase research robustness and generalizability of the findings. The comparison across cities could generate interesting results. Further, longitudinal research involving a larger sample size can provide better empirical evidence into the role of trust-building factors on innovation performance. Finally, because the current study used the perception of entrepreneurs/managers of SMEs, future research could incorporate the perception of other non-managers (such as employees, industry expert opinion, etc.) at dyadic as well as multilateral levels.</w:t>
      </w:r>
    </w:p>
    <w:p w14:paraId="69F4878E" w14:textId="77777777" w:rsidR="00890FB2" w:rsidRPr="009672FC" w:rsidRDefault="00890FB2" w:rsidP="00890FB2">
      <w:pPr>
        <w:rPr>
          <w:rFonts w:ascii="Garamond" w:hAnsi="Garamond"/>
        </w:rPr>
      </w:pPr>
    </w:p>
    <w:p w14:paraId="51AF2E38" w14:textId="54D67CF3" w:rsidR="003D5DE8" w:rsidRPr="009672FC" w:rsidRDefault="007549AA">
      <w:pPr>
        <w:pStyle w:val="Heading1"/>
        <w:jc w:val="center"/>
        <w:rPr>
          <w:rFonts w:ascii="Garamond" w:hAnsi="Garamond" w:cs="Times New Roman"/>
          <w:b/>
          <w:color w:val="auto"/>
        </w:rPr>
      </w:pPr>
      <w:bookmarkStart w:id="204" w:name="_Toc85708763"/>
      <w:bookmarkStart w:id="205" w:name="_Toc85709777"/>
      <w:r w:rsidRPr="009672FC">
        <w:rPr>
          <w:rFonts w:ascii="Garamond" w:hAnsi="Garamond" w:cs="Times New Roman"/>
          <w:b/>
          <w:color w:val="auto"/>
        </w:rPr>
        <w:lastRenderedPageBreak/>
        <w:t>Chapter 4</w:t>
      </w:r>
      <w:bookmarkEnd w:id="204"/>
      <w:bookmarkEnd w:id="205"/>
    </w:p>
    <w:p w14:paraId="488CF981" w14:textId="77777777" w:rsidR="003D5DE8" w:rsidRPr="009672FC" w:rsidRDefault="003D5DE8">
      <w:pPr>
        <w:jc w:val="both"/>
        <w:rPr>
          <w:rFonts w:ascii="Garamond" w:hAnsi="Garamond"/>
          <w:b/>
          <w:bCs/>
        </w:rPr>
      </w:pPr>
    </w:p>
    <w:p w14:paraId="634C9790" w14:textId="77777777" w:rsidR="003D5DE8" w:rsidRPr="009672FC" w:rsidRDefault="007549AA">
      <w:pPr>
        <w:jc w:val="both"/>
        <w:rPr>
          <w:rFonts w:ascii="Garamond" w:hAnsi="Garamond"/>
          <w:b/>
          <w:bCs/>
        </w:rPr>
      </w:pPr>
      <w:r w:rsidRPr="009672FC">
        <w:rPr>
          <w:rFonts w:ascii="Garamond" w:hAnsi="Garamond"/>
          <w:b/>
          <w:bCs/>
        </w:rPr>
        <w:t>Collaborative Capabilities of Cause-Based Social Entrepreneurship Alliance of Firms</w:t>
      </w:r>
    </w:p>
    <w:p w14:paraId="0C5F5704" w14:textId="77777777" w:rsidR="003D5DE8" w:rsidRPr="009672FC" w:rsidRDefault="003D5DE8">
      <w:pPr>
        <w:spacing w:line="360" w:lineRule="auto"/>
        <w:jc w:val="both"/>
        <w:rPr>
          <w:rFonts w:ascii="Garamond" w:hAnsi="Garamond"/>
        </w:rPr>
      </w:pPr>
    </w:p>
    <w:p w14:paraId="4099F6EA" w14:textId="77777777" w:rsidR="003D5DE8" w:rsidRPr="009672FC" w:rsidRDefault="003D5DE8">
      <w:pPr>
        <w:jc w:val="center"/>
        <w:rPr>
          <w:rFonts w:ascii="Garamond" w:hAnsi="Garamond"/>
          <w:b/>
          <w:bCs/>
          <w:color w:val="000000" w:themeColor="text1"/>
        </w:rPr>
      </w:pPr>
    </w:p>
    <w:tbl>
      <w:tblPr>
        <w:tblStyle w:val="TableGrid"/>
        <w:tblW w:w="9062" w:type="dxa"/>
        <w:tblLayout w:type="fixed"/>
        <w:tblLook w:val="04A0" w:firstRow="1" w:lastRow="0" w:firstColumn="1" w:lastColumn="0" w:noHBand="0" w:noVBand="1"/>
      </w:tblPr>
      <w:tblGrid>
        <w:gridCol w:w="2405"/>
        <w:gridCol w:w="6657"/>
      </w:tblGrid>
      <w:tr w:rsidR="003D5DE8" w:rsidRPr="009672FC" w14:paraId="3B295BE1" w14:textId="77777777">
        <w:trPr>
          <w:trHeight w:val="658"/>
        </w:trPr>
        <w:tc>
          <w:tcPr>
            <w:tcW w:w="2405" w:type="dxa"/>
            <w:tcBorders>
              <w:bottom w:val="nil"/>
              <w:right w:val="nil"/>
            </w:tcBorders>
          </w:tcPr>
          <w:p w14:paraId="6DA24D44"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Title </w:t>
            </w:r>
          </w:p>
        </w:tc>
        <w:tc>
          <w:tcPr>
            <w:tcW w:w="6656" w:type="dxa"/>
            <w:tcBorders>
              <w:left w:val="nil"/>
              <w:bottom w:val="nil"/>
            </w:tcBorders>
          </w:tcPr>
          <w:p w14:paraId="067B16E1" w14:textId="77777777" w:rsidR="003D5DE8" w:rsidRPr="009672FC" w:rsidRDefault="007549AA">
            <w:pPr>
              <w:jc w:val="both"/>
              <w:rPr>
                <w:rFonts w:ascii="Garamond" w:hAnsi="Garamond"/>
              </w:rPr>
            </w:pPr>
            <w:r w:rsidRPr="009672FC">
              <w:rPr>
                <w:rFonts w:ascii="Garamond" w:hAnsi="Garamond"/>
              </w:rPr>
              <w:t>Collaborative Capabilities of Cause-Based Social Entrepreneurship Alliance of Firms</w:t>
            </w:r>
          </w:p>
        </w:tc>
      </w:tr>
      <w:tr w:rsidR="003D5DE8" w:rsidRPr="009672FC" w14:paraId="60639000" w14:textId="77777777">
        <w:tc>
          <w:tcPr>
            <w:tcW w:w="2405" w:type="dxa"/>
            <w:tcBorders>
              <w:top w:val="nil"/>
              <w:bottom w:val="nil"/>
              <w:right w:val="nil"/>
            </w:tcBorders>
          </w:tcPr>
          <w:p w14:paraId="3CB68BAC"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Authors </w:t>
            </w:r>
          </w:p>
        </w:tc>
        <w:tc>
          <w:tcPr>
            <w:tcW w:w="6656" w:type="dxa"/>
            <w:tcBorders>
              <w:top w:val="nil"/>
              <w:left w:val="nil"/>
              <w:bottom w:val="nil"/>
            </w:tcBorders>
          </w:tcPr>
          <w:p w14:paraId="42192385"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Ceesay, Lamin B. (</w:t>
            </w:r>
            <w:hyperlink r:id="rId34">
              <w:r w:rsidRPr="009672FC">
                <w:rPr>
                  <w:rStyle w:val="Heading3Char"/>
                  <w:rFonts w:ascii="Garamond" w:hAnsi="Garamond" w:cs="Times New Roman"/>
                  <w:color w:val="auto"/>
                  <w:lang w:eastAsia="en-US"/>
                </w:rPr>
                <w:t>laminb.ceesay@univr.it</w:t>
              </w:r>
            </w:hyperlink>
            <w:r w:rsidRPr="009672FC">
              <w:rPr>
                <w:rFonts w:ascii="Garamond" w:hAnsi="Garamond"/>
                <w:lang w:eastAsia="en-US"/>
              </w:rPr>
              <w:t>)</w:t>
            </w:r>
          </w:p>
          <w:p w14:paraId="59747D95"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Rossignoli, Cecilia (</w:t>
            </w:r>
            <w:hyperlink r:id="rId35">
              <w:r w:rsidRPr="009672FC">
                <w:rPr>
                  <w:rStyle w:val="Heading3Char"/>
                  <w:rFonts w:ascii="Garamond" w:hAnsi="Garamond" w:cs="Times New Roman"/>
                  <w:color w:val="auto"/>
                  <w:lang w:eastAsia="en-US"/>
                </w:rPr>
                <w:t>rossignoli.cecilia@univr.it</w:t>
              </w:r>
            </w:hyperlink>
            <w:r w:rsidRPr="009672FC">
              <w:rPr>
                <w:rFonts w:ascii="Garamond" w:hAnsi="Garamond"/>
                <w:lang w:eastAsia="en-US"/>
              </w:rPr>
              <w:t>)</w:t>
            </w:r>
          </w:p>
          <w:p w14:paraId="650295EB" w14:textId="77777777" w:rsidR="003D5DE8" w:rsidRPr="009672FC" w:rsidRDefault="007549AA">
            <w:pPr>
              <w:tabs>
                <w:tab w:val="left" w:pos="2362"/>
              </w:tabs>
              <w:jc w:val="both"/>
              <w:rPr>
                <w:rFonts w:ascii="Garamond" w:hAnsi="Garamond"/>
                <w:lang w:eastAsia="en-US"/>
              </w:rPr>
            </w:pPr>
            <w:proofErr w:type="spellStart"/>
            <w:r w:rsidRPr="009672FC">
              <w:rPr>
                <w:rFonts w:ascii="Garamond" w:hAnsi="Garamond"/>
              </w:rPr>
              <w:t>Mahto</w:t>
            </w:r>
            <w:proofErr w:type="spellEnd"/>
            <w:r w:rsidRPr="009672FC">
              <w:rPr>
                <w:rFonts w:ascii="Garamond" w:hAnsi="Garamond"/>
              </w:rPr>
              <w:t>, Raj (</w:t>
            </w:r>
            <w:hyperlink r:id="rId36">
              <w:r w:rsidRPr="009672FC">
                <w:rPr>
                  <w:rStyle w:val="Heading3Char"/>
                  <w:rFonts w:ascii="Garamond" w:hAnsi="Garamond" w:cs="Times New Roman"/>
                  <w:color w:val="auto"/>
                </w:rPr>
                <w:t>rmahto@unm.edu</w:t>
              </w:r>
            </w:hyperlink>
            <w:r w:rsidRPr="009672FC">
              <w:rPr>
                <w:rFonts w:ascii="Garamond" w:hAnsi="Garamond"/>
              </w:rPr>
              <w:t xml:space="preserve">) </w:t>
            </w:r>
            <w:r w:rsidRPr="009672FC">
              <w:rPr>
                <w:rFonts w:ascii="Garamond" w:hAnsi="Garamond"/>
                <w:lang w:eastAsia="en-US"/>
              </w:rPr>
              <w:t xml:space="preserve"> </w:t>
            </w:r>
          </w:p>
          <w:p w14:paraId="2F3E3B94" w14:textId="77777777" w:rsidR="003D5DE8" w:rsidRPr="009672FC" w:rsidRDefault="003D5DE8">
            <w:pPr>
              <w:tabs>
                <w:tab w:val="left" w:pos="2362"/>
              </w:tabs>
              <w:jc w:val="both"/>
              <w:rPr>
                <w:rFonts w:ascii="Garamond" w:hAnsi="Garamond"/>
                <w:lang w:eastAsia="en-US"/>
              </w:rPr>
            </w:pPr>
          </w:p>
          <w:p w14:paraId="01806321"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**University of Verona, Graduate School of Economics and Legal Sciences, Department of Economics. Via </w:t>
            </w:r>
            <w:proofErr w:type="spellStart"/>
            <w:r w:rsidRPr="009672FC">
              <w:rPr>
                <w:rFonts w:ascii="Garamond" w:hAnsi="Garamond"/>
                <w:lang w:eastAsia="en-US"/>
              </w:rPr>
              <w:t>Cantarane</w:t>
            </w:r>
            <w:proofErr w:type="spellEnd"/>
            <w:r w:rsidRPr="009672FC">
              <w:rPr>
                <w:rFonts w:ascii="Garamond" w:hAnsi="Garamond"/>
                <w:lang w:eastAsia="en-US"/>
              </w:rPr>
              <w:t xml:space="preserve"> 24, 37129, Santa Marta Building, Italy.</w:t>
            </w:r>
          </w:p>
          <w:p w14:paraId="35678B9B"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***Anderson School of Management, University of New Mexico, Albuquerque, NM 87131, USA.</w:t>
            </w:r>
          </w:p>
        </w:tc>
      </w:tr>
      <w:tr w:rsidR="003D5DE8" w:rsidRPr="009672FC" w14:paraId="39D906EB" w14:textId="77777777">
        <w:tc>
          <w:tcPr>
            <w:tcW w:w="2405" w:type="dxa"/>
            <w:tcBorders>
              <w:top w:val="nil"/>
              <w:bottom w:val="nil"/>
              <w:right w:val="nil"/>
            </w:tcBorders>
          </w:tcPr>
          <w:p w14:paraId="66983B5F" w14:textId="77777777" w:rsidR="003D5DE8" w:rsidRPr="009672FC" w:rsidRDefault="003D5DE8">
            <w:pPr>
              <w:tabs>
                <w:tab w:val="left" w:pos="2362"/>
              </w:tabs>
              <w:jc w:val="both"/>
              <w:rPr>
                <w:rFonts w:ascii="Garamond" w:hAnsi="Garamond"/>
                <w:lang w:eastAsia="en-US"/>
              </w:rPr>
            </w:pPr>
          </w:p>
          <w:p w14:paraId="792A9083" w14:textId="77777777" w:rsidR="003D5DE8" w:rsidRPr="009672FC" w:rsidRDefault="007549AA">
            <w:pPr>
              <w:tabs>
                <w:tab w:val="left" w:pos="2362"/>
              </w:tabs>
              <w:jc w:val="both"/>
              <w:rPr>
                <w:rFonts w:ascii="Garamond" w:hAnsi="Garamond"/>
                <w:lang w:eastAsia="en-US"/>
              </w:rPr>
            </w:pPr>
            <w:r w:rsidRPr="009672FC">
              <w:rPr>
                <w:rFonts w:ascii="Garamond" w:hAnsi="Garamond"/>
                <w:lang w:eastAsia="en-US"/>
              </w:rPr>
              <w:t>Publication</w:t>
            </w:r>
          </w:p>
        </w:tc>
        <w:tc>
          <w:tcPr>
            <w:tcW w:w="6656" w:type="dxa"/>
            <w:tcBorders>
              <w:top w:val="nil"/>
              <w:left w:val="nil"/>
              <w:bottom w:val="nil"/>
            </w:tcBorders>
          </w:tcPr>
          <w:p w14:paraId="70F6EC18" w14:textId="77777777" w:rsidR="003D5DE8" w:rsidRPr="009672FC" w:rsidRDefault="003D5DE8">
            <w:pPr>
              <w:tabs>
                <w:tab w:val="left" w:pos="2362"/>
              </w:tabs>
              <w:jc w:val="both"/>
              <w:rPr>
                <w:rFonts w:ascii="Garamond" w:hAnsi="Garamond"/>
                <w:lang w:eastAsia="en-US"/>
              </w:rPr>
            </w:pPr>
          </w:p>
          <w:p w14:paraId="4BCC5452" w14:textId="1116F2A2" w:rsidR="003D5DE8" w:rsidRPr="009672FC" w:rsidRDefault="007549AA">
            <w:pPr>
              <w:tabs>
                <w:tab w:val="left" w:pos="2362"/>
              </w:tabs>
              <w:jc w:val="both"/>
              <w:rPr>
                <w:rFonts w:ascii="Garamond" w:hAnsi="Garamond"/>
                <w:lang w:eastAsia="en-US"/>
              </w:rPr>
            </w:pPr>
            <w:r w:rsidRPr="009672FC">
              <w:rPr>
                <w:rFonts w:ascii="Garamond" w:hAnsi="Garamond"/>
                <w:lang w:eastAsia="en-US"/>
              </w:rPr>
              <w:t xml:space="preserve">Journal of Small Business and Enterprise Development (JSBED). Under </w:t>
            </w:r>
            <w:r w:rsidR="00813D37" w:rsidRPr="009672FC">
              <w:rPr>
                <w:rFonts w:ascii="Garamond" w:hAnsi="Garamond"/>
                <w:lang w:eastAsia="en-US"/>
              </w:rPr>
              <w:t xml:space="preserve">the </w:t>
            </w:r>
            <w:r w:rsidRPr="009672FC">
              <w:rPr>
                <w:rFonts w:ascii="Garamond" w:hAnsi="Garamond"/>
                <w:lang w:eastAsia="en-US"/>
              </w:rPr>
              <w:t>second round of revision.</w:t>
            </w:r>
          </w:p>
          <w:p w14:paraId="78CBB483" w14:textId="77777777" w:rsidR="003D5DE8" w:rsidRPr="009672FC" w:rsidRDefault="003D5DE8">
            <w:pPr>
              <w:tabs>
                <w:tab w:val="left" w:pos="2362"/>
              </w:tabs>
              <w:jc w:val="both"/>
              <w:rPr>
                <w:rFonts w:ascii="Garamond" w:hAnsi="Garamond"/>
                <w:lang w:eastAsia="en-US"/>
              </w:rPr>
            </w:pPr>
          </w:p>
        </w:tc>
      </w:tr>
      <w:tr w:rsidR="003D5DE8" w:rsidRPr="009672FC" w14:paraId="5C477763" w14:textId="77777777">
        <w:tc>
          <w:tcPr>
            <w:tcW w:w="2405" w:type="dxa"/>
            <w:tcBorders>
              <w:top w:val="nil"/>
              <w:right w:val="nil"/>
            </w:tcBorders>
          </w:tcPr>
          <w:p w14:paraId="55EB2CA0" w14:textId="77777777" w:rsidR="003D5DE8" w:rsidRPr="009672FC" w:rsidRDefault="007549AA">
            <w:pPr>
              <w:tabs>
                <w:tab w:val="left" w:pos="2362"/>
              </w:tabs>
              <w:rPr>
                <w:rFonts w:ascii="Garamond" w:hAnsi="Garamond"/>
                <w:lang w:eastAsia="en-US"/>
              </w:rPr>
            </w:pPr>
            <w:r w:rsidRPr="009672FC">
              <w:rPr>
                <w:rFonts w:ascii="Garamond" w:hAnsi="Garamond"/>
                <w:lang w:eastAsia="en-US"/>
              </w:rPr>
              <w:t>First author’s Contribution</w:t>
            </w:r>
          </w:p>
        </w:tc>
        <w:tc>
          <w:tcPr>
            <w:tcW w:w="6656" w:type="dxa"/>
            <w:tcBorders>
              <w:top w:val="nil"/>
              <w:left w:val="nil"/>
            </w:tcBorders>
          </w:tcPr>
          <w:p w14:paraId="3A1BEC5D" w14:textId="77777777" w:rsidR="003D5DE8" w:rsidRPr="009672FC" w:rsidRDefault="007549AA">
            <w:pPr>
              <w:rPr>
                <w:rFonts w:ascii="Garamond" w:eastAsiaTheme="minorHAnsi" w:hAnsi="Garamond"/>
                <w:lang w:val="en-GB" w:eastAsia="en-US"/>
              </w:rPr>
            </w:pPr>
            <w:r w:rsidRPr="009672FC">
              <w:rPr>
                <w:rFonts w:ascii="Garamond" w:eastAsiaTheme="minorHAnsi" w:hAnsi="Garamond"/>
                <w:lang w:val="en-GB" w:eastAsia="en-US"/>
              </w:rPr>
              <w:t>Problem definition, research design, data collection and analysis, interpretation, reporting.</w:t>
            </w:r>
          </w:p>
        </w:tc>
      </w:tr>
    </w:tbl>
    <w:p w14:paraId="34345133" w14:textId="643900C7" w:rsidR="003D5DE8" w:rsidRPr="00BC16AE" w:rsidRDefault="00EB5D6B" w:rsidP="00EB5D6B">
      <w:pPr>
        <w:pStyle w:val="Caption"/>
        <w:keepNext/>
        <w:jc w:val="both"/>
        <w:rPr>
          <w:rFonts w:ascii="Garamond" w:hAnsi="Garamond"/>
          <w:sz w:val="22"/>
          <w:szCs w:val="22"/>
        </w:rPr>
      </w:pPr>
      <w:bookmarkStart w:id="206" w:name="_Toc85711318"/>
      <w:r w:rsidRPr="00BC16AE">
        <w:rPr>
          <w:rFonts w:ascii="Garamond" w:hAnsi="Garamond"/>
          <w:sz w:val="22"/>
          <w:szCs w:val="22"/>
        </w:rPr>
        <w:t xml:space="preserve">Table </w:t>
      </w:r>
      <w:r w:rsidR="00C10BC3" w:rsidRPr="00BC16AE">
        <w:rPr>
          <w:rFonts w:ascii="Garamond" w:hAnsi="Garamond"/>
          <w:sz w:val="22"/>
          <w:szCs w:val="22"/>
        </w:rPr>
        <w:fldChar w:fldCharType="begin"/>
      </w:r>
      <w:r w:rsidR="00C10BC3" w:rsidRPr="00BC16AE">
        <w:rPr>
          <w:rFonts w:ascii="Garamond" w:hAnsi="Garamond"/>
          <w:sz w:val="22"/>
          <w:szCs w:val="22"/>
        </w:rPr>
        <w:instrText xml:space="preserve"> SEQ Table \* ARABIC </w:instrText>
      </w:r>
      <w:r w:rsidR="00C10BC3" w:rsidRPr="00BC16AE">
        <w:rPr>
          <w:rFonts w:ascii="Garamond" w:hAnsi="Garamond"/>
          <w:sz w:val="22"/>
          <w:szCs w:val="22"/>
        </w:rPr>
        <w:fldChar w:fldCharType="separate"/>
      </w:r>
      <w:r w:rsidR="001C1648">
        <w:rPr>
          <w:rFonts w:ascii="Garamond" w:hAnsi="Garamond"/>
          <w:noProof/>
          <w:sz w:val="22"/>
          <w:szCs w:val="22"/>
        </w:rPr>
        <w:t>11</w:t>
      </w:r>
      <w:r w:rsidR="00C10BC3" w:rsidRPr="00BC16AE">
        <w:rPr>
          <w:rFonts w:ascii="Garamond" w:hAnsi="Garamond"/>
          <w:noProof/>
          <w:sz w:val="22"/>
          <w:szCs w:val="22"/>
        </w:rPr>
        <w:fldChar w:fldCharType="end"/>
      </w:r>
      <w:r w:rsidRPr="00BC16AE">
        <w:rPr>
          <w:rFonts w:ascii="Garamond" w:hAnsi="Garamond"/>
          <w:sz w:val="22"/>
          <w:szCs w:val="22"/>
        </w:rPr>
        <w:t>. Fact Sheet for Thesis Ch4</w:t>
      </w:r>
      <w:bookmarkEnd w:id="206"/>
    </w:p>
    <w:p w14:paraId="561BEE36" w14:textId="098A04D8" w:rsidR="003D5DE8" w:rsidRPr="009672FC" w:rsidRDefault="007549AA">
      <w:pPr>
        <w:pStyle w:val="Heading1"/>
        <w:rPr>
          <w:rFonts w:ascii="Garamond" w:hAnsi="Garamond" w:cs="Times New Roman"/>
          <w:b/>
          <w:color w:val="auto"/>
          <w:lang w:val="en-GB" w:eastAsia="en-US"/>
        </w:rPr>
      </w:pPr>
      <w:bookmarkStart w:id="207" w:name="_Toc85708764"/>
      <w:bookmarkStart w:id="208" w:name="_Toc85709778"/>
      <w:r w:rsidRPr="009672FC">
        <w:rPr>
          <w:rFonts w:ascii="Garamond" w:hAnsi="Garamond" w:cs="Times New Roman"/>
          <w:b/>
          <w:color w:val="auto"/>
        </w:rPr>
        <w:t>A</w:t>
      </w:r>
      <w:r w:rsidRPr="009672FC">
        <w:rPr>
          <w:rFonts w:ascii="Garamond" w:hAnsi="Garamond" w:cs="Times New Roman"/>
          <w:b/>
          <w:bCs/>
          <w:color w:val="auto"/>
        </w:rPr>
        <w:t>bstract</w:t>
      </w:r>
      <w:bookmarkEnd w:id="207"/>
      <w:bookmarkEnd w:id="208"/>
    </w:p>
    <w:p w14:paraId="09EF99AC" w14:textId="4C444310" w:rsidR="00890FB2" w:rsidRPr="009672FC" w:rsidRDefault="007549AA" w:rsidP="00813D37">
      <w:pPr>
        <w:spacing w:line="360" w:lineRule="auto"/>
        <w:jc w:val="both"/>
        <w:rPr>
          <w:rFonts w:ascii="Garamond" w:hAnsi="Garamond"/>
        </w:rPr>
      </w:pPr>
      <w:r w:rsidRPr="009672FC">
        <w:rPr>
          <w:rFonts w:ascii="Garamond" w:hAnsi="Garamond"/>
        </w:rPr>
        <w:t>How does interfirm cause-based alliance create collaboratives value that adequately addresses social challenges of society and maximizes the commercial interests of organizations? We explain this emerging phenomenon as part of the contributions of companies towards the unprecedented challenges pose by the novel coronavirus (COVID-19) pandemic from Italy by drawing from the collaborative value creation framework and linking it with social entrepreneurship (SE) literature.</w:t>
      </w:r>
      <w:r w:rsidR="00813D37" w:rsidRPr="009672FC">
        <w:rPr>
          <w:rFonts w:ascii="Garamond" w:hAnsi="Garamond"/>
        </w:rPr>
        <w:t xml:space="preserve"> </w:t>
      </w:r>
      <w:r w:rsidRPr="009672FC">
        <w:rPr>
          <w:rFonts w:ascii="Garamond" w:hAnsi="Garamond"/>
        </w:rPr>
        <w:t>A longitudinal case study of four Italian firms that engaged in a network for production and supplies of personal productive equipment, as part of the fight against the Coronavirus pandemic in Northern Italy, was examined. This form of social entrepreneurship extends the corporate social responsibilities of busines</w:t>
      </w:r>
      <w:r w:rsidR="00813D37" w:rsidRPr="009672FC">
        <w:rPr>
          <w:rFonts w:ascii="Garamond" w:hAnsi="Garamond"/>
        </w:rPr>
        <w:t>se</w:t>
      </w:r>
      <w:r w:rsidRPr="009672FC">
        <w:rPr>
          <w:rFonts w:ascii="Garamond" w:hAnsi="Garamond"/>
        </w:rPr>
        <w:t xml:space="preserve">s to address the social challenges of the COVID-19 pandemic. While prosocial motivation is </w:t>
      </w:r>
      <w:r w:rsidR="00813D37" w:rsidRPr="009672FC">
        <w:rPr>
          <w:rFonts w:ascii="Garamond" w:hAnsi="Garamond"/>
        </w:rPr>
        <w:t xml:space="preserve">the </w:t>
      </w:r>
      <w:r w:rsidRPr="009672FC">
        <w:rPr>
          <w:rFonts w:ascii="Garamond" w:hAnsi="Garamond"/>
        </w:rPr>
        <w:t>main driver of such alliance, the simultaneous pursuit of the commercial interest is however observed.</w:t>
      </w:r>
      <w:r w:rsidR="00813D37" w:rsidRPr="009672FC">
        <w:rPr>
          <w:rFonts w:ascii="Garamond" w:hAnsi="Garamond"/>
        </w:rPr>
        <w:t xml:space="preserve"> </w:t>
      </w:r>
      <w:r w:rsidRPr="009672FC">
        <w:rPr>
          <w:rFonts w:ascii="Garamond" w:hAnsi="Garamond"/>
        </w:rPr>
        <w:t>The finding of this study provides evidence that despite the different organizations, motives, and even diverse institutional logics, the collaborative value creation framework is a suitable theoretical lens to understand value generation in cause-based SE alliance</w:t>
      </w:r>
      <w:r w:rsidR="00813D37" w:rsidRPr="009672FC">
        <w:rPr>
          <w:rFonts w:ascii="Garamond" w:hAnsi="Garamond"/>
        </w:rPr>
        <w:t>s</w:t>
      </w:r>
      <w:r w:rsidRPr="009672FC">
        <w:rPr>
          <w:rFonts w:ascii="Garamond" w:hAnsi="Garamond"/>
        </w:rPr>
        <w:t xml:space="preserve">. The study found four critical aspects of collaborative value processes, that enable the </w:t>
      </w:r>
      <w:r w:rsidRPr="009672FC">
        <w:rPr>
          <w:rFonts w:ascii="Garamond" w:hAnsi="Garamond"/>
        </w:rPr>
        <w:lastRenderedPageBreak/>
        <w:t xml:space="preserve">alliance actors to leverage the cause-based SE alliance capabilities: value definition, co-value creation, value balance, and value renewal. Due to the idiosyncrasies associated with the alliance firms, our study showed several challenges confronting the alliance, such as finding the right cause-driven social alliance partner, different institutional logics, systems, and operational guidelines, stakeholder commitment to the cause, resource-cause alliance fit, and trust. Future research agendas have been suggested in the study. </w:t>
      </w:r>
    </w:p>
    <w:p w14:paraId="2D1FD179" w14:textId="39DB442E" w:rsidR="003D5DE8" w:rsidRPr="009672FC" w:rsidRDefault="007549AA" w:rsidP="00890FB2">
      <w:pPr>
        <w:spacing w:before="240" w:line="360" w:lineRule="auto"/>
        <w:jc w:val="both"/>
        <w:rPr>
          <w:rFonts w:ascii="Garamond" w:hAnsi="Garamond"/>
          <w:sz w:val="8"/>
          <w:szCs w:val="8"/>
        </w:rPr>
      </w:pPr>
      <w:r w:rsidRPr="009672FC">
        <w:rPr>
          <w:rFonts w:ascii="Garamond" w:hAnsi="Garamond"/>
          <w:b/>
          <w:bCs/>
        </w:rPr>
        <w:t>Keywords</w:t>
      </w:r>
      <w:r w:rsidRPr="009672FC">
        <w:rPr>
          <w:rFonts w:ascii="Garamond" w:hAnsi="Garamond"/>
        </w:rPr>
        <w:t>: Social problem, cause-related alliance, social entrepreneurship, coronavirus, COVID-19, collaborative value framework, SMEs, case study</w:t>
      </w:r>
      <w:r w:rsidR="00890FB2" w:rsidRPr="009672FC">
        <w:rPr>
          <w:rFonts w:ascii="Garamond" w:hAnsi="Garamond"/>
        </w:rPr>
        <w:t>.</w:t>
      </w:r>
    </w:p>
    <w:p w14:paraId="38B3EA4C" w14:textId="169451CE" w:rsidR="003D5DE8" w:rsidRPr="009672FC" w:rsidRDefault="007549AA" w:rsidP="00890FB2">
      <w:pPr>
        <w:pStyle w:val="Title"/>
        <w:numPr>
          <w:ilvl w:val="1"/>
          <w:numId w:val="12"/>
        </w:numPr>
        <w:spacing w:before="240" w:line="360" w:lineRule="auto"/>
        <w:jc w:val="both"/>
        <w:outlineLvl w:val="1"/>
        <w:rPr>
          <w:rFonts w:ascii="Garamond" w:hAnsi="Garamond" w:cs="Times New Roman"/>
          <w:b/>
          <w:bCs/>
          <w:sz w:val="24"/>
          <w:szCs w:val="24"/>
        </w:rPr>
      </w:pPr>
      <w:r w:rsidRPr="009672FC">
        <w:rPr>
          <w:rFonts w:ascii="Garamond" w:hAnsi="Garamond" w:cs="Times New Roman"/>
          <w:b/>
          <w:bCs/>
          <w:sz w:val="24"/>
          <w:szCs w:val="24"/>
        </w:rPr>
        <w:t xml:space="preserve"> </w:t>
      </w:r>
      <w:bookmarkStart w:id="209" w:name="_Toc85708765"/>
      <w:bookmarkStart w:id="210" w:name="_Toc85709779"/>
      <w:r w:rsidRPr="009672FC">
        <w:rPr>
          <w:rFonts w:ascii="Garamond" w:hAnsi="Garamond" w:cs="Times New Roman"/>
          <w:b/>
          <w:bCs/>
          <w:sz w:val="24"/>
          <w:szCs w:val="24"/>
        </w:rPr>
        <w:t>Introduction</w:t>
      </w:r>
      <w:bookmarkEnd w:id="209"/>
      <w:bookmarkEnd w:id="210"/>
    </w:p>
    <w:p w14:paraId="69302931" w14:textId="6D458C9C" w:rsidR="003D5DE8" w:rsidRPr="009672FC" w:rsidRDefault="007549AA">
      <w:pPr>
        <w:spacing w:line="360" w:lineRule="auto"/>
        <w:jc w:val="both"/>
        <w:rPr>
          <w:rFonts w:ascii="Garamond" w:hAnsi="Garamond"/>
          <w:color w:val="040404"/>
        </w:rPr>
      </w:pPr>
      <w:r w:rsidRPr="009672FC">
        <w:rPr>
          <w:rFonts w:ascii="Garamond" w:hAnsi="Garamond"/>
        </w:rPr>
        <w:t xml:space="preserve">The important role of social entrepreneurship (SE) in today’s socio-economic, environmental and cultural wealth development of society, has intensified research and practice of social entrepreneurship over the last few years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{"citationItems":[{"id":"ITEM-1","itemData":{"DOI":"10.1108/JSBED-08-2019-0285","ISSN":"14626004","abstract":"Purpose: Considering that many unanswered questions remain regarding the antecedents to entrepreneurial intentions, the purpose of this study is to develop insights from existing theories in entrepreneurship frameworks and apply these in the social entrepreneurship context. Consequently the study examines to what extant beliefs and cognitions shape social entrepreneurial intentions. Design/methodology/approach: Hypotheses were statistically tested using multiple regression analyses based on survey data (n = 156) from individuals in South Africa. Findings: Results support the hypotheses where entrepreneurial alertness significantly explained social entrepreneurial intentions, while self-efficacy showed a positive mediating effect in this relationship. Practical implications: Policymakers encouraging social entrepreneurship should not only focus on external support factors such as financial support but also deliberately develop interventions by focusing on beliefs and cognitions, which the study has identified as important predictors of social entrepreneurship intentions. Originality/value: By introducing previously unrelated individual-level factors to social entrepreneurship, closer empirical links are created between these factors in this study.","author":[{"dropping-particle":"","family":"Urban","given":"Boris","non-dropping-particle":"","parse-names":false,"suffix":""}],"container-title":"Journal of Small Business and Enterprise Development","id":"ITEM-1","issue":"3","issued":{"date-parts":[["2020"]]},"page":"489-507","title":"Entrepreneurial alertness, self-efficacy and social entrepreneurship intentions","type":"article-journal","volume":"27"},"uris":["http://www.mendeley.com/documents/?uuid=9704601f-e864-4dfa-a870-d8f7a2146bea"]}],"mendeley":{"formattedCitation":"(Urban, 2020)","manualFormatting":"(Urban, 2020;","plainTextFormattedCitation":"(Urban, 2020)","previouslyFormattedCitation":"(Urban,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(Urban, 2020;</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{"citationItems":[{"id":"ITEM-1","itemData":{"DOI":"10.1016/j.jbusres.2019.02.031","ISSN":"01482963","abstract":"The literature on the motivation for social entrepreneurship focuses mainly on prosocial attitude. Very little research has been undertaken to understand the innovation and profit elements of social entrepreneurship. This study performs a conjoint experiment to reveal the importance of these three elements as motivators for social entrepreneurship, and then employs fuzzy-set qualitative comparative analysis (fsQCA) to identify configurations of motives, self-efficacies, and personal conditions that culminate in social entrepreneurial intention (SEI). Our results reveal asymmetric relationships between SEI and prosocial attitude, innovation attitude, and entrepreneurial self-efficacy, while profit motivation may be either high or low for SEI.","author":[{"dropping-particle":"","family":"Douglas","given":"Evan","non-dropping-particle":"","parse-names":false,"suffix":""},{"dropping-particle":"","family":"Prentice","given":"Catherine","non-dropping-particle":"","parse-names":false,"suffix":""}],"container-title":"Journal of Business Research","id":"ITEM-1","issue":"November 2018","issued":{"date-parts":[["2019"]]},"page":"69-79","title":"Innovation and profit motivations for social entrepreneurship: A fuzzy-set analysis","type":"article-journal","volume":"99"},"uris":["http://www.mendeley.com/documents/?uuid=c0cfbc6e-6e2a-475c-b9a2-ad88c72e6f9c"]}],"mendeley":{"formattedCitation":"(Douglas &amp; Prentice, 2019)","manualFormatting":"Douglas &amp; Prentice, 2019;","plainTextFormattedCitation":"(Douglas &amp; Prentice, 2019)","previouslyFormattedCitation":"(Douglas &amp; Prentice,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Douglas &amp; Prentice, 2019;</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{"citationItems":[{"id":"ITEM-1","itemData":{"DOI":"10.1108/14626001311326761","ISBN":"1462600131","ISSN":"14626004","abstract":"Purpose: The purpose of this paper is to incorporate the demand and supply-side theories of entrepreneurship development in a series of stage-based models that analyze how macro-level and contextual variables influence social entrepreneurship activity. The paper investigates the macro-level influences, including the socio-political, cultural and economic factors that can stimulate or impede the emergence of social entrepreneurship. Although little research on these determinants has been conducted, this study seeks to reveal that several variables that are crucial in traditional entrepreneurial studies do not appear to significantly affect social entrepreneurship. Design/methodology/approach: To measure social entrepreneurial activity, the authors used the Global Entrepreneurship Monitor (GEM) findings from the 2009 study. Hierarchical multiple regression was used to test three multi-level stages of the socio-political, economic, and cultural determinants of social entrepreneurship activity. The series of three stages for all of the variables were entered in the following order: first, socio-political variables; second, cultural variables; third, economic variables. This approach allows the authors to explore and thus extend the previous research reviewed here, on how the economic context beyond socio-political and cultural factors affects social enterprise activity. Findings: A three-stage analysis revealed that socio-political variables accounted for 76 percent of the variance in social entrepreneurial activity. It was found that the single greatest determinant of social entrepreneurial activity is the degree of female participation in the labor force. Additional findings and implications for understanding the role of macro-level factors on social entrepreneurship are discussed. Originality/value: Social entrepreneurship has the potential to confront and address some of society's most challenging and complex problems arising from market and government inadequacies or failures. Social entrepreneurial firms exist within environments that are often severely resource-constrained. Therefore, social entrepreneurs may rely on a unique set of strategies to mobilize resources available to them, such as collaboration with others and accessing social capital to generate value solutions for their communities. The growth of women's participation in the labor force is a powerful influence on social entrepreneurship activity, and with the increase in training program…","author":[{"dropping-particle":"","family":"Griffiths","given":"Mark D.","non-dropping-particle":"","parse-names":false,"suffix":""},{"dropping-particle":"","family":"Gundry","given":"Lisa K.","non-dropping-particle":"","parse-names":false,"suffix":""},{"dropping-particle":"","family":"Kickul","given":"Jill R.","non-dropping-particle":"","parse-names":false,"suffix":""}],"container-title":"Journal of Small Business and Enterprise Development","id":"ITEM-1","issue":"2","issued":{"date-parts":[["2013"]]},"page":"341-357","title":"The socio-political, economic, and cultural determinants of social entrepreneurship activity: An empirical examination","type":"article-journal","volume":"20"},"uris":["http://www.mendeley.com/documents/?uuid=acd3a98d-996c-47de-8397-b3ae983d4250"]}],"mendeley":{"formattedCitation":"(Griffiths, Gundry, &amp; Kickul, 2013)","manualFormatting":"Griffiths et al., 2013;","plainTextFormattedCitation":"(Griffiths, Gundry, &amp; Kickul, 2013)","previouslyFormattedCitation":"(Griffiths et al.,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Griffiths et al., 2013;</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{"citationItems":[{"id":"ITEM-1","itemData":{"DOI":"10.1057/9780230625655","ISBN":"9780230625655","abstract":"Social Entrepreneurship is a global phenomenon that impacts the lives of citizens by using innovative approaches to solving social problems. This book offers a comprehensive examination of this growing area of research and provides an excellent introduction to social entrepreneurship theory and a framework for future research.","author":[{"dropping-particle":"","family":"Mair","given":"Johanna","non-dropping-particle":"","parse-names":false,"suffix":""},{"dropping-particle":"","family":"Robinson","given":"Jeffrey","non-dropping-particle":"","parse-names":false,"suffix":""},{"dropping-particle":"","family":"Hockerts","given":"Kai","non-dropping-particle":"","parse-names":false,"suffix":""}],"container-title":"Social Entrepreneurship","id":"ITEM-1","issued":{"date-parts":[["2006"]]},"number-of-pages":"1-280","title":"Social entrepreneurship","type":"book"},"uris":["http://www.mendeley.com/documents/?uuid=596ee179-b6ac-4ce9-8614-49e958086b60"]}],"mendeley":{"formattedCitation":"(Mair, Robinson, &amp; Hockerts, 2006)","manualFormatting":"Mair, Robinson and Hockerts, 2006, p. 22-33;","plainTextFormattedCitation":"(Mair, Robinson, &amp; Hockerts, 2006)","previouslyFormattedCitation":"(Mair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Mair, Robinson and Hockerts, 2006, p. 22-33;</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{"citationItems":[{"id":"ITEM-1","itemData":{"DOI":"10.1108/14626000710773529","ISSN":"14626004","abstract":"Purpose - The purpose of this paper is to address the emerging practice of social entrepreneurship by exploring the historical and theoretical antecedents of social enterprise and its contemporary practice. By exploring key theoretical concepts, the paper draws comparisons between \"for-profit\" and social entrepreneurs. The paper seeks to discuss the contemporary practice of social entrepreneurship. Discussion of the theory of entrepreneurship and contemporary practice of social entrepreneurs seeks to create a more nuanced view of social entrepreneurship and develop greater theoretical insights into this phenomenon and its recent expansion. Design/methodology/approach - A phenomenological research approach was adopted, and 80 in-depth interviews with social entrepreneurs from across the UK identified as the most appropriate data collection tool. Data analysis sought to identify and understand similarities between the more understood and studied behaviour of \"profit-seeking\" entrepreneurs and those of an emerging group of social entrepreneurs. Findings - In-depth interviews revealed five key themes within which the practice of social entrepreneurship could be compared and contrasted with for-profit entrepreneurship. These included: the entrepreneurial process, in particular, opportunity recognition; network embeddedness; the nature of financial risk and profit; the role of individual versus collective action in managing and structuring enterprises; and creativity and innovation. Practical implications - Findings suggest that while the contemporary practices of social enterprises share many similarities with their for-profit counterparts, significant differences can be found when comparing these practices with extant entrepreneurship research. Originality/value - The paper addresses an emerging phenomenon within the practice and theory of entrepreneurship and offers insight into similarities and differences between entrepreneurship in the profit and not-for-profit sectors.","author":[{"dropping-particle":"","family":"Shaw","given":"Eleanor","non-dropping-particle":"","parse-names":false,"suffix":""},{"dropping-particle":"","family":"Carter","given":"Sara","non-dropping-particle":"","parse-names":false,"suffix":""}],"container-title":"Journal of Small Business and Enterprise Development","id":"ITEM-1","issue":"3","issued":{"date-parts":[["2007"]]},"page":"418-434","title":"Social entrepreneurship: Theoretical antecedents and empirical analysis of entrepreneurial processes and outcomes","type":"article-journal","volume":"14"},"uris":["http://www.mendeley.com/documents/?uuid=cfbef2d7-129f-4b1e-b1c4-69f1907829ac"]}],"mendeley":{"formattedCitation":"(Shaw &amp; Carter, 2007)","manualFormatting":"Shaw and Carter, 2007)","plainTextFormattedCitation":"(Shaw &amp; Carter, 2007)","previouslyFormattedCitation":"(Shaw &amp; Carter, 2007)"},"properties":{"noteIndex":0},"schema":"https://github.com/citation-style-language/schema/raw/master/csl-citation.json"}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Shaw and Carter, 2007)</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{"citationItems":[{"id":"ITEM-1","itemData":{"DOI":"10.1007/s10726-018-9564-z","ISSN":"15729907","abstract":"Social entrepreneurship develops innovative opportunities and solutions aimed to (re)generate the common good. This emerging organizational form poses unprecedented challenges to group decision and negotiation studies. This article leverages conceptual tools from the literature on the commons and institutional logics as it explores the organizational conditions of social entrepreneurship that trigger commons-enabling decision-making in its organizational field. Through an inductive analysis of a longitudinal case, this study proposes a model that highlights the critical role of the bridging organization that can be introduced by the social entrepreneur in a previously fragmented organizational field. This bridging organization is in the condition to develop an innovative co-creation logic that can serve as a common ground to enable collaboration between actors from diverse and even conflicting institutional logics. The proposed model suggests that a practice-driven path to the construction of such a common ground for decision-making is more effective than a disclosure-driven path, which is based on classical conflict analysis techniques. The ICT-enabled activity system developed by the social entrepreneur injects transparency and traceability into a previously opaque field, thus creating the conditions for distributed, flexible, and complementary sense- and decision-making processes that develop and protect the commons.","author":[{"dropping-particle":"","family":"Rossignoli","given":"Cecilia","non-dropping-particle":"","parse-names":false,"suffix":""},{"dropping-particle":"","family":"Ricciardi","given":"Francesca","non-dropping-particle":"","parse-names":false,"suffix":""},{"dropping-particle":"","family":"Bonomi","given":"Sabrina","non-dropping-particle":"","parse-names":false,"suffix":""}],"container-title":"Group Decision and Negotiation","id":"ITEM-1","issue":"3","issued":{"date-parts":[["2018"]]},"page":"417-443","publisher":"Springer Netherlands","title":"Organizing for Commons-Enabling Decision-Making Under Conflicting Institutional Logics in Social Entrepreneurship","type":"article-journal","volume":"27"},"uris":["http://www.mendeley.com/documents/?uuid=afb25fb7-41ca-49b7-806f-983634eca053"]}],"mendeley":{"formattedCitation":"(Rossignoli, Ricciardi, &amp; Bonomi, 2018)","manualFormatting":"Rossignoli, Ricciardi and Bonomi (2018)","plainTextFormattedCitation":"(Rossignoli, Ricciardi, &amp; Bonomi, 2018)","previouslyFormattedCitation":"(Rossignoli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Ricciardi and Bonomi (2018)</w:t>
      </w:r>
      <w:r w:rsidRPr="009672FC">
        <w:rPr>
          <w:rFonts w:ascii="Garamond" w:hAnsi="Garamond"/>
        </w:rPr>
        <w:fldChar w:fldCharType="end"/>
      </w:r>
      <w:r w:rsidRPr="009672FC">
        <w:rPr>
          <w:rFonts w:ascii="Garamond" w:hAnsi="Garamond"/>
        </w:rPr>
        <w:t xml:space="preserve"> describe SE as a bridging organization that develops an innovative co-creation logic as a common ground for addressing societal problems where markets, governments, and traditional philanthropic initiatives tend to fail. Studies argue that the primary motives of corporations engaging in social entrepreneurship are two-fold: the economic profit and innovation motives of which the drive for maximiz</w:t>
      </w:r>
      <w:r w:rsidR="00813D37" w:rsidRPr="009672FC">
        <w:rPr>
          <w:rFonts w:ascii="Garamond" w:hAnsi="Garamond"/>
        </w:rPr>
        <w:t>ing</w:t>
      </w:r>
      <w:r w:rsidRPr="009672FC">
        <w:rPr>
          <w:rFonts w:ascii="Garamond" w:hAnsi="Garamond"/>
        </w:rPr>
        <w:t xml:space="preserve"> commercial gains is the primary purpose of SE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{"citationItems":[{"id":"ITEM-1","itemData":{"DOI":"10.1016/j.jbusres.2019.02.031","ISSN":"01482963","abstract":"The literature on the motivation for social entrepreneurship focuses mainly on prosocial attitude. Very little research has been undertaken to understand the innovation and profit elements of social entrepreneurship. This study performs a conjoint experiment to reveal the importance of these three elements as motivators for social entrepreneurship, and then employs fuzzy-set qualitative comparative analysis (fsQCA) to identify configurations of motives, self-efficacies, and personal conditions that culminate in social entrepreneurial intention (SEI). Our results reveal asymmetric relationships between SEI and prosocial attitude, innovation attitude, and entrepreneurial self-efficacy, while profit motivation may be either high or low for SEI.","author":[{"dropping-particle":"","family":"Douglas","given":"Evan","non-dropping-particle":"","parse-names":false,"suffix":""},{"dropping-particle":"","family":"Prentice","given":"Catherine","non-dropping-particle":"","parse-names":false,"suffix":""}],"container-title":"Journal of Business Research","id":"ITEM-1","issue":"November 2018","issued":{"date-parts":[["2019"]]},"page":"69-79","title":"Innovation and profit motivations for social entrepreneurship: A fuzzy-set analysis","type":"article-journal","volume":"99"},"uris":["http://www.mendeley.com/documents/?uuid=c0cfbc6e-6e2a-475c-b9a2-ad88c72e6f9c"]}],"mendeley":{"formattedCitation":"(Douglas &amp; Prentice, 2019)","manualFormatting":"(","plainTextFormattedCitation":"(Douglas &amp; Prentice, 2019)","previouslyFormattedCitation":"(Douglas &amp; Prentice,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rPr>
        <w:fldChar w:fldCharType="end"/>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Carter, &amp; Lundy, 2009)","manualFormatting":"Faminow, Carter and Lundy, 2009;","plainTextFormattedCitation":"(Faminow, Carter, &amp; Lundy,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Faminow, Carter and Lundy, 2009;</w:t>
      </w:r>
      <w:r w:rsidRPr="009672FC">
        <w:rPr>
          <w:rFonts w:ascii="Garamond" w:hAnsi="Garamond"/>
        </w:rPr>
        <w:fldChar w:fldCharType="end"/>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{"citationItems":[{"id":"ITEM-1","itemData":{"DOI":"10.1016/j.jwb.2005.09.001","ISSN":"10909516","abstract":"Social entrepreneurship is an emerging area of investigation within the entrepreneurship and not-for-profit marketing literatures. A review of the literature emerging from a number of domains reveals that it is fragmented and that there is no coherent theoretical framework. In particular, current conceptualizations of social entrepreneurship fail to adequately consider the unique characteristics of social entrepreneurs and the context within which they must operate. Using grounded theory method and drawing on nine in-depth case studies of social entrepreneurial not-for-profit organizations, this paper addresses this research gap and develops a bounded multidimensional model of social entrepreneurship. Implications for social entrepreneurship theory, management practice, and policy directions are discussed. Crown Copyright © 2005 Published by Elsevier Inc. All rights reserved.","author":[{"dropping-particle":"","family":"Weerawardena","given":"Jay","non-dropping-particle":"","parse-names":false,"suffix":""},{"dropping-particle":"","family":"Sullivan Mort","given":"Gillian","non-dropping-particle":"","parse-names":false,"suffix":""}],"container-title":"Journal of World Business","id":"ITEM-1","issue":"1","issued":{"date-parts":[["2006"]]},"page":"21-35","title":"Investigating social entrepreneurship: A multidimensional model","type":"article-journal","volume":"41"},"uris":["http://www.mendeley.com/documents/?uuid=b0742fc3-21a4-416c-a847-529b74f754b2"]}],"mendeley":{"formattedCitation":"(Weerawardena &amp; Sullivan Mort, 2006)","manualFormatting":" Weerawardena and Sullivan Mort, 2006)","plainTextFormattedCitation":"(Weerawardena &amp; Sullivan Mort, 2006)","previouslyFormattedCitation":"(Weerawardena &amp; Sullivan Mort,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Weerawardena and Sullivan Mort, 2006)</w:t>
      </w:r>
      <w:r w:rsidRPr="009672FC">
        <w:rPr>
          <w:rFonts w:ascii="Garamond" w:hAnsi="Garamond"/>
        </w:rPr>
        <w:fldChar w:fldCharType="end"/>
      </w:r>
      <w:r w:rsidRPr="009672FC">
        <w:rPr>
          <w:rFonts w:ascii="Garamond" w:hAnsi="Garamond"/>
        </w:rPr>
        <w:t xml:space="preserve">. Prosocial motivation according to social entrepreneurship literature is primarily driven by </w:t>
      </w:r>
      <w:r w:rsidR="00813D37" w:rsidRPr="009672FC">
        <w:rPr>
          <w:rFonts w:ascii="Garamond" w:hAnsi="Garamond"/>
        </w:rPr>
        <w:t xml:space="preserve">a </w:t>
      </w:r>
      <w:r w:rsidRPr="009672FC">
        <w:rPr>
          <w:rFonts w:ascii="Garamond" w:hAnsi="Garamond"/>
        </w:rPr>
        <w:t xml:space="preserve">firm’s desire to </w:t>
      </w:r>
      <w:r w:rsidRPr="009672FC">
        <w:rPr>
          <w:rFonts w:ascii="Tahoma" w:hAnsi="Tahoma" w:cs="Tahoma"/>
        </w:rPr>
        <w:t>﻿</w:t>
      </w:r>
      <w:r w:rsidRPr="009672FC">
        <w:rPr>
          <w:rFonts w:ascii="Garamond" w:hAnsi="Garamond"/>
        </w:rPr>
        <w:t xml:space="preserve">address specific social-purpose causes that pose challenges to society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{"citationItems":[{"id":"ITEM-1","itemData":{"DOI":"10.1016/j.jbusres.2019.02.031","ISSN":"01482963","abstract":"The literature on the motivation for social entrepreneurship focuses mainly on prosocial attitude. Very little research has been undertaken to understand the innovation and profit elements of social entrepreneurship. This study performs a conjoint experiment to reveal the importance of these three elements as motivators for social entrepreneurship, and then employs fuzzy-set qualitative comparative analysis (fsQCA) to identify configurations of motives, self-efficacies, and personal conditions that culminate in social entrepreneurial intention (SEI). Our results reveal asymmetric relationships between SEI and prosocial attitude, innovation attitude, and entrepreneurial self-efficacy, while profit motivation may be either high or low for SEI.","author":[{"dropping-particle":"","family":"Douglas","given":"Evan","non-dropping-particle":"","parse-names":false,"suffix":""},{"dropping-particle":"","family":"Prentice","given":"Catherine","non-dropping-particle":"","parse-names":false,"suffix":""}],"container-title":"Journal of Business Research","id":"ITEM-1","issue":"November 2018","issued":{"date-parts":[["2019"]]},"page":"69-79","title":"Innovation and profit motivations for social entrepreneurship: A fuzzy-set analysis","type":"article-journal","volume":"99"},"uris":["http://www.mendeley.com/documents/?uuid=c0cfbc6e-6e2a-475c-b9a2-ad88c72e6f9c"]}],"mendeley":{"formattedCitation":"(Douglas &amp; Prentice, 2019)","manualFormatting":"(Urban, 2020; Douglas &amp; Prentice, 2019; Mair et al., 2006)","plainTextFormattedCitation":"(Douglas &amp; Prentice, 2019)","previouslyFormattedCitation":"(Douglas &amp; Prentice, 2019)"},"properties":{"noteIndex":0},"schema":"https://github.com/citation-style-language/schema/raw/master/csl-citation.json"}</w:instrText>
      </w:r>
      <w:r w:rsidRPr="009672FC">
        <w:rPr>
          <w:rFonts w:ascii="Garamond" w:hAnsi="Garamond"/>
        </w:rPr>
        <w:fldChar w:fldCharType="separate"/>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{"citationItems":[{"id":"ITEM-1","itemData":{"DOI":"10.1108/JSBED-08-2019-0285","ISSN":"14626004","abstract":"Purpose: Considering that many unanswered questions remain regarding the antecedents to entrepreneurial intentions, the purpose of this study is to develop insights from existing theories in entrepreneurship frameworks and apply these in the social entrepreneurship context. Consequently the study examines to what extant beliefs and cognitions shape social entrepreneurial intentions. Design/methodology/approach: Hypotheses were statistically tested using multiple regression analyses based on survey data (n = 156) from individuals in South Africa. Findings: Results support the hypotheses where entrepreneurial alertness significantly explained social entrepreneurial intentions, while self-efficacy showed a positive mediating effect in this relationship. Practical implications: Policymakers encouraging social entrepreneurship should not only focus on external support factors such as financial support but also deliberately develop interventions by focusing on beliefs and cognitions, which the study has identified as important predictors of social entrepreneurship intentions. Originality/value: By introducing previously unrelated individual-level factors to social entrepreneurship, closer empirical links are created between these factors in this study.","author":[{"dropping-particle":"","family":"Urban","given":"Boris","non-dropping-particle":"","parse-names":false,"suffix":""}],"container-title":"Journal of Small Business and Enterprise Development","id":"ITEM-1","issue":"3","issued":{"date-parts":[["2020"]]},"page":"489-507","title":"Entrepreneurial alertness, self-efficacy and social entrepreneurship intentions","type":"article-journal","volume":"27"},"uris":["http://www.mendeley.com/documents/?uuid=9704601f-e864-4dfa-a870-d8f7a2146bea"]}],"mendeley":{"formattedCitation":"(Urban, 2020)","manualFormatting":"(Urban, 2020;","plainTextFormattedCitation":"(Urban, 2020)","previouslyFormattedCitation":"(Urban, 2020)"},"properties":{"noteIndex":0},"schema":"https://github.com/citation-style-language/schema/raw/master/csl-citation.json"}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(Urban, 2020;</w:t>
      </w:r>
      <w:r w:rsidRPr="009672FC">
        <w:rPr>
          <w:rFonts w:ascii="Garamond" w:hAnsi="Garamond"/>
          <w:noProof/>
        </w:rPr>
        <w:fldChar w:fldCharType="end"/>
      </w:r>
      <w:r w:rsidRPr="009672FC">
        <w:rPr>
          <w:rFonts w:ascii="Garamond" w:hAnsi="Garamond"/>
          <w:noProof/>
        </w:rPr>
        <w:t xml:space="preserve"> Douglas &amp; Prentice, 2019; </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{"citationItems":[{"id":"ITEM-1","itemData":{"DOI":"10.1057/9780230625655","ISBN":"9780230625655","abstract":"Social Entrepreneurship is a global phenomenon that impacts the lives of citizens by using innovative approaches to solving social problems. This book offers a comprehensive examination of this growing area of research and provides an excellent introduction to social entrepreneurship theory and a framework for future research.","author":[{"dropping-particle":"","family":"Mair","given":"Johanna","non-dropping-particle":"","parse-names":false,"suffix":""},{"dropping-particle":"","family":"Robinson","given":"Jeffrey","non-dropping-particle":"","parse-names":false,"suffix":""},{"dropping-particle":"","family":"Hockerts","given":"Kai","non-dropping-particle":"","parse-names":false,"suffix":""}],"container-title":"Social Entrepreneurship","id":"ITEM-1","issued":{"date-parts":[["2006"]]},"number-of-pages":"1-280","title":"Social entrepreneurship","type":"book"},"uris":["http://www.mendeley.com/documents/?uuid=596ee179-b6ac-4ce9-8614-49e958086b60"]}],"mendeley":{"formattedCitation":"(Mair et al., 2006)","manualFormatting":"Mair et al., 2006)","plainTextFormattedCitation":"(Mair et al., 2006)","previouslyFormattedCitation":"(Mair et al., 2006)"},"properties":{"noteIndex":0},"schema":"https://github.com/citation-style-language/schema/raw/master/csl-citation.json"}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Mair et al., 2006)</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In fact, in a recent study,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{"citationItems":[{"id":"ITEM-1","itemData":{"author":[{"dropping-particle":"","family":"Hossain","given":"Sayem","non-dropping-particle":"","parse-names":false,"suffix":""}],"id":"ITEM-1","issued":{"date-parts":[["2019"]]},"number-of-pages":"283","title":"An exploratory study on the contextual factors influencing social entrepreneurial opportunity an emerging economy’s perspective","type":"thesis"},"uris":["http://www.mendeley.com/documents/?uuid=f444b050-8c4e-4e5c-a04a-478aa2d61ef4"]}],"mendeley":{"formattedCitation":"(Hossain, 2019)","manualFormatting":"Hossain (2019)","plainTextFormattedCitation":"(Hossain, 2019)","previouslyFormattedCitation":"(Hossain,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Hossain (2019)</w:t>
      </w:r>
      <w:r w:rsidRPr="009672FC">
        <w:rPr>
          <w:rFonts w:ascii="Garamond" w:hAnsi="Garamond"/>
        </w:rPr>
        <w:fldChar w:fldCharType="end"/>
      </w:r>
      <w:r w:rsidRPr="009672FC">
        <w:rPr>
          <w:rFonts w:ascii="Garamond" w:hAnsi="Garamond"/>
        </w:rPr>
        <w:t xml:space="preserve"> demonstrates critical aspects that characterize social entrepreneurship: s</w:t>
      </w:r>
      <w:r w:rsidRPr="009672FC">
        <w:rPr>
          <w:rFonts w:ascii="Garamond" w:hAnsi="Garamond"/>
          <w:color w:val="040404"/>
        </w:rPr>
        <w:t xml:space="preserve">ocial mission over </w:t>
      </w:r>
      <w:r w:rsidR="00813D37" w:rsidRPr="009672FC">
        <w:rPr>
          <w:rFonts w:ascii="Garamond" w:hAnsi="Garamond"/>
          <w:color w:val="040404"/>
        </w:rPr>
        <w:t xml:space="preserve">the </w:t>
      </w:r>
      <w:r w:rsidRPr="009672FC">
        <w:rPr>
          <w:rFonts w:ascii="Garamond" w:hAnsi="Garamond"/>
          <w:color w:val="040404"/>
        </w:rPr>
        <w:t>financial mission, innovative solution to social problems, self-sustaining social business model, and social impact which could be measured. In fact, r</w:t>
      </w:r>
      <w:r w:rsidRPr="009672FC">
        <w:rPr>
          <w:rFonts w:ascii="Garamond" w:hAnsi="Garamond"/>
        </w:rPr>
        <w:t xml:space="preserve">ecent research shows a global surge in cause-based social entrepreneurial spending by corporations from $55.3 billion in 2014 to $62.7 billion in 2017, up by more than 4% annually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{"citationItems":[{"id":"ITEM-1","itemData":{"DOI":"10.3390/su10114219","ISBN":"8202820693","ISSN":"20711050","abstract":"Donation size is known to be one of the factors that determines the success of cause-related marketing (CRM), which is the most practical form of corporate social responsibility (CSR). Although various studies have investigated the influence of donation size on CRM, they have not shown clear results. In addition, no research has examined the mechanism of how consumers process donation-size information. In this study, we examined the effect of donation size on consumer responses, focusing on the differences in perceived benefits and perceived monetary sacrifice according to the construal level. Furthermore, we investigated the role of emoticons as a way to increase the intention to participate in CRM by lowering the consumers' perceptions of monetary sacrifice. Study 1 showed that for consumers with a higher construal level who perceive donation size as benefits, donation size had positive effects on consumer responses, whereas for those with a lower construal level who perceive donation size as monetary sacrifice, it had negative effects on their responses. Study 2 showed that emoticons attenuated the interaction effect of donation size and construal level. Finally, the implications of this study are discussed.","author":[{"dropping-particle":"","family":"Yoo","given":"Dongho","non-dropping-particle":"","parse-names":false,"suffix":""},{"dropping-particle":"","family":"Kim","given":"Jung Ae","non-dropping-particle":"","parse-names":false,"suffix":""},{"dropping-particle":"","family":"Doh","given":"Sun Jae","non-dropping-particle":"","parse-names":false,"suffix":""}],"container-title":"Sustainability (Switzerland)","id":"ITEM-1","issue":"11","issued":{"date-parts":[["2018"]]},"title":"The dual processing of donation size in cause-related marketing (CRM): The moderating roles of construal level and emoticons","type":"article-journal","volume":"10"},"uris":["http://www.mendeley.com/documents/?uuid=340c5e15-cb2b-467f-831e-5b0614381a3c"]}],"mendeley":{"formattedCitation":"(Yoo, Kim, &amp; Doh, 2018)","manualFormatting":"(Yoo et al., 2018, p. 1)","plainTextFormattedCitation":"(Yoo, Kim, &amp; Doh, 2018)","previouslyFormattedCitation":"(Yoo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(Yoo et al., 2018, p. 1)</w:t>
      </w:r>
      <w:r w:rsidRPr="009672FC">
        <w:rPr>
          <w:rFonts w:ascii="Garamond" w:hAnsi="Garamond"/>
        </w:rPr>
        <w:fldChar w:fldCharType="end"/>
      </w:r>
      <w:r w:rsidRPr="009672FC">
        <w:rPr>
          <w:rFonts w:ascii="Garamond" w:hAnsi="Garamond"/>
        </w:rPr>
        <w:t xml:space="preserve">. Such spending includes several areas of corporate sustainability efforts such humane entrepreneurship development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{"citationItems":[{"id":"ITEM-1","itemData":{"DOI":"10.1111/jsbm.12432","ISSN":"1540627X","abstract":"This paper proposes a new theory called Humane Entrepreneurship (HumEnt) and identifies areas for future development of knowledge. The new theory integrates in the Entrepreneurial Strategic Posture (ESP) three different concepts: Entrepreneurial Orientation, Sustainable Orientation, and Humane Resource Orientation. From this perspective, HumEnt theory can be considered an extension of previous research but with a new model for consideration. The components of the HumEnt theory and their relationships are outlined in an initial panel of propositions. HumEnt theory can help address the challenges present in creating a more sustainable world. Finally, a research agenda and questions are presented for future consideration.","author":[{"dropping-particle":"","family":"Parente","given":"Roberto","non-dropping-particle":"","parse-names":false,"suffix":""},{"dropping-particle":"","family":"ElTarabishy","given":"Ayman","non-dropping-particle":"","parse-names":false,"suffix":""},{"dropping-particle":"","family":"Vesci","given":"Massimiliano","non-dropping-particle":"","parse-names":false,"suffix":""},{"dropping-particle":"","family":"Botti","given":"Antonio","non-dropping-particle":"","parse-names":false,"suffix":""}],"container-title":"Journal of Small Business Management","id":"ITEM-1","issued":{"date-parts":[["2018"]]},"page":"30-52","title":"The Epistemology of Humane Entrepreneurship: Theory and Proposal for Future Research Agenda","type":"article-journal","volume":"56"},"uris":["http://www.mendeley.com/documents/?uuid=5a2f5e66-74db-41e2-83db-e66f4713eb91"]}],"mendeley":{"formattedCitation":"(Parente, ElTarabishy, Vesci, &amp; Botti, 2018)","plainTextFormattedCitation":"(Parente, ElTarabishy, Vesci, &amp; Botti, 2018)","previouslyFormattedCitation":"(Parente et al., 2018)"},"properties":{"noteIndex":0},"schema":"https://github.com/citation-style-language/schema/raw/master/csl-citation.json"}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(Parente, ElTarabishy, Vesci, &amp; Botti, 2018)</w:t>
      </w:r>
      <w:r w:rsidRPr="009672FC">
        <w:rPr>
          <w:rFonts w:ascii="Garamond" w:hAnsi="Garamond"/>
        </w:rPr>
        <w:fldChar w:fldCharType="end"/>
      </w:r>
      <w:r w:rsidRPr="009672FC">
        <w:rPr>
          <w:rFonts w:ascii="Garamond" w:hAnsi="Garamond"/>
        </w:rPr>
        <w:t>, corporate philanthropy/donation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{"citationItems":[{"id":"ITEM-1","itemData":{"DOI":"10.4468/2003.1.02brondoni","ISSN":"1593-0319","author":[{"dropping-particle":"","family":"Brondoni","given":"Silvio M.","non-dropping-particle":"","parse-names":false,"suffix":""}],"container-title":"Symphonya. Emerging Issues in Management","id":"ITEM-1","issue":"1","issued":{"date-parts":[["2003"]]},"page":"8-24","title":"Network Culture, Performance and Corporate Responsibility","type":"article-journal"},"uris":["http://www.mendeley.com/documents/?uuid=2ab3cd85-3cee-4b6d-9647-187928055303"]}],"mendeley":{"formattedCitation":"(Brondoni, 2003)","manualFormatting":"Brondoni, 2003","plainTextFormattedCitation":"(Brondoni, 2003)","previouslyFormattedCitation":"(Brondoni,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Brondoni, 2003</w:t>
      </w:r>
      <w:r w:rsidRPr="009672FC">
        <w:rPr>
          <w:rFonts w:ascii="Garamond" w:hAnsi="Garamond"/>
        </w:rPr>
        <w:fldChar w:fldCharType="end"/>
      </w:r>
      <w:r w:rsidRPr="009672FC">
        <w:rPr>
          <w:rFonts w:ascii="Garamond" w:hAnsi="Garamond"/>
        </w:rPr>
        <w:t xml:space="preserve">), cause-related marketing, and cause-based branding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{"citationItems":[{"id":"ITEM-1","itemData":{"DOI":"10.1002/mar","ISBN":"0148-2963","ISSN":"01482963","PMID":"28443810","abstract":"While humans have a long history of anthropomorphizing animals and the use of animal imagery in themarketplace and popular culture is commonplace, the phenomenon has received little attention. This research investigates the role of how consumers respond to anthropomorphic portrayals of animal mascots that differ on their baseline physical resemblance to humans. In order to test this assertion, an experimental study was conducted with 62 undergraduate participants from a large state university in the Northeastern United States. Results from the study indicate that evaluations of anthropomorphic portrayals of animals with a lower baseline physical similarity to humans are less favorable than nonanthropomorphic portrayals. In contrast, evaluations of anthropomorphic portrayals of animals with a higher baseline physical similarity are more favorable than nonanthropomorphic portrayals.","author":[{"dropping-particle":"","family":"Lafferty","given":"Barbara A.","non-dropping-particle":"","parse-names":false,"suffix":""}],"container-title":"Psychology &amp; Marketing","id":"ITEM-1","issue":"4","issued":{"date-parts":[["2009"]]},"page":"359–382","title":"Selecting the Right Cause Partners for the Right Reasons: The Role of Importance and Fit in Cause–Brand Alliances","type":"article-journal","volume":"26"},"uris":["http://www.mendeley.com/documents/?uuid=809bd282-a618-480a-804d-2692c2732689"]}],"mendeley":{"formattedCitation":"(Lafferty, 2009)","plainTextFormattedCitation":"(Lafferty, 2009)","previouslyFormattedCitation":"(Lafferty,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2009)</w:t>
      </w:r>
      <w:r w:rsidRPr="009672FC">
        <w:rPr>
          <w:rFonts w:ascii="Garamond" w:hAnsi="Garamond"/>
        </w:rPr>
        <w:fldChar w:fldCharType="end"/>
      </w:r>
      <w:r w:rsidRPr="009672FC">
        <w:rPr>
          <w:rFonts w:ascii="Garamond" w:hAnsi="Garamond"/>
        </w:rPr>
        <w:t xml:space="preserve">, etc. </w:t>
      </w:r>
    </w:p>
    <w:p w14:paraId="77A936DB" w14:textId="4C18A542" w:rsidR="003D5DE8" w:rsidRPr="009672FC" w:rsidRDefault="007549AA" w:rsidP="00890FB2">
      <w:pPr>
        <w:spacing w:before="240" w:line="360" w:lineRule="auto"/>
        <w:jc w:val="both"/>
        <w:rPr>
          <w:rFonts w:ascii="Garamond" w:hAnsi="Garamond"/>
        </w:rPr>
      </w:pPr>
      <w:r w:rsidRPr="009672FC">
        <w:rPr>
          <w:rFonts w:ascii="Garamond" w:hAnsi="Garamond"/>
        </w:rPr>
        <w:lastRenderedPageBreak/>
        <w:t xml:space="preserve">Although we found a paucity of research on cause-based social entrepreneurship alliance during the literature review, however, there is a plethora of research on other forms of the cause-based social alliance such as those involving a cross-sector alliance between business and non-profits and/or government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and Seitanidi, 2012a,</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2012b;</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 Berger et al., 2004)","plainTextFormattedCitation":"(J.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Austin, 2000; </w:t>
      </w:r>
      <w:r w:rsidRPr="009672FC">
        <w:rPr>
          <w:rFonts w:ascii="Garamond" w:hAnsi="Garamond" w:cstheme="minorBidi"/>
          <w:noProof/>
          <w:sz w:val="22"/>
          <w:szCs w:val="22"/>
        </w:rPr>
        <w:fldChar w:fldCharType="begin" w:fldLock="1"/>
      </w:r>
      <w:r w:rsidR="00813D37" w:rsidRPr="009672FC">
        <w:rPr>
          <w:rFonts w:ascii="Garamond" w:hAnsi="Garamond"/>
          <w:noProof/>
        </w:rPr>
        <w:instrText>ADDIN CSL_CITATION {"citationItems":[{"id":"ITEM-1","itemData":{"author":[{"dropping-particle":"","family":"Berger","given":"Ida E","non-dropping-particle":"","parse-names":false,"suffix":""},{"dropping-particle":"","family":"Cunningham","given":"Peggy H","non-dropping-particle":"","parse-names":false,"suffix":""},{"dropping-particle":"","family":"Drumwright","given":"Minette E","non-dropping-particle":"","parse-names":false,"suffix":""},{"dropping-particle":"","family":"Berger","given":"Ida E","non-dropping-particle":"","parse-names":false,"suffix":""},{"dropping-particle":"","family":"Cunningham","given":"Peggy H","non-dropping-particle":"","parse-names":false,"suffix":""}],"container-title":"CALIFORNIA MANAGEMENT REVIEW","id":"ITEM-1","issue":"1","issued":{"date-parts":[["2004"]]},"title":"Social Alliances: Company/Nonprofit Collaboration","type":"article-journal","volume":"47"},"uris":["http://www.mendeley.com/documents/?uuid=82201975-b754-41d7-807b-3df52cfeebce"]}],"mendeley":{"formattedCitation":"(Berger, Cunningham, Drumwright, Berger, &amp; Cunningham, 2004)","manualFormatting":"Berger et al., 2004)","plainTextFormattedCitation":"(Berger, Cunningham, Drumwright, Berger, &amp; Cunningham, 2004)","previouslyFormattedCitation":"(Berger et al., 2004)"},"properties":{"noteIndex":0},"schema":"https://github.com/citation-style-language/schema/raw/master/csl-citation.json"}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Berger </w:t>
      </w:r>
      <w:r w:rsidRPr="009672FC">
        <w:rPr>
          <w:rFonts w:ascii="Garamond" w:hAnsi="Garamond"/>
          <w:i/>
          <w:noProof/>
        </w:rPr>
        <w:t>et al.</w:t>
      </w:r>
      <w:r w:rsidRPr="009672FC">
        <w:rPr>
          <w:rFonts w:ascii="Garamond" w:hAnsi="Garamond"/>
          <w:noProof/>
        </w:rPr>
        <w:t>, 2004)</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and cause-related marketing (such as cause-branding, cause-based advertising)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{"citationItems":[{"id":"ITEM-1","itemData":{"DOI":"10.1016/j.jbusres.2003.07.001","ISSN":"01482963","abstract":"Partnering charitable causes with brands has become a common practice for many marketing programs referred to strategically as cause-related marketing. While there is the perception that both partners benefit from the alliance, research has focused primarily on the benefits to the brand. This experiment (n=463) evaluates changes in attitude for both the cause and the brand as a consequence of the cause-brand alliance (CBA) using familiarity of the cause as a moderator. The results show that allying a cause with a familiar brand improves attitude toward the cause when the cause is unfamiliar but has less impact on a familiar cause. The effect of the alliance on brand attitudes is positive regardless of the degree of cause familiarity. These results suggest that managers of unfamiliar causes rather than familiar causes may have a greater vested interest in forming a CBA, and brand managers are beneficiaries of the partnership either way. © 2003 Elsevier Inc. All rights reserved.","author":[{"dropping-particle":"","family":"Lafferty","given":"Barbara A.","non-dropping-particle":"","parse-names":false,"suffix":""},{"dropping-particle":"","family":"Goldsmith","given":"Ronald E.","non-dropping-particle":"","parse-names":false,"suffix":""}],"container-title":"Journal of Business Research","id":"ITEM-1","issue":"4","issued":{"date-parts":[["2005"]]},"page":"423-429","title":"Cause-brand alliances: Does the cause help the brand or does the brand help the cause?","type":"article-journal","volume":"58"},"uris":["http://www.mendeley.com/documents/?uuid=5a2653e6-44a6-484a-b8c6-3371f7e014bf"]}],"mendeley":{"formattedCitation":"(Lafferty &amp; Goldsmith, 2005)","manualFormatting":"(Lafferty and Goldsmith, 2005;","plainTextFormattedCitation":"(Lafferty &amp; Goldsmith, 2005)","previouslyFormattedCitation":"(Lafferty &amp; Goldsmith, 2005)"},"properties":{"noteIndex":0},"schema":"https://github.com/citation-style-language/schema/raw/master/csl-citation.json"}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and Goldsmith, 2005;</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{"citationItems":[{"id":"ITEM-1","itemData":{"DOI":"10.5897/AJBM10.089","ISSN":"1993-8233","abstract":"The use of CRM as a marketing platform, which can not only increase\\nfinancial gains, but also enhance the company's image of bearing social\\nresponsibility, and hence its reputation, is studied. The purpose of\\nthis study is to mainly investigate the effects of pre-image\\n(pre-reputation) of the corporation (cause) and alliance fit to the\\ncause on the alliance, as well as on the new image (post-reputation)\\nthat are formed toward both partners as a consequence of the alliance.\\nIn addition, this study also employs consumer social responsibility and\\ngender as moderators to further explore the changes of these postulated\\ncausal paths in the conceptual model. The empirical results show that\\n(1) attitudes toward the cause-corporate brand alliance (CCBA) will\\npositively influence the post-image of the corporation, post-reputation\\nof the cause, and service quality of the corporation; (2) pre-reputation\\nof the cause and alliance fit will have significant and positive effects\\non attitudes toward the CCBA; (3) gender plays a vital moderating role\\nin the CRM campaign. The managerial implications for marketing managers\\nand limitations are discussed.","author":[{"dropping-particle":"","family":"Tsao","given":"Wen-chin","non-dropping-particle":"","parse-names":false,"suffix":""},{"dropping-particle":"","family":"Chen","given":"Yu-hua","non-dropping-particle":"","parse-names":false,"suffix":""}],"container-title":"African Journal of Business Management","id":"ITEM-1","issue":"2","issued":{"date-parts":[["2011"]]},"page":"316-331","title":"A study of the impact and application of cause-corporate brand alliance on Taiwans tourist amusement industry","type":"article-journal","volume":"5"},"uris":["http://www.mendeley.com/documents/?uuid=c850fc5c-e5af-4606-95a2-aad2529f7a66"]}],"mendeley":{"formattedCitation":"(Tsao &amp; Chen, 2011)","manualFormatting":"Tsao and Chen, 2011)","plainTextFormattedCitation":"(Tsao &amp; Chen, 2011)","previouslyFormattedCitation":"(Tsao &amp; Chen,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Tsao and Chen, 2011)</w:t>
      </w:r>
      <w:r w:rsidRPr="009672FC">
        <w:rPr>
          <w:rFonts w:ascii="Garamond" w:hAnsi="Garamond"/>
        </w:rPr>
        <w:fldChar w:fldCharType="end"/>
      </w:r>
      <w:r w:rsidRPr="009672FC">
        <w:rPr>
          <w:rFonts w:ascii="Garamond" w:hAnsi="Garamond"/>
        </w:rPr>
        <w:t xml:space="preserve">. We tried to address this gap in the literature by focusing on </w:t>
      </w:r>
      <w:r w:rsidR="00813D37" w:rsidRPr="009672FC">
        <w:rPr>
          <w:rFonts w:ascii="Garamond" w:hAnsi="Garamond"/>
        </w:rPr>
        <w:t xml:space="preserve">the </w:t>
      </w:r>
      <w:r w:rsidRPr="009672FC">
        <w:rPr>
          <w:rFonts w:ascii="Garamond" w:hAnsi="Garamond"/>
        </w:rPr>
        <w:t xml:space="preserve">cause-based alliance of firms seeking to address the specific challenges of the unfolding COVID-19 pandemic for both business and society. Unlike other pandemics in the past, </w:t>
      </w:r>
      <w:r w:rsidR="00813D37" w:rsidRPr="009672FC">
        <w:rPr>
          <w:rFonts w:ascii="Garamond" w:hAnsi="Garamond"/>
        </w:rPr>
        <w:t xml:space="preserve">the </w:t>
      </w:r>
      <w:r w:rsidRPr="009672FC">
        <w:rPr>
          <w:rFonts w:ascii="Garamond" w:hAnsi="Garamond"/>
        </w:rPr>
        <w:t xml:space="preserve">COVID-19 pandemic cause several challenges to society, including businesses, such as the general lockdown measures in many countries around the world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{"citationItems":[{"id":"ITEM-1","itemData":{"DOI":"10.1016/j.jiph.2020.02.033","ISSN":"1876035X","PMID":"32199792","abstract":"The outbreak of Coronavirus Disease 2019 (COVID-19) causing novel coronavirus-infected pneumonia (NCIP), has affected the lives of 71,429 people globally. Originating in China, the disease has a rapid progression to other countries. Research suggests remarkable genomic resemblance of 2019-nCoV with Severe Acute Respiratory Syndrome (SARS) which has a history of a pandemic in 2002. With evidence of nosocomial spread, a number of diligent measures are being employed to constrain its propagation. Hence, the Public Health Emergency of International Concern (PHEIC) has been established by the World Health Organization (WHO) with strategic objectives for public health to curtail its impact on global health and economy.","author":[{"dropping-particle":"","family":"Arshad Ali","given":"Shajeea","non-dropping-particle":"","parse-names":false,"suffix":""},{"dropping-particle":"","family":"Baloch","given":"Mariam","non-dropping-particle":"","parse-names":false,"suffix":""},{"dropping-particle":"","family":"Ahmed","given":"Naseem","non-dropping-particle":"","parse-names":false,"suffix":""},{"dropping-particle":"","family":"Arshad Ali","given":"Asadullah","non-dropping-particle":"","parse-names":false,"suffix":""},{"dropping-particle":"","family":"Iqbal","given":"Ayman","non-dropping-particle":"","parse-names":false,"suffix":""}],"container-title":"Journal of Infection and Public Health","id":"ITEM-1","issue":"4","issued":{"date-parts":[["2020"]]},"page":"644-646","publisher":"King Saud Bin Abdulaziz University for Health Sciences","title":"The outbreak of Coronavirus Disease 2019 (COVID-19)—An emerging global health threat","type":"article-journal","volume":"13"},"uris":["http://www.mendeley.com/documents/?uuid=17a45bd6-d79e-47cc-89ac-cd151196ca56"]}],"mendeley":{"formattedCitation":"(Arshad Ali, Baloch, Ahmed, Arshad Ali, &amp; Iqbal, 2020)","plainTextFormattedCitation":"(Arshad Ali, Baloch, Ahmed, Arshad Ali, &amp; Iqbal, 2020)","previouslyFormattedCitation":"(Arshad Ali et al., 2020)"},"properties":{"noteIndex":0},"schema":"https://github.com/citation-style-language/schema/raw/master/csl-citation.json"}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(Arshad Ali, Baloch, Ahmed, Arshad Ali, &amp; Iqbal, 2020)</w:t>
      </w:r>
      <w:r w:rsidRPr="009672FC">
        <w:rPr>
          <w:rFonts w:ascii="Garamond" w:hAnsi="Garamond"/>
        </w:rPr>
        <w:fldChar w:fldCharType="end"/>
      </w:r>
      <w:r w:rsidRPr="009672FC">
        <w:rPr>
          <w:rFonts w:ascii="Garamond" w:hAnsi="Garamond"/>
        </w:rPr>
        <w:t xml:space="preserve">, the practice of physical “social distancing”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{"citationItems":[{"id":"ITEM-1","itemData":{"DOI":"10.1016/j.ijsu.2020.04.018","ISSN":"17439159","PMID":"32305533","abstract":"The COVID-19 pandemic has resulted in over 4.3 million confirmed cases and over 290,000 deaths globally. It has also sparked fears of an impending economic crisis and recession. Social distancing, self-isolation and travel restrictions have lead to a reduced workforce across all economic sectors and caused many jobs to be lost. Schools have closed down, and the need for commodities and manufactured products has decreased. In contrast, the need for medical supplies has significantly increased. The food sector is also facing increased demand due to panic-buying and stockpiling of food products. In response to this global outbreak, we summarise the socio-economic effects of COVID-19 on individual aspects of the world economy.","author":[{"dropping-particle":"","family":"Nicola","given":"Maria","non-dropping-particle":"","parse-names":false,"suffix":""},{"dropping-particle":"","family":"Alsafi","given":"Zaid","non-dropping-particle":"","parse-names":false,"suffix":""},{"dropping-particle":"","family":"Sohrabi","given":"Catrin","non-dropping-particle":"","parse-names":false,"suffix":""},{"dropping-particle":"","family":"Kerwan","given":"Ahmed","non-dropping-particle":"","parse-names":false,"suffix":""},{"dropping-particle":"","family":"Al-Jabir","given":"Ahmed","non-dropping-particle":"","parse-names":false,"suffix":""},{"dropping-particle":"","family":"Iosifidis","given":"Christos","non-dropping-particle":"","parse-names":false,"suffix":""},{"dropping-particle":"","family":"Agha","given":"Maliha","non-dropping-particle":"","parse-names":false,"suffix":""},{"dropping-particle":"","family":"Agha","given":"Riaz","non-dropping-particle":"","parse-names":false,"suffix":""}],"container-title":"International Journal of Surgery","id":"ITEM-1","issue":"April","issued":{"date-parts":[["2020"]]},"page":"185-193","publisher":"Elsevier","title":"The socio-economic implications of the coronavirus pandemic (COVID-19): A review","type":"article-journal","volume":"78"},"uris":["http://www.mendeley.com/documents/?uuid=2ad4681a-b3ca-495d-a369-ebe80d77cfcb"]}],"mendeley":{"formattedCitation":"(Nicola et al., 2020)","plainTextFormattedCitation":"(Nicola et al., 2020)","previouslyFormattedCitation":"(Nicola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(Nicola et al., 2020)</w:t>
      </w:r>
      <w:r w:rsidRPr="009672FC">
        <w:rPr>
          <w:rFonts w:ascii="Garamond" w:hAnsi="Garamond"/>
        </w:rPr>
        <w:fldChar w:fldCharType="end"/>
      </w:r>
      <w:r w:rsidRPr="009672FC">
        <w:rPr>
          <w:rFonts w:ascii="Garamond" w:hAnsi="Garamond"/>
        </w:rPr>
        <w:t>, and the mandatory use of face masks in public places are some of the measures enforce</w:t>
      </w:r>
      <w:r w:rsidR="00813D37" w:rsidRPr="009672FC">
        <w:rPr>
          <w:rFonts w:ascii="Garamond" w:hAnsi="Garamond"/>
        </w:rPr>
        <w:t>d</w:t>
      </w:r>
      <w:r w:rsidRPr="009672FC">
        <w:rPr>
          <w:rFonts w:ascii="Garamond" w:hAnsi="Garamond"/>
        </w:rPr>
        <w:t xml:space="preserve"> to control the increasing surge of the COVID-19 health crisis. For businesses, the temporal closure of non-essential businesses – resulting in massive layoff of employees, organizations adopting immediate downsizing of employees to observe physical social distancing and control the spread of the virus at </w:t>
      </w:r>
      <w:r w:rsidR="00813D37" w:rsidRPr="009672FC">
        <w:rPr>
          <w:rFonts w:ascii="Garamond" w:hAnsi="Garamond"/>
        </w:rPr>
        <w:t xml:space="preserve">the </w:t>
      </w:r>
      <w:r w:rsidRPr="009672FC">
        <w:rPr>
          <w:rFonts w:ascii="Garamond" w:hAnsi="Garamond"/>
        </w:rPr>
        <w:t xml:space="preserve">workplace, are common measures for containment </w:t>
      </w:r>
      <w:r w:rsidRPr="009672FC">
        <w:rPr>
          <w:rFonts w:ascii="Tahoma" w:hAnsi="Tahoma" w:cs="Tahoma"/>
        </w:rPr>
        <w:t>﻿</w:t>
      </w:r>
      <w:r w:rsidRPr="009672FC">
        <w:rPr>
          <w:rFonts w:ascii="Garamond" w:hAnsi="Garamond"/>
        </w:rPr>
        <w:t xml:space="preserve">prevalent in today’s pandemic-filled business environment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{"citationItems":[{"id":"ITEM-1","itemData":{"DOI":"10.1080/26437015.2020.1779538","ISSN":"2643-7015","abstract":"The upheaval caused by the spread of COVID-19 is having a devastating effect on small businesses. A review of the data on COVID-19’s impact on micro-, small, and medium-sized enterprises suggests t...","author":[{"dropping-particle":"","family":"Liguori","given":"Eric W.","non-dropping-particle":"","parse-names":false,"suffix":""},{"dropping-particle":"","family":"Pittz","given":"Thomas G.","non-dropping-particle":"","parse-names":false,"suffix":""}],"container-title":"Journal of the International Council for Small Business","id":"ITEM-1","issue":"2","issued":{"date-parts":[["2020"]]},"page":"106-110","title":"Strategies for small business: Surviving and thriving in the era of COVID-19","type":"article-journal","volume":"1"},"uris":["http://www.mendeley.com/documents/?uuid=273d8c32-ec40-4e72-9f97-cbcd0cac5f38"]}],"mendeley":{"formattedCitation":"(Liguori &amp; Pittz, 2020)","plainTextFormattedCitation":"(Liguori &amp; Pittz, 2020)","previouslyFormattedCitation":"(Liguori &amp; Pittz,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(Liguori &amp; Pittz, 2020)</w:t>
      </w:r>
      <w:r w:rsidRPr="009672FC">
        <w:rPr>
          <w:rFonts w:ascii="Garamond" w:hAnsi="Garamond"/>
        </w:rPr>
        <w:fldChar w:fldCharType="end"/>
      </w:r>
      <w:r w:rsidRPr="009672FC">
        <w:rPr>
          <w:rFonts w:ascii="Garamond" w:hAnsi="Garamond"/>
        </w:rPr>
        <w:t xml:space="preserve">. The interruption caused by the health crisis, results in unprecedented disruption in global supply chains, thus leading to a massive shortage of essential medical equipment to fight the virus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{"citationItems":[{"id":"ITEM-1","itemData":{"DOI":"DOI: 10.1056/NEJMp2009027","abstract":"Version 1.5 This briefing note summarizes key mental health and psychosocial support (MHPSS) considerations in relation to the 2019 novel coronavirus (COVID-19) outbreak. The brief was last updated February 2020","author":[{"dropping-particle":"","family":"Ranney","given":"Megan L","non-dropping-particle":"","parse-names":false,"suffix":""},{"dropping-particle":"","family":"Griffeth","given":"Valerie","non-dropping-particle":"","parse-names":false,"suffix":""},{"dropping-particle":"","family":"Jha","given":"Ashish K","non-dropping-particle":"","parse-names":false,"suffix":""}],"container-title":"New England Journal of Medicine","id":"ITEM-1","issue":"1","issued":{"date-parts":[["2020"]]},"page":"1-2","title":"Critical Supply Shortages — The Need for Ventilators and Personal Protective Equipment during the Covid-19 Pandemic","type":"article-journal","volume":"41"},"uris":["http://www.mendeley.com/documents/?uuid=58f8a791-d38f-4593-94a3-3551fb254e7b"]}],"mendeley":{"formattedCitation":"(Ranney, Griffeth, &amp; Jha, 2020)","manualFormatting":"(Ranney, Griffeth and Jha, 2020;","plainTextFormattedCitation":"(Ranney, Griffeth, &amp; Jha, 2020)","previouslyFormattedCitation":"(Ranney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(Ranney, Griffeth and Jha, 2020;</w:t>
      </w:r>
      <w:r w:rsidRPr="009672FC">
        <w:rPr>
          <w:rFonts w:ascii="Garamond" w:hAnsi="Garamond"/>
        </w:rPr>
        <w:fldChar w:fldCharType="end"/>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10.1002/bjs.11627","ISBN":"0000000000","ISSN":"13652168","PMID":"32191340","author":[{"dropping-particle":"","family":"Spinelli","given":"A.","non-dropping-particle":"","parse-names":false,"suffix":""},{"dropping-particle":"","family":"Pellino","given":"G.","non-dropping-particle":"","parse-names":false,"suffix":""}],"container-title":"British Journal of Surgery","id":"ITEM-1","issue":"7","issued":{"date-parts":[["2020"]]},"page":"785-787","title":"COVID-19 pandemic: perspectives on an unfolding crisis","type":"article-journal","volume":"107"},"uris":["http://www.mendeley.com/documents/?uuid=31f29531-dcec-45ad-9060-82272768a30c"]}],"mendeley":{"formattedCitation":"(Spinelli &amp; Pellino, 2020)","manualFormatting":" Spinelli and Pellino, 2020)","plainTextFormattedCitation":"(Spinelli &amp; Pellino, 2020)","previouslyFormattedCitation":"(Spinelli &amp; Pellino,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Spinelli and Pellino, 2020)</w:t>
      </w:r>
      <w:r w:rsidRPr="009672FC">
        <w:rPr>
          <w:rFonts w:ascii="Garamond" w:hAnsi="Garamond"/>
        </w:rPr>
        <w:fldChar w:fldCharType="end"/>
      </w:r>
      <w:r w:rsidRPr="009672FC">
        <w:rPr>
          <w:rFonts w:ascii="Garamond" w:hAnsi="Garamond"/>
        </w:rPr>
        <w:t xml:space="preserve">, with some hospitals overwhelmed by COVID-19 patients and increasing death surge in several countries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{"citationItems":[{"id":"ITEM-1","itemData":{"DOI":"10.1001/jama.2020.2633","ISBN":"1263002001591","author":[{"dropping-particle":"","family":"WHO","given":"","non-dropping-particle":"","parse-names":false,"suffix":""}],"container-title":"World Health Organization (WHO)","id":"ITEM-1","issue":"July","issued":{"date-parts":[["2020"]]},"number-of-pages":"1-17","title":"Coronavirus disease (COVID-19) Situation Report – 176","type":"report","volume":"2019"},"uris":["http://www.mendeley.com/documents/?uuid=bde2484c-a51a-4e6b-8100-0e78e680a70d"]}],"mendeley":{"formattedCitation":"(WHO, 2020a)","plainTextFormattedCitation":"(WHO, 2020a)","previouslyFormattedCitation":"(WHO, 2020a)"},"properties":{"noteIndex":0},"schema":"https://github.com/citation-style-language/schema/raw/master/csl-citation.json"}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 2020a)</w:t>
      </w:r>
      <w:r w:rsidRPr="009672FC">
        <w:rPr>
          <w:rFonts w:ascii="Garamond" w:hAnsi="Garamond"/>
        </w:rPr>
        <w:fldChar w:fldCharType="end"/>
      </w:r>
      <w:r w:rsidRPr="009672FC">
        <w:rPr>
          <w:rFonts w:ascii="Garamond" w:hAnsi="Garamond"/>
        </w:rPr>
        <w:t>.</w:t>
      </w:r>
    </w:p>
    <w:p w14:paraId="31AA6BA4" w14:textId="3E6ECF26" w:rsidR="003D5DE8" w:rsidRPr="009672FC" w:rsidRDefault="007549AA" w:rsidP="00890FB2">
      <w:pPr>
        <w:spacing w:before="240" w:line="360" w:lineRule="auto"/>
        <w:jc w:val="both"/>
        <w:rPr>
          <w:rFonts w:ascii="Garamond" w:hAnsi="Garamond"/>
        </w:rPr>
      </w:pPr>
      <w:r w:rsidRPr="009672FC">
        <w:rPr>
          <w:rFonts w:ascii="Garamond" w:hAnsi="Garamond"/>
        </w:rPr>
        <w:t xml:space="preserve">These unfolding challenges caused by the COVID-19 crisis have greater magnitude and complexity that transcend individual firms and sectors to handle effectively. Consequently, several forms of alliance emerge rapidly across the world, involving business organizations, private individuals, non-profit and governments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10.2139/ssrn.3616444","author":[{"dropping-particle":"","family":"Cojoianu","given":"Theodor","non-dropping-particle":"","parse-names":false,"suffix":""},{"dropping-particle":"","family":"Haney","given":"Aoife","non-dropping-particle":"","parse-names":false,"suffix":""},{"dropping-particle":"","family":"Meiring","given":"Alet","non-dropping-particle":"","parse-names":false,"suffix":""}],"container-title":"SSRN Electronic Journal","id":"ITEM-1","issue":"20","issued":{"date-parts":[["2020"]]},"title":"Strategic Alliances as Treatment for COVID-19 and Beyond","type":"article-journal"},"uris":["http://www.mendeley.com/documents/?uuid=c690615e-5ddc-47b8-a74f-20d8816e4289"]}],"mendeley":{"formattedCitation":"(Cojoianu, Haney, &amp; Meiring, 2020)","manualFormatting":"(Cojoianu et al., 2020; Nicola et al., 2020)","plainTextFormattedCitation":"(Cojoianu, Haney, &amp; Meiring, 2020)","previouslyFormattedCitation":"(Cojoianu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(Cojoianu et al., 2020; </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{"citationItems":[{"id":"ITEM-1","itemData":{"DOI":"10.1016/j.ijsu.2020.04.018","ISSN":"17439159","PMID":"32305533","abstract":"The COVID-19 pandemic has resulted in over 4.3 million confirmed cases and over 290,000 deaths globally. It has also sparked fears of an impending economic crisis and recession. Social distancing, self-isolation and travel restrictions have lead to a reduced workforce across all economic sectors and caused many jobs to be lost. Schools have closed down, and the need for commodities and manufactured products has decreased. In contrast, the need for medical supplies has significantly increased. The food sector is also facing increased demand due to panic-buying and stockpiling of food products. In response to this global outbreak, we summarise the socio-economic effects of COVID-19 on individual aspects of the world economy.","author":[{"dropping-particle":"","family":"Nicola","given":"Maria","non-dropping-particle":"","parse-names":false,"suffix":""},{"dropping-particle":"","family":"Alsafi","given":"Zaid","non-dropping-particle":"","parse-names":false,"suffix":""},{"dropping-particle":"","family":"Sohrabi","given":"Catrin","non-dropping-particle":"","parse-names":false,"suffix":""},{"dropping-particle":"","family":"Kerwan","given":"Ahmed","non-dropping-particle":"","parse-names":false,"suffix":""},{"dropping-particle":"","family":"Al-Jabir","given":"Ahmed","non-dropping-particle":"","parse-names":false,"suffix":""},{"dropping-particle":"","family":"Iosifidis","given":"Christos","non-dropping-particle":"","parse-names":false,"suffix":""},{"dropping-particle":"","family":"Agha","given":"Maliha","non-dropping-particle":"","parse-names":false,"suffix":""},{"dropping-particle":"","family":"Agha","given":"Riaz","non-dropping-particle":"","parse-names":false,"suffix":""}],"container-title":"International Journal of Surgery","id":"ITEM-1","issue":"April","issued":{"date-parts":[["2020"]]},"page":"185-193","publisher":"Elsevier","title":"The socio-economic implications of the coronavirus pandemic (COVID-19): A review","type":"article-journal","volume":"78"},"uris":["http://www.mendeley.com/documents/?uuid=2ad4681a-b3ca-495d-a369-ebe80d77cfcb"]}],"mendeley":{"formattedCitation":"(Nicola et al., 2020)","manualFormatting":"Nicola et al., 2020)","plainTextFormattedCitation":"(Nicola et al., 2020)","previouslyFormattedCitation":"(Nicola et al., 2020)"},"properties":{"noteIndex":0},"schema":"https://github.com/citation-style-language/schema/raw/master/csl-citation.json"}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Nicola et al., 2020)</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from alliances that focus on research and vaccines development to those seeking to tackle shortages of personal protective equipment for frontline health care workers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{"citationItems":[{"id":"ITEM-1","itemData":{"DOI":"DOI: 10.1056/NEJMp2009027","abstract":"Version 1.5 This briefing note summarizes key mental health and psychosocial support (MHPSS) considerations in relation to the 2019 novel coronavirus (COVID-19) outbreak. The brief was last updated February 2020","author":[{"dropping-particle":"","family":"Ranney","given":"Megan L","non-dropping-particle":"","parse-names":false,"suffix":""},{"dropping-particle":"","family":"Griffeth","given":"Valerie","non-dropping-particle":"","parse-names":false,"suffix":""},{"dropping-particle":"","family":"Jha","given":"Ashish K","non-dropping-particle":"","parse-names":false,"suffix":""}],"container-title":"New England Journal of Medicine","id":"ITEM-1","issue":"1","issued":{"date-parts":[["2020"]]},"page":"1-2","title":"Critical Supply Shortages — The Need for Ventilators and Personal Protective Equipment during the Covid-19 Pandemic","type":"article-journal","volume":"41"},"uris":["http://www.mendeley.com/documents/?uuid=58f8a791-d38f-4593-94a3-3551fb254e7b"]}],"mendeley":{"formattedCitation":"(Ranney et al., 2020)","plainTextFormattedCitation":"(Ranney et al., 2020)","previouslyFormattedCitation":"(Ranney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(Ranney et al., 2020)</w:t>
      </w:r>
      <w:r w:rsidRPr="009672FC">
        <w:rPr>
          <w:rFonts w:ascii="Garamond" w:hAnsi="Garamond"/>
        </w:rPr>
        <w:fldChar w:fldCharType="end"/>
      </w:r>
      <w:r w:rsidRPr="009672FC">
        <w:rPr>
          <w:rFonts w:ascii="Garamond" w:hAnsi="Garamond"/>
        </w:rPr>
        <w:t xml:space="preserve">. For instance, the collaboration between Lowe’s and DuPont including Merrow Manufacturing, </w:t>
      </w:r>
      <w:proofErr w:type="spellStart"/>
      <w:r w:rsidRPr="009672FC">
        <w:rPr>
          <w:rFonts w:ascii="Garamond" w:hAnsi="Garamond"/>
        </w:rPr>
        <w:t>Thermaxx</w:t>
      </w:r>
      <w:proofErr w:type="spellEnd"/>
      <w:r w:rsidRPr="009672FC">
        <w:rPr>
          <w:rFonts w:ascii="Garamond" w:hAnsi="Garamond"/>
        </w:rPr>
        <w:t xml:space="preserve">, and </w:t>
      </w:r>
      <w:r w:rsidRPr="009672FC">
        <w:rPr>
          <w:rFonts w:ascii="Garamond" w:hAnsi="Garamond"/>
        </w:rPr>
        <w:lastRenderedPageBreak/>
        <w:t>studio Displays to support the production and supplies of PPEs</w:t>
      </w:r>
      <w:r w:rsidRPr="009672FC">
        <w:rPr>
          <w:rFonts w:ascii="Garamond" w:hAnsi="Garamond"/>
          <w:vertAlign w:val="superscript"/>
        </w:rPr>
        <w:footnoteReference w:id="8"/>
      </w:r>
      <w:r w:rsidRPr="009672FC">
        <w:rPr>
          <w:rFonts w:ascii="Garamond" w:hAnsi="Garamond"/>
        </w:rPr>
        <w:t xml:space="preserve">. In Germany, a partnership between Northern Data AG and </w:t>
      </w:r>
      <w:proofErr w:type="spellStart"/>
      <w:r w:rsidRPr="009672FC">
        <w:rPr>
          <w:rFonts w:ascii="Garamond" w:hAnsi="Garamond"/>
        </w:rPr>
        <w:t>Innoplexus</w:t>
      </w:r>
      <w:proofErr w:type="spellEnd"/>
      <w:r w:rsidRPr="009672FC">
        <w:rPr>
          <w:rFonts w:ascii="Garamond" w:hAnsi="Garamond"/>
        </w:rPr>
        <w:t xml:space="preserve"> AG emerged in April 2020 focuse</w:t>
      </w:r>
      <w:r w:rsidR="00813D37" w:rsidRPr="009672FC">
        <w:rPr>
          <w:rFonts w:ascii="Garamond" w:hAnsi="Garamond"/>
        </w:rPr>
        <w:t>d</w:t>
      </w:r>
      <w:r w:rsidRPr="009672FC">
        <w:rPr>
          <w:rFonts w:ascii="Garamond" w:hAnsi="Garamond"/>
        </w:rPr>
        <w:t xml:space="preserve"> on using “high-performance computing to perform epidemiological simulations”, with the ultimate goal of accelerating COVID-19 drug discovery and development </w:t>
      </w:r>
      <w:r w:rsidRPr="009672FC">
        <w:rPr>
          <w:rFonts w:ascii="Garamond" w:hAnsi="Garamond" w:cstheme="minorBidi"/>
          <w:sz w:val="22"/>
          <w:szCs w:val="22"/>
          <w:lang w:val="en-GB"/>
        </w:rPr>
        <w:fldChar w:fldCharType="begin" w:fldLock="1"/>
      </w:r>
      <w:r w:rsidRPr="009672FC">
        <w:rPr>
          <w:rFonts w:ascii="Garamond" w:hAnsi="Garamond"/>
        </w:rPr>
        <w:instrText>ADDIN CSL_CITATION {"citationItems":[{"id":"ITEM-1","itemData":{"DOI":"10.2139/ssrn.3616444","author":[{"dropping-particle":"","family":"Cojoianu","given":"Theodor","non-dropping-particle":"","parse-names":false,"suffix":""},{"dropping-particle":"","family":"Haney","given":"Aoife","non-dropping-particle":"","parse-names":false,"suffix":""},{"dropping-particle":"","family":"Meiring","given":"Alet","non-dropping-particle":"","parse-names":false,"suffix":""}],"container-title":"SSRN Electronic Journal","id":"ITEM-1","issue":"20","issued":{"date-parts":[["2020"]]},"title":"Strategic Alliances as Treatment for COVID-19 and Beyond","type":"article-journal"},"uris":["http://www.mendeley.com/documents/?uuid=c690615e-5ddc-47b8-a74f-20d8816e4289"]}],"mendeley":{"formattedCitation":"(Cojoianu et al., 2020)","manualFormatting":"(Cojoianu et al., 2020, p. 9)","plainTextFormattedCitation":"(Cojoianu et al., 2020)","previouslyFormattedCitation":"(Cojoianu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(Cojoianu et al., 2020, p. 9)</w:t>
      </w:r>
      <w:r w:rsidRPr="009672FC">
        <w:rPr>
          <w:rFonts w:ascii="Garamond" w:hAnsi="Garamond"/>
        </w:rPr>
        <w:fldChar w:fldCharType="end"/>
      </w:r>
      <w:r w:rsidRPr="009672FC">
        <w:rPr>
          <w:rFonts w:ascii="Garamond" w:hAnsi="Garamond"/>
        </w:rPr>
        <w:t xml:space="preserve">, in Israel, </w:t>
      </w:r>
      <w:r w:rsidRPr="009672FC">
        <w:rPr>
          <w:rFonts w:ascii="Tahoma" w:hAnsi="Tahoma" w:cs="Tahoma"/>
        </w:rPr>
        <w:t>﻿</w:t>
      </w:r>
      <w:r w:rsidRPr="009672FC">
        <w:rPr>
          <w:rFonts w:ascii="Garamond" w:hAnsi="Garamond"/>
        </w:rPr>
        <w:t xml:space="preserve">Johnson &amp; Johnson and a local health </w:t>
      </w:r>
      <w:proofErr w:type="spellStart"/>
      <w:r w:rsidRPr="009672FC">
        <w:rPr>
          <w:rFonts w:ascii="Garamond" w:hAnsi="Garamond"/>
        </w:rPr>
        <w:t>cent</w:t>
      </w:r>
      <w:r w:rsidR="00813D37" w:rsidRPr="009672FC">
        <w:rPr>
          <w:rFonts w:ascii="Garamond" w:hAnsi="Garamond"/>
        </w:rPr>
        <w:t>re</w:t>
      </w:r>
      <w:proofErr w:type="spellEnd"/>
      <w:r w:rsidRPr="009672FC">
        <w:rPr>
          <w:rFonts w:ascii="Garamond" w:hAnsi="Garamond"/>
        </w:rPr>
        <w:t xml:space="preserve"> collaborate to accelerate the vaccine development and trials. </w:t>
      </w:r>
      <w:proofErr w:type="spellStart"/>
      <w:r w:rsidRPr="009672FC">
        <w:rPr>
          <w:rFonts w:ascii="Garamond" w:hAnsi="Garamond"/>
        </w:rPr>
        <w:t>Cojoianu</w:t>
      </w:r>
      <w:proofErr w:type="spellEnd"/>
      <w:r w:rsidRPr="009672FC">
        <w:rPr>
          <w:rFonts w:ascii="Garamond" w:hAnsi="Garamond"/>
        </w:rPr>
        <w:t xml:space="preserve"> et al. (2020) suggest three categories of these inter-organizational alliances during the COVID-19 pandemic: 1. Core healthcare; 2. Management and operational; and 3. Social needs. These are special forms of “social purpose alliances”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{"citationItems":[{"id":"ITEM-1","itemData":{"DOI":"10.1057/9780230625655","ISBN":"9780230625655","abstract":"Social Entrepreneurship is a global phenomenon that impacts the lives of citizens by using innovative approaches to solving social problems. This book offers a comprehensive examination of this growing area of research and provides an excellent introduction to social entrepreneurship theory and a framework for future research.","author":[{"dropping-particle":"","family":"Mair","given":"Johanna","non-dropping-particle":"","parse-names":false,"suffix":""},{"dropping-particle":"","family":"Robinson","given":"Jeffrey","non-dropping-particle":"","parse-names":false,"suffix":""},{"dropping-particle":"","family":"Hockerts","given":"Kai","non-dropping-particle":"","parse-names":false,"suffix":""}],"container-title":"Social Entrepreneurship","id":"ITEM-1","issued":{"date-parts":[["2006"]]},"number-of-pages":"1-280","title":"Social entrepreneurship","type":"book"},"uris":["http://www.mendeley.com/documents/?uuid=596ee179-b6ac-4ce9-8614-49e958086b60"]}],"mendeley":{"formattedCitation":"(Mair et al., 2006)","manualFormatting":"(Mair, Robinson and Hockerts, 2006, p. 22-33)","plainTextFormattedCitation":"(Mair et al., 2006)","previouslyFormattedCitation":"(Mair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(Mair, Robinson and Hockerts, 2006, p. 22-33)</w:t>
      </w:r>
      <w:r w:rsidRPr="009672FC">
        <w:rPr>
          <w:rFonts w:ascii="Garamond" w:hAnsi="Garamond"/>
        </w:rPr>
        <w:fldChar w:fldCharType="end"/>
      </w:r>
      <w:r w:rsidRPr="009672FC">
        <w:rPr>
          <w:rFonts w:ascii="Garamond" w:hAnsi="Garamond"/>
        </w:rPr>
        <w:t xml:space="preserve"> and critical aspects of social entrepreneurship, allowing firms to invest in social causes that maximize their commercial interests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10.1111/j.1540-6520.2009.00354.x","ISBN":"0275989860","author":[{"dropping-particle":"","family":"Austin","given":"James","non-dropping-particle":"","parse-names":false,"suffix":""},{"dropping-particle":"","family":"Stevenson","given":"Howard","non-dropping-particle":"","parse-names":false,"suffix":""},{"dropping-particle":"","family":"Wei-Skillern","given":"Jane","non-dropping-particle":"","parse-names":false,"suffix":""}],"container-title":"Entrepreneurship theory and practice","id":"ITEM-1","issue":"1","issued":{"date-parts":[["2006"]]},"page":"1-22","title":"Social and Commercial Entrepreneurship: Same, Different, or Both?","type":"article-journal","volume":"30"},"uris":["http://www.mendeley.com/documents/?uuid=06bea3d3-e3f0-41d2-89e3-a274ac1a1607"]}],"mendeley":{"formattedCitation":"(J. Austin, Stevenson, &amp; Wei-Skillern, 2006)","manualFormatting":"(Austin et al., 2006;","plainTextFormattedCitation":"(J. Austin, Stevenson, &amp; Wei-Skillern, 2006)","previouslyFormattedCitation":"(J. Austin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et al., 2006;</w:t>
      </w:r>
      <w:r w:rsidRPr="009672FC">
        <w:rPr>
          <w:rFonts w:ascii="Garamond" w:hAnsi="Garamond"/>
        </w:rPr>
        <w:fldChar w:fldCharType="end"/>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{"citationItems":[{"id":"ITEM-1","itemData":{"DOI":"10.1080/00076791.2011.565516","ISSN":"17437938","abstract":"This paper focuses upon the relationship between the business and philanthropic endeavours of world-making entrepreneurs; asking why, how and to what ends these individuals seek to extend their reach in society beyond business. It presents an original model of entrepreneurial philanthropy which demonstrates how investment in philanthropic projects can yield positive returns in cultural, social and symbolic capital, which in turn may lead to growth in economic capital. The model is applied to interpret and make sense of the career of Andrew Carnegie, whose story, far from reducing to one of making a fortune then giving it away, is revealed as more complex and more unified. His philanthropy raised his stock within the field of power, helping convert surplus funds into social networks, high social standing and intellectual currency, enabling him to engage in world making on a grand scale. © 2011 Taylor &amp; Francis.","author":[{"dropping-particle":"","family":"Harvey","given":"Charles","non-dropping-particle":"","parse-names":false,"suffix":""},{"dropping-particle":"","family":"Maclean","given":"Mairi","non-dropping-particle":"","parse-names":false,"suffix":""},{"dropping-particle":"","family":"Gordon","given":"Jillian","non-dropping-particle":"","parse-names":false,"suffix":""},{"dropping-particle":"","family":"Shaw","given":"Eleanor","non-dropping-particle":"","parse-names":false,"suffix":""}],"container-title":"Business History","id":"ITEM-1","issue":"3","issued":{"date-parts":[["2011"]]},"page":"425-450","title":"Andrew Carnegie and the foundations of contemporary entrepreneurial philanthropy","type":"article-journal","volume":"53"},"uris":["http://www.mendeley.com/documents/?uuid=002ce70a-738f-4024-82b6-e488ebf64c5f"]}],"mendeley":{"formattedCitation":"(Harvey, Maclean, Gordon, &amp; Shaw, 2011)","manualFormatting":" Harvey et al., 2011)","plainTextFormattedCitation":"(Harvey, Maclean, Gordon, &amp; Shaw, 2011)","previouslyFormattedCitation":"(Harvey et al.,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Harvey et al., 2011)</w:t>
      </w:r>
      <w:r w:rsidRPr="009672FC">
        <w:rPr>
          <w:rFonts w:ascii="Garamond" w:hAnsi="Garamond"/>
        </w:rPr>
        <w:fldChar w:fldCharType="end"/>
      </w:r>
      <w:r w:rsidRPr="009672FC">
        <w:rPr>
          <w:rFonts w:ascii="Garamond" w:hAnsi="Garamond"/>
        </w:rPr>
        <w:t xml:space="preserve">, such as improving corporate legitimacy and public image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{"citationItems":[{"id":"ITEM-1","itemData":{"DOI":"10.1002/mar","ISBN":"0148-2963","ISSN":"01482963","PMID":"28443810","abstract":"While humans have a long history of anthropomorphizing animals and the use of animal imagery in themarketplace and popular culture is commonplace, the phenomenon has received little attention. This research investigates the role of how consumers respond to anthropomorphic portrayals of animal mascots that differ on their baseline physical resemblance to humans. In order to test this assertion, an experimental study was conducted with 62 undergraduate participants from a large state university in the Northeastern United States. Results from the study indicate that evaluations of anthropomorphic portrayals of animals with a lower baseline physical similarity to humans are less favorable than nonanthropomorphic portrayals. In contrast, evaluations of anthropomorphic portrayals of animals with a higher baseline physical similarity are more favorable than nonanthropomorphic portrayals.","author":[{"dropping-particle":"","family":"Lafferty","given":"Barbara A.","non-dropping-particle":"","parse-names":false,"suffix":""}],"container-title":"Psychology &amp; Marketing","id":"ITEM-1","issue":"4","issued":{"date-parts":[["2009"]]},"page":"359–382","title":"Selecting the Right Cause Partners for the Right Reasons: The Role of Importance and Fit in Cause–Brand Alliances","type":"article-journal","volume":"26"},"uris":["http://www.mendeley.com/documents/?uuid=809bd282-a618-480a-804d-2692c2732689"]}],"mendeley":{"formattedCitation":"(Lafferty, 2009)","plainTextFormattedCitation":"(Lafferty, 2009)","previouslyFormattedCitation":"(Lafferty,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2009)</w:t>
      </w:r>
      <w:r w:rsidRPr="009672FC">
        <w:rPr>
          <w:rFonts w:ascii="Garamond" w:hAnsi="Garamond"/>
        </w:rPr>
        <w:fldChar w:fldCharType="end"/>
      </w:r>
      <w:r w:rsidRPr="009672FC">
        <w:rPr>
          <w:rFonts w:ascii="Garamond" w:hAnsi="Garamond"/>
        </w:rPr>
        <w:t xml:space="preserve">, to attract consumer sympathy and acceptance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{"citationItems":[{"id":"ITEM-1","itemData":{"DOI":"10.3390/su10061812","ISSN":"20711050","abstract":"The present study examined consumer responses to strategic corporate social responsibility (CSR) from the perspectives of consumer moral emotions (empathy) and cognition (moral identity), and investigated charitable activities conducted by convenience stores in Taiwan from theoretical and practical perspectives. The research method involved a comparison between two actual charitable activities conducted by convenience stores, namely \"donation platform services\" and \"cause-related marketing\". A questionnaire was distributed into four regions spanning southern to northern Taiwan by using a convenient sampling method, and 332 valid responses were collected. The present study employed structural equation modelling to verify its hypotheses. In terms of theoretical contributions, the present study constructed two theoretical models and subsequently verified that empathy influences moral identity; this constitutes a major contribution to investigations of the causal relationship between moral emotions and cognitive theory. In practice, the present study recommends that convenience stores implement more cause-related marketing to reduce consumer suspicions that firms are motivated purely by profit and increase consumer trust in firms. Subsequent studies are recommended to conduct in-depth investigations of the underlying causes of moral identity internalization and symbolization generating different responses in consumers, as well as other possible situational variables.","author":[{"dropping-particle":"","family":"Yen","given":"Ghi Feng","non-dropping-particle":"","parse-names":false,"suffix":""},{"dropping-particle":"","family":"Yang","given":"Hsin Ti","non-dropping-particle":"","parse-names":false,"suffix":""}],"container-title":"Sustainability (Switzerland)","id":"ITEM-1","issue":"6","issued":{"date-parts":[["2018"]]},"title":"Does consumer empathy influence consumer responses to strategic corporate social responsibility? The dual mediation ofmoral identity","type":"article-journal","volume":"10"},"uris":["http://www.mendeley.com/documents/?uuid=648c8d0f-5434-4cae-afad-fe964989bc52"]}],"mendeley":{"formattedCitation":"(Yen &amp; Yang, 2018)","manualFormatting":"(Yen and Yang, 2018)","plainTextFormattedCitation":"(Yen &amp; Yang, 2018)","previouslyFormattedCitation":"(Yen &amp; Yang,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(Yen and Yang, 2018)</w:t>
      </w:r>
      <w:r w:rsidRPr="009672FC">
        <w:rPr>
          <w:rFonts w:ascii="Garamond" w:hAnsi="Garamond"/>
        </w:rPr>
        <w:fldChar w:fldCharType="end"/>
      </w:r>
      <w:r w:rsidRPr="009672FC">
        <w:rPr>
          <w:rFonts w:ascii="Garamond" w:hAnsi="Garamond"/>
        </w:rPr>
        <w:t xml:space="preserve">, promote investor recognition and patronage, and to access government stimulus benefits. Our focus, however, is on the inter-firm relationship, driven by the social mission (referred here as a </w:t>
      </w:r>
      <w:r w:rsidRPr="009672FC">
        <w:rPr>
          <w:rFonts w:ascii="Garamond" w:hAnsi="Garamond"/>
          <w:i/>
          <w:iCs/>
        </w:rPr>
        <w:t>cause-based alliance</w:t>
      </w:r>
      <w:r w:rsidRPr="009672FC">
        <w:rPr>
          <w:rFonts w:ascii="Garamond" w:hAnsi="Garamond"/>
        </w:rPr>
        <w:t xml:space="preserve">) and in line with their commercial interests to tackle the challenges of the COVID-19 crisis. </w:t>
      </w:r>
      <w:r w:rsidRPr="009672FC">
        <w:rPr>
          <w:rFonts w:ascii="Garamond" w:hAnsi="Garamond"/>
          <w:color w:val="040404"/>
        </w:rPr>
        <w:t xml:space="preserve">Specifically, </w:t>
      </w:r>
      <w:r w:rsidRPr="009672FC">
        <w:rPr>
          <w:rFonts w:ascii="Garamond" w:hAnsi="Garamond"/>
        </w:rPr>
        <w:t>we conceptualized cause-based social entrepreneurship alliance as a form of social entrepreneurship, comprising independent firms, that collaborate resources and expertise to address a specific causes or portfolio of causes.</w:t>
      </w:r>
    </w:p>
    <w:p w14:paraId="71F0449F" w14:textId="0E490871" w:rsidR="003D5DE8" w:rsidRPr="009672FC" w:rsidRDefault="007549AA" w:rsidP="00890FB2">
      <w:pPr>
        <w:spacing w:before="240" w:line="360" w:lineRule="auto"/>
        <w:jc w:val="both"/>
        <w:rPr>
          <w:rFonts w:ascii="Garamond" w:hAnsi="Garamond"/>
        </w:rPr>
      </w:pPr>
      <w:r w:rsidRPr="009672FC">
        <w:rPr>
          <w:rFonts w:ascii="Garamond" w:hAnsi="Garamond"/>
        </w:rPr>
        <w:t xml:space="preserve">Consequently, this study tries to examine the collaborative value practices for cause-based social entrepreneurship alliances. To the best of our knowledge, this is the first study that tries to examine the empirical context of business contribution to COVID-19 crisis response from the perspective of cause-based social entrepreneurship alliance. This study tries to advance our understanding of how research in inter-firm cause-based alliance integrates into the social entrepreneurship literature, a subject that is highly fragmented in the literature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2009)","manualFormatting":"(Faminow, Carter and Lundy, 2009; Sarkar, Echambadi and Harrison, 2001)","plainTextFormattedCitation":"(Faminow et al.,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(Faminow, Carter and Lundy, 2009; </w:t>
      </w:r>
      <w:r w:rsidRPr="009672FC">
        <w:rPr>
          <w:rFonts w:ascii="Garamond" w:hAnsi="Garamond" w:cstheme="minorBidi"/>
          <w:noProof/>
          <w:sz w:val="22"/>
          <w:szCs w:val="22"/>
        </w:rPr>
        <w:fldChar w:fldCharType="begin" w:fldLock="1"/>
      </w:r>
      <w:r w:rsidR="00813D37" w:rsidRPr="009672FC">
        <w:rPr>
          <w:rFonts w:ascii="Garamond" w:hAnsi="Garamond"/>
          <w:noProof/>
        </w:rPr>
        <w:instrText>ADDIN CSL_CITATION {"citationItems":[{"id":"ITEM-1","itemData":{"DOI":"10.1002/smj.179","ISSN":"01432095","abstract":"This paper extends entrepreneurship into the domain of alliances, and investigates the effect of alliance proactiveness on market-based firm performance (defined in terms of sales growth, market share, market development and product development). Alliance proactiveness is defined as the extent to which an organization engages in identifying and responding to partnering opportunities. The effect of alliance proactiveness on performance is tested within a contingency framework, with size and perceived environmental uncertainty as moderators, and using data from 182 firms. We estimated the model using partial least squares. Results indicate that alliance proactiveness leads to superior market-based performance, and that this effect is stronger for small firms and in unstable market environments. Copyright © 2001 John Wiley &amp; Sons, Ltd.","author":[{"dropping-particle":"","family":"Sarkar","given":"M. B.","non-dropping-particle":"","parse-names":false,"suffix":""},{"dropping-particle":"","family":"Echambadi","given":"R. A.J.","non-dropping-particle":"","parse-names":false,"suffix":""},{"dropping-particle":"","family":"Harrison","given":"Jeffrey S.","non-dropping-particle":"","parse-names":false,"suffix":""}],"container-title":"Strategic Management Journal","id":"ITEM-1","issue":"6-7","issued":{"date-parts":[["2001"]]},"page":"701-711","title":"Alliance entrepreneurship and firm market performance","type":"article-journal","volume":"22"},"uris":["http://www.mendeley.com/documents/?uuid=d8434c71-cb14-4aa0-8326-599161489396"]}],"mendeley":{"formattedCitation":"(Sarkar, Echambadi, &amp; Harrison, 2001)","manualFormatting":"Sarkar, Echambadi and Harrison, 2001)","plainTextFormattedCitation":"(Sarkar, Echambadi, &amp; Harrison, 2001)","previouslyFormattedCitation":"(Sarkar et al., 2001)"},"properties":{"noteIndex":0},"schema":"https://github.com/citation-style-language/schema/raw/master/csl-citation.json"}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Sarkar, Echambadi and Harrison, 2001)</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w:t>
      </w:r>
      <w:r w:rsidR="00813D37" w:rsidRPr="009672FC">
        <w:rPr>
          <w:rFonts w:ascii="Garamond" w:hAnsi="Garamond"/>
        </w:rPr>
        <w:t>D</w:t>
      </w:r>
      <w:r w:rsidRPr="009672FC">
        <w:rPr>
          <w:rFonts w:ascii="Garamond" w:hAnsi="Garamond"/>
        </w:rPr>
        <w:t xml:space="preserve">ifferent forms of cause-based partnerships appeared in the extant literature include those involving businesses and non-profits and/or governments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2012b)","manualFormatting":"(e.g., Austin and Seitanidi, 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(e.g., Austin and Seitanidi, 2012b;</w:t>
      </w:r>
      <w:r w:rsidRPr="009672FC">
        <w:rPr>
          <w:rFonts w:ascii="Garamond" w:hAnsi="Garamond"/>
        </w:rPr>
        <w:fldChar w:fldCharType="end"/>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 Austin and Seitanidi, 2012a)","plainTextFormattedCitation":"(J.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Austin and Seitanidi, 2012a)</w:t>
      </w:r>
      <w:r w:rsidRPr="009672FC">
        <w:rPr>
          <w:rFonts w:ascii="Garamond" w:hAnsi="Garamond"/>
        </w:rPr>
        <w:fldChar w:fldCharType="end"/>
      </w:r>
      <w:r w:rsidRPr="009672FC">
        <w:rPr>
          <w:rFonts w:ascii="Garamond" w:hAnsi="Garamond"/>
        </w:rPr>
        <w:t xml:space="preserve">, causing a relative paucity of cause-related alliance literature and thus lacking a coherent theoretical framework. This thus necessitates the </w:t>
      </w:r>
      <w:r w:rsidRPr="009672FC">
        <w:rPr>
          <w:rFonts w:ascii="Garamond" w:hAnsi="Garamond"/>
        </w:rPr>
        <w:lastRenderedPageBreak/>
        <w:t xml:space="preserve">need to undertake an empirical investigation of this form of inter-firm collaboration. </w:t>
      </w:r>
      <w:bookmarkStart w:id="211" w:name="_Hlk46475494"/>
      <w:bookmarkStart w:id="212" w:name="_Hlk46795727"/>
      <w:r w:rsidRPr="009672FC">
        <w:rPr>
          <w:rFonts w:ascii="Garamond" w:hAnsi="Garamond"/>
        </w:rPr>
        <w:t>Specifically, we leverage the</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 collaborative value construct  (CVC) (Austin, 2000a; 2000b; Austin and Seitanidi, 2012a; 2012b)","plainTextFormattedCitation":"(J.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collaborative value construct  (CVC) (Austin, 2000a;</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{"citationItems":[{"id":"ITEM-1","itemData":{"ISBN":"0787952206","ISSN":"09569944","abstract":"The article presents the author's views on the collaboration between university and industry in Great Britain. Great Britain now has some of the most advanced links between university and industry to be found anywhere in the world. Over the last 10 years, university/industry links have been revolutionised and the potential for innovation and growth in companies and world-class research from universities is rapidly becoming apparent. But these changes need to be celebrated more publicly and examples of best practice brought to the attention of people in industry and academe, who may still be nervous.","author":[{"dropping-particle":"","family":"Austin","given":"James E.","non-dropping-particle":"","parse-names":false,"suffix":""}],"container-title":"Manufacturing Engineer","id":"ITEM-1","issued":{"date-parts":[["2000"]]},"page":"6","title":"The Collaboration Challenge: How Nonprofits and Businesses Succeed Through Strategic Alliances","type":"article-journal","volume":"83"},"uris":["http://www.mendeley.com/documents/?uuid=9fa5e4da-eba2-4ad9-b41a-452701fe985f"]}],"mendeley":{"formattedCitation":"(J. E. Austin, 2000b)","manualFormatting":" 2000b; Austin and Seitanidi, 2012a; 2012b)","plainTextFormattedCitation":"(J. E. Austin, 2000b)","previouslyFormattedCitation":"(J. E. Austin, 2000b)"},"properties":{"noteIndex":0},"schema":"https://github.com/citation-style-language/schema/raw/master/csl-citation.json"}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 2000b; </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 2012b)","plainTextFormattedCitation":"(J.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Austin and Seitanidi, 2012a; </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2012b)</w:t>
      </w:r>
      <w:r w:rsidRPr="009672FC">
        <w:rPr>
          <w:rFonts w:ascii="Garamond" w:hAnsi="Garamond"/>
          <w:noProof/>
        </w:rPr>
        <w:fldChar w:fldCharType="end"/>
      </w:r>
      <w:r w:rsidRPr="009672FC">
        <w:rPr>
          <w:rFonts w:ascii="Garamond" w:hAnsi="Garamond"/>
          <w:noProof/>
        </w:rPr>
        <w:fldChar w:fldCharType="end"/>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arguing that despite the differences of cause-based inter-firm alliance from other forms of inter-organizational relationships, collaborative capabilities of firms for social value generation are also relevant to </w:t>
      </w:r>
      <w:r w:rsidR="00813D37" w:rsidRPr="009672FC">
        <w:rPr>
          <w:rFonts w:ascii="Garamond" w:hAnsi="Garamond"/>
        </w:rPr>
        <w:t>pieces of literature</w:t>
      </w:r>
      <w:r w:rsidRPr="009672FC">
        <w:rPr>
          <w:rFonts w:ascii="Garamond" w:hAnsi="Garamond"/>
        </w:rPr>
        <w:t xml:space="preserve"> on resource-based views, institutional theory, and cause-based social entrepreneurship alliances.</w:t>
      </w:r>
    </w:p>
    <w:p w14:paraId="6BD87643" w14:textId="5F6EF7C0" w:rsidR="00890FB2" w:rsidRPr="009672FC" w:rsidRDefault="007549AA" w:rsidP="00890FB2">
      <w:pPr>
        <w:spacing w:before="240" w:line="360" w:lineRule="auto"/>
        <w:jc w:val="both"/>
        <w:rPr>
          <w:rFonts w:ascii="Garamond" w:hAnsi="Garamond"/>
        </w:rPr>
      </w:pPr>
      <w:r w:rsidRPr="009672FC">
        <w:rPr>
          <w:rFonts w:ascii="Garamond" w:hAnsi="Garamond"/>
        </w:rPr>
        <w:t>Our research, however, focuses on the emerging alliance of companies in the North of Italy engage</w:t>
      </w:r>
      <w:r w:rsidR="00813D37" w:rsidRPr="009672FC">
        <w:rPr>
          <w:rFonts w:ascii="Garamond" w:hAnsi="Garamond"/>
        </w:rPr>
        <w:t>d</w:t>
      </w:r>
      <w:r w:rsidRPr="009672FC">
        <w:rPr>
          <w:rFonts w:ascii="Garamond" w:hAnsi="Garamond"/>
        </w:rPr>
        <w:t xml:space="preserve"> in the production and supplies of Personal Protective Equipment (PPE) as a response to the Coronavirus pandemic, thus complementing the Italian government’s response efforts to the crisis. To do this, we adopt the exploratory case study approach to understand the collaborative value processes through a structured interview approach with social entrepreneurs/managers of companies involved in the cause-based alliance</w:t>
      </w:r>
      <w:bookmarkEnd w:id="211"/>
      <w:r w:rsidRPr="009672FC">
        <w:rPr>
          <w:rFonts w:ascii="Garamond" w:hAnsi="Garamond"/>
        </w:rPr>
        <w:t>.</w:t>
      </w:r>
    </w:p>
    <w:p w14:paraId="02258769" w14:textId="2D13D9AB" w:rsidR="003D5DE8" w:rsidRPr="009672FC" w:rsidRDefault="007549AA" w:rsidP="00890FB2">
      <w:pPr>
        <w:spacing w:before="240" w:line="360" w:lineRule="auto"/>
        <w:jc w:val="both"/>
        <w:rPr>
          <w:rFonts w:ascii="Garamond" w:hAnsi="Garamond"/>
        </w:rPr>
      </w:pPr>
      <w:r w:rsidRPr="009672FC">
        <w:rPr>
          <w:rFonts w:ascii="Garamond" w:hAnsi="Garamond"/>
        </w:rPr>
        <w:t>In sum, the findings show that cause-based alliance is different from other form business relationships because the social mission is the primary focus of the alliance formation, pursued by firms that share the common orientation to a specific social cause or corporate social responsibilities (</w:t>
      </w:r>
      <w:r w:rsidRPr="009672FC">
        <w:rPr>
          <w:rFonts w:ascii="Garamond" w:hAnsi="Garamond" w:cstheme="minorBidi"/>
          <w:sz w:val="22"/>
          <w:szCs w:val="22"/>
        </w:rPr>
        <w:fldChar w:fldCharType="begin" w:fldLock="1"/>
      </w:r>
      <w:r w:rsidRPr="009672FC">
        <w:rPr>
          <w:rFonts w:ascii="Garamond" w:hAnsi="Garamond"/>
        </w:rPr>
        <w:instrText>ADDIN CSL_CITATION {"citationItems":[{"id":"ITEM-1","itemData":{"DOI":"10.1002/mar","ISBN":"0148-2963","ISSN":"01482963","PMID":"28443810","abstract":"While humans have a long history of anthropomorphizing animals and the use of animal imagery in themarketplace and popular culture is commonplace, the phenomenon has received little attention. This research investigates the role of how consumers respond to anthropomorphic portrayals of animal mascots that differ on their baseline physical resemblance to humans. In order to test this assertion, an experimental study was conducted with 62 undergraduate participants from a large state university in the Northeastern United States. Results from the study indicate that evaluations of anthropomorphic portrayals of animals with a lower baseline physical similarity to humans are less favorable than nonanthropomorphic portrayals. In contrast, evaluations of anthropomorphic portrayals of animals with a higher baseline physical similarity are more favorable than nonanthropomorphic portrayals.","author":[{"dropping-particle":"","family":"Lafferty","given":"Barbara A.","non-dropping-particle":"","parse-names":false,"suffix":""}],"container-title":"Psychology &amp; Marketing","id":"ITEM-1","issue":"4","issued":{"date-parts":[["2009"]]},"page":"359–382","title":"Selecting the Right Cause Partners for the Right Reasons: The Role of Importance and Fit in Cause–Brand Alliances","type":"article-journal","volume":"26"},"uris":["http://www.mendeley.com/documents/?uuid=809bd282-a618-480a-804d-2692c2732689"]}],"mendeley":{"formattedCitation":"(Lafferty, 2009)","manualFormatting":"Lafferty, 2009","plainTextFormattedCitation":"(Lafferty, 2009)","previouslyFormattedCitation":"(Lafferty,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2009</w:t>
      </w:r>
      <w:r w:rsidRPr="009672FC">
        <w:rPr>
          <w:rFonts w:ascii="Garamond" w:hAnsi="Garamond"/>
        </w:rPr>
        <w:fldChar w:fldCharType="end"/>
      </w:r>
      <w:r w:rsidRPr="009672FC">
        <w:rPr>
          <w:rFonts w:ascii="Garamond" w:hAnsi="Garamond"/>
        </w:rPr>
        <w:t xml:space="preserve">; </w:t>
      </w:r>
      <w:r w:rsidRPr="009672FC">
        <w:rPr>
          <w:rFonts w:ascii="Garamond" w:hAnsi="Garamond" w:cstheme="minorBidi"/>
          <w:sz w:val="22"/>
          <w:szCs w:val="22"/>
        </w:rPr>
        <w:fldChar w:fldCharType="begin" w:fldLock="1"/>
      </w:r>
      <w:r w:rsidR="00813D37" w:rsidRPr="009672FC">
        <w:rPr>
          <w:rFonts w:ascii="Garamond" w:hAnsi="Garamond"/>
        </w:rPr>
        <w:instrText>ADDIN CSL_CITATION {"citationItems":[{"id":"ITEM-1","itemData":{"DOI":"10.1002/mar.20017","ISSN":"07426046","abstract":"Partnering charitable causes with brands has become a common practice for many marketing programs; it is referred to strategically as cause-related marketing. Although there is the perception that both partners benefit from the alliance, research has focused primarily on the benefits to the brand. Using Attitude Accessibility, Congruity, and Information Integration Theories, this study empirically tests a model to evaluate the impact of cause-brand alliances on subsequent attitudes toward both partners. The results of the study (n = 463) support the assumption that attitudes toward both the cause and the brand can be enhanced as a consequence of an alliance if perceptions of the alliance are favorable. Furthermore, the cause appears to benefit from the alliance to a greater extent than the brand. The study supports the notions that the fit between partners plays a pivotal role in consumer acceptance of the alliance as plausible and that familiarity with the cause moderates the effectiveness of the alliance. These results represent a necessary step in developing a theoretical model to explain the effects of a cause-brand alliance on both partners. © 2004 Wiley Periodicals, Inc.","author":[{"dropping-particle":"","family":"Lafferty","given":"Barbara A.","non-dropping-particle":"","parse-names":false,"suffix":""},{"dropping-particle":"","family":"Goldsmith","given":"Ronald E.","non-dropping-particle":"","parse-names":false,"suffix":""},{"dropping-particle":"","family":"Hult","given":"G. Tomas M.","non-dropping-particle":"","parse-names":false,"suffix":""}],"container-title":"Psychology and Marketing","id":"ITEM-1","issue":"7","issued":{"date-parts":[["2004"]]},"page":"509-531","title":"The impact of the alliance on the partners: A look at cause-brand alliances","type":"article-journal","volume":"21"},"uris":["http://www.mendeley.com/documents/?uuid=98848139-a5ac-402e-96a0-b71d8ed2066e"]}],"mendeley":{"formattedCitation":"(Lafferty, Goldsmith, &amp; Hult, 2004)","manualFormatting":"Lafferty, Goldsmith and Hult, 2004; Wymer and Samu, 2003)","plainTextFormattedCitation":"(Lafferty, Goldsmith, &amp; Hult, 2004)","previouslyFormattedCitation":"(Lafferty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Lafferty, Goldsmith and Hult, 2004; </w:t>
      </w:r>
      <w:r w:rsidRPr="009672FC">
        <w:rPr>
          <w:rFonts w:ascii="Garamond" w:hAnsi="Garamond" w:cstheme="minorBidi"/>
          <w:noProof/>
          <w:sz w:val="22"/>
          <w:szCs w:val="22"/>
        </w:rPr>
        <w:fldChar w:fldCharType="begin" w:fldLock="1"/>
      </w:r>
      <w:r w:rsidRPr="009672FC">
        <w:rPr>
          <w:rFonts w:ascii="Garamond" w:hAnsi="Garamond"/>
          <w:noProof/>
        </w:rPr>
        <w:instrText>ADDIN CSL_CITATION {"citationItems":[{"id":"ITEM-1","itemData":{"DOI":"10.1300/J054v11n01","ISBN":"10495142","ISSN":"1049-5142","abstract":"Examines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 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attitude.","author":[{"dropping-particle":"","family":"Wymer, Jr.","given":"W. W","non-dropping-particle":"","parse-names":false,"suffix":""},{"dropping-particle":"","family":"Samu","given":"Sridhar","non-dropping-particle":"","parse-names":false,"suffix":""}],"container-title":"Journal of Nonprofit &amp; Public Sector Marketing","id":"ITEM-1","issue":"1","issued":{"date-parts":[["2003"]]},"page":"59-76","title":"Dimensions of business and nonprofit","type":"article-journal","volume":"11"},"uris":["http://www.mendeley.com/documents/?uuid=246cb0f6-0d1e-4f37-9d95-b616916efcad"]}],"mendeley":{"formattedCitation":"(Wymer, Jr. &amp; Samu, 2003)","manualFormatting":"Wymer and Samu, 2003","plainTextFormattedCitation":"(Wymer, Jr. &amp; Samu, 2003)","previouslyFormattedCitation":"(Wymer, Jr. &amp; Samu, 2003)"},"properties":{"noteIndex":0},"schema":"https://github.com/citation-style-language/schema/raw/master/csl-citation.json"}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Wymer and Samu, 2003</w:t>
      </w:r>
      <w:r w:rsidRPr="009672FC">
        <w:rPr>
          <w:rFonts w:ascii="Garamond" w:hAnsi="Garamond"/>
          <w:noProof/>
        </w:rPr>
        <w:fldChar w:fldCharType="end"/>
      </w:r>
      <w:r w:rsidRPr="009672FC">
        <w:rPr>
          <w:rFonts w:ascii="Garamond" w:hAnsi="Garamond"/>
          <w:noProof/>
        </w:rPr>
        <w:t>)</w:t>
      </w:r>
      <w:r w:rsidRPr="009672FC">
        <w:rPr>
          <w:rFonts w:ascii="Garamond" w:hAnsi="Garamond"/>
        </w:rPr>
        <w:fldChar w:fldCharType="end"/>
      </w:r>
      <w:r w:rsidRPr="009672FC">
        <w:rPr>
          <w:rFonts w:ascii="Garamond" w:hAnsi="Garamond"/>
        </w:rPr>
        <w:t xml:space="preserve">. In such cases, the choice, availability, and the fit of alliance partners to the cause are fundamental drivers of cause-based alliance formation. These insights may inform how firms can maximize social wealth creation and improve corporate image, </w:t>
      </w:r>
      <w:proofErr w:type="gramStart"/>
      <w:r w:rsidRPr="009672FC">
        <w:rPr>
          <w:rFonts w:ascii="Garamond" w:hAnsi="Garamond"/>
        </w:rPr>
        <w:t>sales</w:t>
      </w:r>
      <w:proofErr w:type="gramEnd"/>
      <w:r w:rsidRPr="009672FC">
        <w:rPr>
          <w:rFonts w:ascii="Garamond" w:hAnsi="Garamond"/>
        </w:rPr>
        <w:t xml:space="preserve"> and competitive advantage.</w:t>
      </w:r>
      <w:bookmarkEnd w:id="212"/>
      <w:r w:rsidRPr="009672FC">
        <w:rPr>
          <w:rFonts w:ascii="Garamond" w:hAnsi="Garamond"/>
        </w:rPr>
        <w:t xml:space="preserve"> </w:t>
      </w:r>
    </w:p>
    <w:p w14:paraId="74C87C57" w14:textId="151EBF21" w:rsidR="003D5DE8" w:rsidRPr="009672FC" w:rsidRDefault="007549AA" w:rsidP="00336DF0">
      <w:pPr>
        <w:spacing w:before="240" w:line="360" w:lineRule="auto"/>
        <w:jc w:val="both"/>
        <w:rPr>
          <w:rFonts w:ascii="Garamond" w:hAnsi="Garamond"/>
          <w:b/>
          <w:bCs/>
          <w:color w:val="040404"/>
        </w:rPr>
      </w:pPr>
      <w:r w:rsidRPr="009672FC">
        <w:rPr>
          <w:rFonts w:ascii="Garamond" w:hAnsi="Garamond"/>
        </w:rPr>
        <w:t xml:space="preserve">The paper proceeds first with brief insights into the COVID-19 pandemic providing a background of the research problem. The remainder of the paper illustrates the key findings from the analysis, identify the </w:t>
      </w:r>
      <w:r w:rsidR="00813D37" w:rsidRPr="009672FC">
        <w:rPr>
          <w:rFonts w:ascii="Garamond" w:hAnsi="Garamond"/>
        </w:rPr>
        <w:t>dimensions</w:t>
      </w:r>
      <w:r w:rsidRPr="009672FC">
        <w:rPr>
          <w:rFonts w:ascii="Garamond" w:hAnsi="Garamond"/>
        </w:rPr>
        <w:t xml:space="preserve"> of cause-based alliance collaborative value processes, and discussed the implication and conclusion of the study. Limitations and future research agenda are discussed.</w:t>
      </w:r>
    </w:p>
    <w:p w14:paraId="4A571476" w14:textId="3260C671" w:rsidR="003D5DE8" w:rsidRPr="009672FC" w:rsidRDefault="007549AA">
      <w:pPr>
        <w:pStyle w:val="Title"/>
        <w:numPr>
          <w:ilvl w:val="1"/>
          <w:numId w:val="12"/>
        </w:numPr>
        <w:spacing w:before="240" w:line="360" w:lineRule="auto"/>
        <w:jc w:val="both"/>
        <w:outlineLvl w:val="1"/>
        <w:rPr>
          <w:rFonts w:ascii="Garamond" w:hAnsi="Garamond" w:cs="Times New Roman"/>
          <w:b/>
          <w:bCs/>
          <w:i/>
          <w:iCs/>
          <w:sz w:val="24"/>
          <w:szCs w:val="24"/>
        </w:rPr>
      </w:pPr>
      <w:r w:rsidRPr="009672FC">
        <w:rPr>
          <w:rFonts w:ascii="Garamond" w:hAnsi="Garamond" w:cs="Times New Roman"/>
          <w:b/>
          <w:bCs/>
          <w:i/>
          <w:iCs/>
          <w:sz w:val="24"/>
          <w:szCs w:val="24"/>
        </w:rPr>
        <w:t xml:space="preserve"> </w:t>
      </w:r>
      <w:bookmarkStart w:id="213" w:name="_Toc85708766"/>
      <w:bookmarkStart w:id="214" w:name="_Toc85709780"/>
      <w:r w:rsidRPr="009672FC">
        <w:rPr>
          <w:rFonts w:ascii="Garamond" w:hAnsi="Garamond" w:cs="Times New Roman"/>
          <w:b/>
          <w:bCs/>
          <w:i/>
          <w:iCs/>
          <w:sz w:val="24"/>
          <w:szCs w:val="24"/>
        </w:rPr>
        <w:t>COVID-19 Crisis Overview</w:t>
      </w:r>
      <w:bookmarkEnd w:id="213"/>
      <w:bookmarkEnd w:id="214"/>
    </w:p>
    <w:p w14:paraId="09B8D135" w14:textId="339E24CB" w:rsidR="003D5DE8" w:rsidRPr="009672FC" w:rsidRDefault="007549AA">
      <w:pPr>
        <w:spacing w:line="360" w:lineRule="auto"/>
        <w:jc w:val="both"/>
        <w:rPr>
          <w:rFonts w:ascii="Garamond" w:hAnsi="Garamond"/>
        </w:rPr>
      </w:pPr>
      <w:r w:rsidRPr="009672FC">
        <w:rPr>
          <w:rFonts w:ascii="Garamond" w:hAnsi="Garamond"/>
        </w:rPr>
        <w:t>World Health Organization (</w:t>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{"citationItems":[{"id":"ITEM-1","itemData":{"author":[{"dropping-particle":"","family":"WHO","given":"","non-dropping-particle":"","parse-names":false,"suffix":""}],"container-title":"World Health Organization","id":"ITEM-1","issue":"SITUATION REPORT - 2","issued":{"date-parts":[["2020"]]},"number-of-pages":"1-7","title":"Novel Coronavirus (2019-nCoV) SITUATION REPORT - 2","type":"report","volume":"2"},"uris":["http://www.mendeley.com/documents/?uuid=17bdbef7-090c-46f9-896f-f62d49f8e8cb"]}],"mendeley":{"formattedCitation":"(WHO, 2020f)","manualFormatting":"WHO)","plainTextFormattedCitation":"(WHO, 2020f)","previouslyFormattedCitation":"(WHO, 2020f)"},"properties":{"noteIndex":0},"schema":"https://github.com/citation-style-language/schema/raw/master/csl-citation.json"}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w:t>
      </w:r>
      <w:r w:rsidRPr="009672FC">
        <w:rPr>
          <w:rFonts w:ascii="Garamond" w:hAnsi="Garamond"/>
        </w:rPr>
        <w:fldChar w:fldCharType="end"/>
      </w:r>
      <w:r w:rsidRPr="009672FC">
        <w:rPr>
          <w:rFonts w:ascii="Garamond" w:hAnsi="Garamond"/>
        </w:rPr>
        <w:t xml:space="preserve"> first reported a case of unknown pneumonia-like infection in Wuhan, in the Hubei Province of China in December 2019 </w:t>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{"citationItems":[{"id":"ITEM-1","itemData":{"author":[{"dropping-particle":"","family":"WHO","given":"","non-dropping-particle":"","parse-names":false,"suffix":""}],"container-title":"World Health Organization (WHO)","id":"ITEM-1","issue":"SITUATION REPORT - 1","issued":{"date-parts":[["2020"]]},"number-of-pages":"1-7","title":"Novel Coronavirus","type":"report"},"uris":["http://www.mendeley.com/documents/?uuid=c239175c-750d-4942-bbca-89644cbf8747"]}],"mendeley":{"formattedCitation":"(WHO, 2020c)","plainTextFormattedCitation":"(WHO, 2020c)","previouslyFormattedCitation":"(WHO, 2020c)"},"properties":{"noteIndex":0},"schema":"https://github.com/citation-style-language/schema/raw/master/csl-citation.json"}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 2020c)</w:t>
      </w:r>
      <w:r w:rsidRPr="009672FC">
        <w:rPr>
          <w:rFonts w:ascii="Garamond" w:hAnsi="Garamond"/>
        </w:rPr>
        <w:fldChar w:fldCharType="end"/>
      </w:r>
      <w:r w:rsidRPr="009672FC">
        <w:rPr>
          <w:rFonts w:ascii="Garamond" w:hAnsi="Garamond"/>
        </w:rPr>
        <w:t xml:space="preserve">. The first situation report on the novel coronavirus outlines 282 confirmed cases in four countries including China (278 cases), Thailand (two cases), Japan (one case) and the Republic of Korea (one case) </w:t>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{"citationItems":[{"id":"ITEM-1","itemData":{"author":[{"dropping-particle":"","family":"WHO","given":"","non-dropping-particle":"","parse-names":false,"suffix":""}],"container-title":"World Health Organization","id":"ITEM-1","issue":"SITUATION REPORT - 2","issued":{"date-parts":[["2020"]]},"number-of-pages":"1-7","title":"Novel Coronavirus (2019-nCoV) SITUATION REPORT - 2","type":"report","volume":"2"},"uris":["http://www.mendeley.com/documents/?uuid=17bdbef7-090c-46f9-896f-f62d49f8e8cb"]}],"mendeley":{"formattedCitation":"(WHO, 2020f)","plainTextFormattedCitation":"(WHO, 2020f)","previouslyFormattedCitation":"(WHO, 2020f)"},"properties":{"noteIndex":0},"schema":"https://github.com/citation-style-language/schema/raw/master/csl-citation.json"}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 2020f)</w:t>
      </w:r>
      <w:r w:rsidRPr="009672FC">
        <w:rPr>
          <w:rFonts w:ascii="Garamond" w:hAnsi="Garamond"/>
        </w:rPr>
        <w:fldChar w:fldCharType="end"/>
      </w:r>
      <w:r w:rsidRPr="009672FC">
        <w:rPr>
          <w:rFonts w:ascii="Garamond" w:hAnsi="Garamond"/>
        </w:rPr>
        <w:t>. By the 30</w:t>
      </w:r>
      <w:r w:rsidRPr="009672FC">
        <w:rPr>
          <w:rFonts w:ascii="Garamond" w:hAnsi="Garamond"/>
          <w:vertAlign w:val="superscript"/>
        </w:rPr>
        <w:t>th</w:t>
      </w:r>
      <w:r w:rsidRPr="009672FC">
        <w:rPr>
          <w:rFonts w:ascii="Garamond" w:hAnsi="Garamond"/>
        </w:rPr>
        <w:t xml:space="preserve"> of January 2020, the novel coronavirus quickly spread to the rest of the world, </w:t>
      </w:r>
      <w:r w:rsidRPr="009672FC">
        <w:rPr>
          <w:rFonts w:ascii="Garamond" w:hAnsi="Garamond"/>
        </w:rPr>
        <w:lastRenderedPageBreak/>
        <w:t xml:space="preserve">and the public health emergency was declared by the WHO </w:t>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{"citationItems":[{"id":"ITEM-1","itemData":{"author":[{"dropping-particle":"","family":"WHO","given":"","non-dropping-particle":"","parse-names":false,"suffix":""}],"id":"ITEM-1","issued":{"date-parts":[["2020"]]},"number-of-pages":"1-7","title":"COVID 19 Public Health Emergency of International Concern (PHEIC)","type":"report"},"uris":["http://www.mendeley.com/documents/?uuid=9ac1e067-678c-473c-97c5-a7c4c78cc58b"]}],"mendeley":{"formattedCitation":"(WHO, 2020b)","plainTextFormattedCitation":"(WHO, 2020b)","previouslyFormattedCitation":"(WHO, 2020b)"},"properties":{"noteIndex":0},"schema":"https://github.com/citation-style-language/schema/raw/master/csl-citation.json"}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 2020b)</w:t>
      </w:r>
      <w:r w:rsidRPr="009672FC">
        <w:rPr>
          <w:rFonts w:ascii="Garamond" w:hAnsi="Garamond"/>
        </w:rPr>
        <w:fldChar w:fldCharType="end"/>
      </w:r>
      <w:r w:rsidRPr="009672FC">
        <w:rPr>
          <w:rFonts w:ascii="Garamond" w:hAnsi="Garamond"/>
        </w:rPr>
        <w:t xml:space="preserve">. By the end of February 2020, WHO declared COVID-19 as a global pandemic </w:t>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{"citationItems":[{"id":"ITEM-1","itemData":{"author":[{"dropping-particle":"","family":"WHO","given":"","non-dropping-particle":"","parse-names":false,"suffix":""}],"container-title":"World Health Organization (WHO)","id":"ITEM-1","issue":"SITUATION REPORT - 3","issued":{"date-parts":[["2020"]]},"number-of-pages":"1-7","title":"Novel Coronavirus","type":"report"},"uris":["http://www.mendeley.com/documents/?uuid=4bc8d552-4792-41cc-b8da-fac4cbb0b92e"]}],"mendeley":{"formattedCitation":"(WHO, 2020d)","manualFormatting":"(WHO, 2020,b,","plainTextFormattedCitation":"(WHO, 2020d)","previouslyFormattedCitation":"(WHO, 2020d)"},"properties":{"noteIndex":0},"schema":"https://github.com/citation-style-language/schema/raw/master/csl-citation.json"}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(WHO, 2020,b,</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{"citationItems":[{"id":"ITEM-1","itemData":{"author":[{"dropping-particle":"","family":"WHO","given":"","non-dropping-particle":"","parse-names":false,"suffix":""}],"container-title":"World Health Organization (WHO)","id":"ITEM-1","issue":"SITUATION REPORT - 5","issued":{"date-parts":[["2020"]]},"number-of-pages":"1-7","title":"Novel Coronavirus","type":"report"},"uris":["http://www.mendeley.com/documents/?uuid=ec5d0f6f-909a-45d0-9974-fbe50ecedd5a"]}],"mendeley":{"formattedCitation":"(WHO, 2020e)","manualFormatting":"d,","plainTextFormattedCitation":"(WHO, 2020e)","previouslyFormattedCitation":"(WHO, 2020e)"},"properties":{"noteIndex":0},"schema":"https://github.com/citation-style-language/schema/raw/master/csl-citation.json"}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{"citationItems":[{"id":"ITEM-1","itemData":{"author":[{"dropping-particle":"","family":"WHO","given":"","non-dropping-particle":"","parse-names":false,"suffix":""}],"id":"ITEM-1","issued":{"date-parts":[["2020"]]},"number-of-pages":"1-7","title":"COVID 19 Public Health Emergency of International Concern (PHEIC)","type":"report"},"uris":["http://www.mendeley.com/documents/?uuid=9ac1e067-678c-473c-97c5-a7c4c78cc58b"]}],"mendeley":{"formattedCitation":"(WHO, 2020b)","manualFormatting":"e)","plainTextFormattedCitation":"(WHO, 2020b)","previouslyFormattedCitation":"(WHO, 2020b)"},"properties":{"noteIndex":0},"schema":"https://github.com/citation-style-language/schema/raw/master/csl-citation.json"}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w:t>
      </w:r>
      <w:r w:rsidRPr="009672FC">
        <w:rPr>
          <w:rFonts w:ascii="Garamond" w:hAnsi="Garamond"/>
        </w:rPr>
        <w:fldChar w:fldCharType="end"/>
      </w:r>
      <w:r w:rsidRPr="009672FC">
        <w:rPr>
          <w:rFonts w:ascii="Garamond" w:hAnsi="Garamond"/>
        </w:rPr>
        <w:t xml:space="preserve">, claiming more than 500 thousand deaths (see table 10), with unprecedented negative effects on the global economy. </w:t>
      </w:r>
    </w:p>
    <w:p w14:paraId="123E85AB" w14:textId="443DAFFA" w:rsidR="003D5DE8" w:rsidRPr="00BC16AE" w:rsidRDefault="00EB5D6B" w:rsidP="00BC16AE">
      <w:pPr>
        <w:pStyle w:val="Caption"/>
        <w:jc w:val="center"/>
        <w:rPr>
          <w:rFonts w:ascii="Garamond" w:hAnsi="Garamond"/>
          <w:sz w:val="22"/>
          <w:szCs w:val="22"/>
        </w:rPr>
      </w:pPr>
      <w:bookmarkStart w:id="215" w:name="_Toc85711319"/>
      <w:r w:rsidRPr="00BC16AE">
        <w:rPr>
          <w:rFonts w:ascii="Garamond" w:hAnsi="Garamond"/>
          <w:sz w:val="22"/>
          <w:szCs w:val="22"/>
        </w:rPr>
        <w:t xml:space="preserve">Table </w:t>
      </w:r>
      <w:r w:rsidR="00C10BC3" w:rsidRPr="00BC16AE">
        <w:rPr>
          <w:rFonts w:ascii="Garamond" w:hAnsi="Garamond"/>
          <w:sz w:val="22"/>
          <w:szCs w:val="22"/>
        </w:rPr>
        <w:fldChar w:fldCharType="begin"/>
      </w:r>
      <w:r w:rsidR="00C10BC3" w:rsidRPr="00BC16AE">
        <w:rPr>
          <w:rFonts w:ascii="Garamond" w:hAnsi="Garamond"/>
          <w:sz w:val="22"/>
          <w:szCs w:val="22"/>
        </w:rPr>
        <w:instrText xml:space="preserve"> SEQ Table \* ARABIC </w:instrText>
      </w:r>
      <w:r w:rsidR="00C10BC3" w:rsidRPr="00BC16AE">
        <w:rPr>
          <w:rFonts w:ascii="Garamond" w:hAnsi="Garamond"/>
          <w:sz w:val="22"/>
          <w:szCs w:val="22"/>
        </w:rPr>
        <w:fldChar w:fldCharType="separate"/>
      </w:r>
      <w:r w:rsidR="001C1648">
        <w:rPr>
          <w:rFonts w:ascii="Garamond" w:hAnsi="Garamond"/>
          <w:noProof/>
          <w:sz w:val="22"/>
          <w:szCs w:val="22"/>
        </w:rPr>
        <w:t>12</w:t>
      </w:r>
      <w:r w:rsidR="00C10BC3" w:rsidRPr="00BC16AE">
        <w:rPr>
          <w:rFonts w:ascii="Garamond" w:hAnsi="Garamond"/>
          <w:noProof/>
          <w:sz w:val="22"/>
          <w:szCs w:val="22"/>
        </w:rPr>
        <w:fldChar w:fldCharType="end"/>
      </w:r>
      <w:r w:rsidRPr="00BC16AE">
        <w:rPr>
          <w:rFonts w:ascii="Garamond" w:hAnsi="Garamond"/>
          <w:sz w:val="22"/>
          <w:szCs w:val="22"/>
        </w:rPr>
        <w:t xml:space="preserve">. Global Deaths and New infections </w:t>
      </w:r>
      <w:proofErr w:type="gramStart"/>
      <w:r w:rsidRPr="00BC16AE">
        <w:rPr>
          <w:rFonts w:ascii="Garamond" w:hAnsi="Garamond"/>
          <w:sz w:val="22"/>
          <w:szCs w:val="22"/>
        </w:rPr>
        <w:t>Counts</w:t>
      </w:r>
      <w:proofErr w:type="gramEnd"/>
      <w:r w:rsidRPr="00BC16AE">
        <w:rPr>
          <w:rFonts w:ascii="Garamond" w:hAnsi="Garamond"/>
          <w:sz w:val="22"/>
          <w:szCs w:val="22"/>
        </w:rPr>
        <w:t xml:space="preserve"> (WHO, f, 2020)</w:t>
      </w:r>
      <w:bookmarkEnd w:id="215"/>
    </w:p>
    <w:tbl>
      <w:tblPr>
        <w:tblStyle w:val="TableGrid"/>
        <w:tblW w:w="8660" w:type="dxa"/>
        <w:tblLayout w:type="fixed"/>
        <w:tblLook w:val="04A0" w:firstRow="1" w:lastRow="0" w:firstColumn="1" w:lastColumn="0" w:noHBand="0" w:noVBand="1"/>
      </w:tblPr>
      <w:tblGrid>
        <w:gridCol w:w="2886"/>
        <w:gridCol w:w="2887"/>
        <w:gridCol w:w="2887"/>
      </w:tblGrid>
      <w:tr w:rsidR="003D5DE8" w:rsidRPr="009672FC" w14:paraId="23C412F6" w14:textId="77777777" w:rsidTr="00890FB2">
        <w:trPr>
          <w:trHeight w:val="286"/>
        </w:trPr>
        <w:tc>
          <w:tcPr>
            <w:tcW w:w="2886" w:type="dxa"/>
            <w:tcBorders>
              <w:left w:val="nil"/>
              <w:right w:val="nil"/>
            </w:tcBorders>
            <w:shd w:val="clear" w:color="auto" w:fill="F2F2F2" w:themeFill="background1" w:themeFillShade="F2"/>
          </w:tcPr>
          <w:p w14:paraId="039AB96E" w14:textId="77777777" w:rsidR="003D5DE8" w:rsidRPr="009672FC" w:rsidRDefault="007549AA" w:rsidP="00890FB2">
            <w:pPr>
              <w:spacing w:line="360" w:lineRule="auto"/>
              <w:jc w:val="both"/>
              <w:rPr>
                <w:rFonts w:ascii="Garamond" w:hAnsi="Garamond"/>
              </w:rPr>
            </w:pPr>
            <w:r w:rsidRPr="009672FC">
              <w:rPr>
                <w:rFonts w:ascii="Garamond" w:hAnsi="Garamond"/>
              </w:rPr>
              <w:t>Globally</w:t>
            </w:r>
          </w:p>
        </w:tc>
        <w:tc>
          <w:tcPr>
            <w:tcW w:w="2887" w:type="dxa"/>
            <w:tcBorders>
              <w:left w:val="nil"/>
              <w:right w:val="nil"/>
            </w:tcBorders>
            <w:shd w:val="clear" w:color="auto" w:fill="F2F2F2" w:themeFill="background1" w:themeFillShade="F2"/>
          </w:tcPr>
          <w:p w14:paraId="61C86F4D" w14:textId="77777777" w:rsidR="003D5DE8" w:rsidRPr="009672FC" w:rsidRDefault="007549AA" w:rsidP="00890FB2">
            <w:pPr>
              <w:spacing w:line="360" w:lineRule="auto"/>
              <w:jc w:val="both"/>
              <w:rPr>
                <w:rFonts w:ascii="Garamond" w:hAnsi="Garamond"/>
              </w:rPr>
            </w:pPr>
            <w:r w:rsidRPr="009672FC">
              <w:rPr>
                <w:rFonts w:ascii="Garamond" w:hAnsi="Garamond"/>
              </w:rPr>
              <w:t>12 964 809 cases (196,775)</w:t>
            </w:r>
          </w:p>
        </w:tc>
        <w:tc>
          <w:tcPr>
            <w:tcW w:w="2887" w:type="dxa"/>
            <w:tcBorders>
              <w:left w:val="nil"/>
              <w:right w:val="nil"/>
            </w:tcBorders>
            <w:shd w:val="clear" w:color="auto" w:fill="F2F2F2" w:themeFill="background1" w:themeFillShade="F2"/>
          </w:tcPr>
          <w:p w14:paraId="6162BB9B" w14:textId="77777777" w:rsidR="003D5DE8" w:rsidRPr="009672FC" w:rsidRDefault="007549AA" w:rsidP="00890FB2">
            <w:pPr>
              <w:spacing w:line="360" w:lineRule="auto"/>
              <w:jc w:val="both"/>
              <w:rPr>
                <w:rFonts w:ascii="Garamond" w:hAnsi="Garamond"/>
              </w:rPr>
            </w:pPr>
            <w:r w:rsidRPr="009672FC">
              <w:rPr>
                <w:rFonts w:ascii="Garamond" w:hAnsi="Garamond"/>
              </w:rPr>
              <w:t>570 288 deaths (3 634)</w:t>
            </w:r>
          </w:p>
        </w:tc>
      </w:tr>
      <w:tr w:rsidR="003D5DE8" w:rsidRPr="009672FC" w14:paraId="2EF0AD95" w14:textId="77777777" w:rsidTr="00890FB2">
        <w:trPr>
          <w:trHeight w:val="276"/>
        </w:trPr>
        <w:tc>
          <w:tcPr>
            <w:tcW w:w="2886" w:type="dxa"/>
            <w:tcBorders>
              <w:left w:val="nil"/>
              <w:bottom w:val="nil"/>
              <w:right w:val="nil"/>
            </w:tcBorders>
          </w:tcPr>
          <w:p w14:paraId="34181F31" w14:textId="77777777" w:rsidR="003D5DE8" w:rsidRPr="009672FC" w:rsidRDefault="007549AA" w:rsidP="00890FB2">
            <w:pPr>
              <w:spacing w:line="360" w:lineRule="auto"/>
              <w:jc w:val="both"/>
              <w:rPr>
                <w:rFonts w:ascii="Garamond" w:hAnsi="Garamond"/>
              </w:rPr>
            </w:pPr>
            <w:r w:rsidRPr="009672FC">
              <w:rPr>
                <w:rFonts w:ascii="Garamond" w:hAnsi="Garamond"/>
              </w:rPr>
              <w:t>Africa</w:t>
            </w:r>
          </w:p>
        </w:tc>
        <w:tc>
          <w:tcPr>
            <w:tcW w:w="2887" w:type="dxa"/>
            <w:tcBorders>
              <w:left w:val="nil"/>
              <w:bottom w:val="nil"/>
              <w:right w:val="nil"/>
            </w:tcBorders>
          </w:tcPr>
          <w:p w14:paraId="1C715AA4" w14:textId="77777777" w:rsidR="003D5DE8" w:rsidRPr="009672FC" w:rsidRDefault="007549AA" w:rsidP="00890FB2">
            <w:pPr>
              <w:spacing w:line="360" w:lineRule="auto"/>
              <w:jc w:val="both"/>
              <w:rPr>
                <w:rFonts w:ascii="Garamond" w:hAnsi="Garamond"/>
              </w:rPr>
            </w:pPr>
            <w:r w:rsidRPr="009672FC">
              <w:rPr>
                <w:rFonts w:ascii="Garamond" w:hAnsi="Garamond"/>
              </w:rPr>
              <w:t>492 660 cases (15 085)</w:t>
            </w:r>
          </w:p>
        </w:tc>
        <w:tc>
          <w:tcPr>
            <w:tcW w:w="2887" w:type="dxa"/>
            <w:tcBorders>
              <w:left w:val="nil"/>
              <w:bottom w:val="nil"/>
              <w:right w:val="nil"/>
            </w:tcBorders>
          </w:tcPr>
          <w:p w14:paraId="43AF1620" w14:textId="77777777" w:rsidR="003D5DE8" w:rsidRPr="009672FC" w:rsidRDefault="007549AA" w:rsidP="00890FB2">
            <w:pPr>
              <w:spacing w:line="360" w:lineRule="auto"/>
              <w:jc w:val="both"/>
              <w:rPr>
                <w:rFonts w:ascii="Garamond" w:hAnsi="Garamond"/>
              </w:rPr>
            </w:pPr>
            <w:r w:rsidRPr="009672FC">
              <w:rPr>
                <w:rFonts w:ascii="Garamond" w:hAnsi="Garamond"/>
              </w:rPr>
              <w:t>8 430 deaths (177)</w:t>
            </w:r>
          </w:p>
        </w:tc>
      </w:tr>
      <w:tr w:rsidR="003D5DE8" w:rsidRPr="009672FC" w14:paraId="15C036AB" w14:textId="77777777" w:rsidTr="00890FB2">
        <w:trPr>
          <w:trHeight w:val="286"/>
        </w:trPr>
        <w:tc>
          <w:tcPr>
            <w:tcW w:w="2886" w:type="dxa"/>
            <w:tcBorders>
              <w:top w:val="nil"/>
              <w:left w:val="nil"/>
              <w:bottom w:val="nil"/>
              <w:right w:val="nil"/>
            </w:tcBorders>
          </w:tcPr>
          <w:p w14:paraId="623FEC71" w14:textId="77777777" w:rsidR="003D5DE8" w:rsidRPr="009672FC" w:rsidRDefault="007549AA" w:rsidP="00890FB2">
            <w:pPr>
              <w:spacing w:line="360" w:lineRule="auto"/>
              <w:jc w:val="both"/>
              <w:rPr>
                <w:rFonts w:ascii="Garamond" w:hAnsi="Garamond"/>
              </w:rPr>
            </w:pPr>
            <w:r w:rsidRPr="009672FC">
              <w:rPr>
                <w:rFonts w:ascii="Garamond" w:hAnsi="Garamond"/>
              </w:rPr>
              <w:t>Americas</w:t>
            </w:r>
          </w:p>
        </w:tc>
        <w:tc>
          <w:tcPr>
            <w:tcW w:w="2887" w:type="dxa"/>
            <w:tcBorders>
              <w:top w:val="nil"/>
              <w:left w:val="nil"/>
              <w:bottom w:val="nil"/>
              <w:right w:val="nil"/>
            </w:tcBorders>
          </w:tcPr>
          <w:p w14:paraId="495E978C" w14:textId="77777777" w:rsidR="003D5DE8" w:rsidRPr="009672FC" w:rsidRDefault="007549AA" w:rsidP="00890FB2">
            <w:pPr>
              <w:spacing w:line="360" w:lineRule="auto"/>
              <w:jc w:val="both"/>
              <w:rPr>
                <w:rFonts w:ascii="Garamond" w:hAnsi="Garamond"/>
              </w:rPr>
            </w:pPr>
            <w:r w:rsidRPr="009672FC">
              <w:rPr>
                <w:rFonts w:ascii="Garamond" w:hAnsi="Garamond"/>
              </w:rPr>
              <w:t>6 780 428 cases (110 549)</w:t>
            </w:r>
          </w:p>
        </w:tc>
        <w:tc>
          <w:tcPr>
            <w:tcW w:w="2887" w:type="dxa"/>
            <w:tcBorders>
              <w:top w:val="nil"/>
              <w:left w:val="nil"/>
              <w:bottom w:val="nil"/>
              <w:right w:val="nil"/>
            </w:tcBorders>
          </w:tcPr>
          <w:p w14:paraId="4CE8B04C" w14:textId="77777777" w:rsidR="003D5DE8" w:rsidRPr="009672FC" w:rsidRDefault="007549AA" w:rsidP="00890FB2">
            <w:pPr>
              <w:spacing w:line="360" w:lineRule="auto"/>
              <w:jc w:val="both"/>
              <w:rPr>
                <w:rFonts w:ascii="Garamond" w:hAnsi="Garamond"/>
              </w:rPr>
            </w:pPr>
            <w:r w:rsidRPr="009672FC">
              <w:rPr>
                <w:rFonts w:ascii="Garamond" w:hAnsi="Garamond"/>
              </w:rPr>
              <w:t>288 430 deaths (1 853)</w:t>
            </w:r>
          </w:p>
        </w:tc>
      </w:tr>
      <w:tr w:rsidR="003D5DE8" w:rsidRPr="009672FC" w14:paraId="13AA290D" w14:textId="77777777" w:rsidTr="00890FB2">
        <w:trPr>
          <w:trHeight w:val="286"/>
        </w:trPr>
        <w:tc>
          <w:tcPr>
            <w:tcW w:w="2886" w:type="dxa"/>
            <w:tcBorders>
              <w:top w:val="nil"/>
              <w:left w:val="nil"/>
              <w:bottom w:val="nil"/>
              <w:right w:val="nil"/>
            </w:tcBorders>
          </w:tcPr>
          <w:p w14:paraId="09FDF68C" w14:textId="77777777" w:rsidR="003D5DE8" w:rsidRPr="009672FC" w:rsidRDefault="007549AA" w:rsidP="00890FB2">
            <w:pPr>
              <w:spacing w:line="360" w:lineRule="auto"/>
              <w:jc w:val="both"/>
              <w:rPr>
                <w:rFonts w:ascii="Garamond" w:hAnsi="Garamond"/>
              </w:rPr>
            </w:pPr>
            <w:r w:rsidRPr="009672FC">
              <w:rPr>
                <w:rFonts w:ascii="Garamond" w:hAnsi="Garamond"/>
              </w:rPr>
              <w:t>Eastern Mediterranean</w:t>
            </w:r>
          </w:p>
        </w:tc>
        <w:tc>
          <w:tcPr>
            <w:tcW w:w="2887" w:type="dxa"/>
            <w:tcBorders>
              <w:top w:val="nil"/>
              <w:left w:val="nil"/>
              <w:bottom w:val="nil"/>
              <w:right w:val="nil"/>
            </w:tcBorders>
          </w:tcPr>
          <w:p w14:paraId="6EE803B7" w14:textId="77777777" w:rsidR="003D5DE8" w:rsidRPr="009672FC" w:rsidRDefault="007549AA" w:rsidP="00890FB2">
            <w:pPr>
              <w:spacing w:line="360" w:lineRule="auto"/>
              <w:jc w:val="both"/>
              <w:rPr>
                <w:rFonts w:ascii="Garamond" w:hAnsi="Garamond"/>
              </w:rPr>
            </w:pPr>
            <w:r w:rsidRPr="009672FC">
              <w:rPr>
                <w:rFonts w:ascii="Garamond" w:hAnsi="Garamond"/>
              </w:rPr>
              <w:t>1 302 297 cases (15 646)</w:t>
            </w:r>
          </w:p>
        </w:tc>
        <w:tc>
          <w:tcPr>
            <w:tcW w:w="2887" w:type="dxa"/>
            <w:tcBorders>
              <w:top w:val="nil"/>
              <w:left w:val="nil"/>
              <w:bottom w:val="nil"/>
              <w:right w:val="nil"/>
            </w:tcBorders>
          </w:tcPr>
          <w:p w14:paraId="55E37FC9" w14:textId="77777777" w:rsidR="003D5DE8" w:rsidRPr="009672FC" w:rsidRDefault="007549AA" w:rsidP="00890FB2">
            <w:pPr>
              <w:spacing w:line="360" w:lineRule="auto"/>
              <w:jc w:val="both"/>
              <w:rPr>
                <w:rFonts w:ascii="Garamond" w:hAnsi="Garamond"/>
              </w:rPr>
            </w:pPr>
            <w:r w:rsidRPr="009672FC">
              <w:rPr>
                <w:rFonts w:ascii="Garamond" w:hAnsi="Garamond"/>
              </w:rPr>
              <w:t>31 751 deaths (523)</w:t>
            </w:r>
          </w:p>
        </w:tc>
      </w:tr>
      <w:tr w:rsidR="003D5DE8" w:rsidRPr="009672FC" w14:paraId="377EB941" w14:textId="77777777" w:rsidTr="00890FB2">
        <w:trPr>
          <w:trHeight w:val="276"/>
        </w:trPr>
        <w:tc>
          <w:tcPr>
            <w:tcW w:w="2886" w:type="dxa"/>
            <w:tcBorders>
              <w:top w:val="nil"/>
              <w:left w:val="nil"/>
              <w:bottom w:val="nil"/>
              <w:right w:val="nil"/>
            </w:tcBorders>
          </w:tcPr>
          <w:p w14:paraId="01F581D6" w14:textId="77777777" w:rsidR="003D5DE8" w:rsidRPr="009672FC" w:rsidRDefault="007549AA" w:rsidP="00890FB2">
            <w:pPr>
              <w:spacing w:line="360" w:lineRule="auto"/>
              <w:jc w:val="both"/>
              <w:rPr>
                <w:rFonts w:ascii="Garamond" w:hAnsi="Garamond"/>
              </w:rPr>
            </w:pPr>
            <w:r w:rsidRPr="009672FC">
              <w:rPr>
                <w:rFonts w:ascii="Garamond" w:hAnsi="Garamond"/>
              </w:rPr>
              <w:t>Europe</w:t>
            </w:r>
          </w:p>
        </w:tc>
        <w:tc>
          <w:tcPr>
            <w:tcW w:w="2887" w:type="dxa"/>
            <w:tcBorders>
              <w:top w:val="nil"/>
              <w:left w:val="nil"/>
              <w:bottom w:val="nil"/>
              <w:right w:val="nil"/>
            </w:tcBorders>
          </w:tcPr>
          <w:p w14:paraId="4282A55D" w14:textId="77777777" w:rsidR="003D5DE8" w:rsidRPr="009672FC" w:rsidRDefault="007549AA" w:rsidP="00890FB2">
            <w:pPr>
              <w:spacing w:line="360" w:lineRule="auto"/>
              <w:jc w:val="both"/>
              <w:rPr>
                <w:rFonts w:ascii="Garamond" w:hAnsi="Garamond"/>
              </w:rPr>
            </w:pPr>
            <w:r w:rsidRPr="009672FC">
              <w:rPr>
                <w:rFonts w:ascii="Garamond" w:hAnsi="Garamond"/>
              </w:rPr>
              <w:t>2 946 104 cases (20 691)</w:t>
            </w:r>
          </w:p>
        </w:tc>
        <w:tc>
          <w:tcPr>
            <w:tcW w:w="2887" w:type="dxa"/>
            <w:tcBorders>
              <w:top w:val="nil"/>
              <w:left w:val="nil"/>
              <w:bottom w:val="nil"/>
              <w:right w:val="nil"/>
            </w:tcBorders>
          </w:tcPr>
          <w:p w14:paraId="290ECA97" w14:textId="77777777" w:rsidR="003D5DE8" w:rsidRPr="009672FC" w:rsidRDefault="007549AA" w:rsidP="00890FB2">
            <w:pPr>
              <w:spacing w:line="360" w:lineRule="auto"/>
              <w:jc w:val="both"/>
              <w:rPr>
                <w:rFonts w:ascii="Garamond" w:hAnsi="Garamond"/>
              </w:rPr>
            </w:pPr>
            <w:r w:rsidRPr="009672FC">
              <w:rPr>
                <w:rFonts w:ascii="Garamond" w:hAnsi="Garamond"/>
              </w:rPr>
              <w:t>203 957 deaths (373)</w:t>
            </w:r>
          </w:p>
        </w:tc>
      </w:tr>
      <w:tr w:rsidR="003D5DE8" w:rsidRPr="009672FC" w14:paraId="59C42C8F" w14:textId="77777777" w:rsidTr="00890FB2">
        <w:trPr>
          <w:trHeight w:val="286"/>
        </w:trPr>
        <w:tc>
          <w:tcPr>
            <w:tcW w:w="2886" w:type="dxa"/>
            <w:tcBorders>
              <w:top w:val="nil"/>
              <w:left w:val="nil"/>
              <w:bottom w:val="nil"/>
              <w:right w:val="nil"/>
            </w:tcBorders>
          </w:tcPr>
          <w:p w14:paraId="1395C783" w14:textId="77777777" w:rsidR="003D5DE8" w:rsidRPr="009672FC" w:rsidRDefault="007549AA" w:rsidP="00890FB2">
            <w:pPr>
              <w:spacing w:line="360" w:lineRule="auto"/>
              <w:jc w:val="both"/>
              <w:rPr>
                <w:rFonts w:ascii="Garamond" w:hAnsi="Garamond"/>
              </w:rPr>
            </w:pPr>
            <w:r w:rsidRPr="009672FC">
              <w:rPr>
                <w:rFonts w:ascii="Garamond" w:hAnsi="Garamond"/>
              </w:rPr>
              <w:t>South-East Asia</w:t>
            </w:r>
          </w:p>
        </w:tc>
        <w:tc>
          <w:tcPr>
            <w:tcW w:w="2887" w:type="dxa"/>
            <w:tcBorders>
              <w:top w:val="nil"/>
              <w:left w:val="nil"/>
              <w:bottom w:val="nil"/>
              <w:right w:val="nil"/>
            </w:tcBorders>
          </w:tcPr>
          <w:p w14:paraId="74139858" w14:textId="77777777" w:rsidR="003D5DE8" w:rsidRPr="009672FC" w:rsidRDefault="007549AA" w:rsidP="00890FB2">
            <w:pPr>
              <w:spacing w:line="360" w:lineRule="auto"/>
              <w:jc w:val="both"/>
              <w:rPr>
                <w:rFonts w:ascii="Garamond" w:hAnsi="Garamond"/>
              </w:rPr>
            </w:pPr>
            <w:r w:rsidRPr="009672FC">
              <w:rPr>
                <w:rFonts w:ascii="Garamond" w:hAnsi="Garamond"/>
              </w:rPr>
              <w:t>1 196 651 cases (33 095)</w:t>
            </w:r>
          </w:p>
        </w:tc>
        <w:tc>
          <w:tcPr>
            <w:tcW w:w="2887" w:type="dxa"/>
            <w:tcBorders>
              <w:top w:val="nil"/>
              <w:left w:val="nil"/>
              <w:bottom w:val="nil"/>
              <w:right w:val="nil"/>
            </w:tcBorders>
          </w:tcPr>
          <w:p w14:paraId="2EC86B2B" w14:textId="77777777" w:rsidR="003D5DE8" w:rsidRPr="009672FC" w:rsidRDefault="007549AA" w:rsidP="00890FB2">
            <w:pPr>
              <w:spacing w:line="360" w:lineRule="auto"/>
              <w:jc w:val="both"/>
              <w:rPr>
                <w:rFonts w:ascii="Garamond" w:hAnsi="Garamond"/>
              </w:rPr>
            </w:pPr>
            <w:r w:rsidRPr="009672FC">
              <w:rPr>
                <w:rFonts w:ascii="Garamond" w:hAnsi="Garamond"/>
              </w:rPr>
              <w:t>29 900 deaths (642)</w:t>
            </w:r>
          </w:p>
        </w:tc>
      </w:tr>
      <w:tr w:rsidR="003D5DE8" w:rsidRPr="009672FC" w14:paraId="29E8015E" w14:textId="77777777" w:rsidTr="00890FB2">
        <w:trPr>
          <w:trHeight w:val="286"/>
        </w:trPr>
        <w:tc>
          <w:tcPr>
            <w:tcW w:w="2886" w:type="dxa"/>
            <w:tcBorders>
              <w:top w:val="nil"/>
              <w:left w:val="nil"/>
              <w:right w:val="nil"/>
            </w:tcBorders>
          </w:tcPr>
          <w:p w14:paraId="55EE3EEB" w14:textId="77777777" w:rsidR="003D5DE8" w:rsidRPr="009672FC" w:rsidRDefault="007549AA" w:rsidP="00890FB2">
            <w:pPr>
              <w:spacing w:line="360" w:lineRule="auto"/>
              <w:jc w:val="both"/>
              <w:rPr>
                <w:rFonts w:ascii="Garamond" w:hAnsi="Garamond"/>
              </w:rPr>
            </w:pPr>
            <w:r w:rsidRPr="009672FC">
              <w:rPr>
                <w:rFonts w:ascii="Garamond" w:hAnsi="Garamond"/>
              </w:rPr>
              <w:t>Western Pacific</w:t>
            </w:r>
          </w:p>
        </w:tc>
        <w:tc>
          <w:tcPr>
            <w:tcW w:w="2887" w:type="dxa"/>
            <w:tcBorders>
              <w:top w:val="nil"/>
              <w:left w:val="nil"/>
              <w:right w:val="nil"/>
            </w:tcBorders>
          </w:tcPr>
          <w:p w14:paraId="2FF09676" w14:textId="77777777" w:rsidR="003D5DE8" w:rsidRPr="009672FC" w:rsidRDefault="007549AA" w:rsidP="00890FB2">
            <w:pPr>
              <w:spacing w:line="360" w:lineRule="auto"/>
              <w:jc w:val="both"/>
              <w:rPr>
                <w:rFonts w:ascii="Garamond" w:hAnsi="Garamond"/>
              </w:rPr>
            </w:pPr>
            <w:r w:rsidRPr="009672FC">
              <w:rPr>
                <w:rFonts w:ascii="Garamond" w:hAnsi="Garamond"/>
              </w:rPr>
              <w:t>245 928 cases (1 709)</w:t>
            </w:r>
          </w:p>
        </w:tc>
        <w:tc>
          <w:tcPr>
            <w:tcW w:w="2887" w:type="dxa"/>
            <w:tcBorders>
              <w:top w:val="nil"/>
              <w:left w:val="nil"/>
              <w:right w:val="nil"/>
            </w:tcBorders>
          </w:tcPr>
          <w:p w14:paraId="3BC90595" w14:textId="77777777" w:rsidR="003D5DE8" w:rsidRPr="009672FC" w:rsidRDefault="007549AA" w:rsidP="00890FB2">
            <w:pPr>
              <w:spacing w:line="360" w:lineRule="auto"/>
              <w:jc w:val="both"/>
              <w:rPr>
                <w:rFonts w:ascii="Garamond" w:hAnsi="Garamond"/>
              </w:rPr>
            </w:pPr>
            <w:r w:rsidRPr="009672FC">
              <w:rPr>
                <w:rFonts w:ascii="Garamond" w:hAnsi="Garamond"/>
              </w:rPr>
              <w:t>7807 deaths (66)</w:t>
            </w:r>
          </w:p>
        </w:tc>
      </w:tr>
    </w:tbl>
    <w:p w14:paraId="44893DA1" w14:textId="54F65517" w:rsidR="003D5DE8" w:rsidRPr="00BC16AE" w:rsidRDefault="007549AA">
      <w:pPr>
        <w:spacing w:line="360" w:lineRule="auto"/>
        <w:jc w:val="center"/>
        <w:rPr>
          <w:rFonts w:ascii="Garamond" w:hAnsi="Garamond"/>
          <w:i/>
          <w:iCs/>
          <w:sz w:val="22"/>
          <w:szCs w:val="22"/>
        </w:rPr>
      </w:pPr>
      <w:r w:rsidRPr="00BC16AE">
        <w:rPr>
          <w:rFonts w:ascii="Garamond" w:hAnsi="Garamond"/>
          <w:i/>
          <w:iCs/>
          <w:sz w:val="22"/>
          <w:szCs w:val="22"/>
        </w:rPr>
        <w:t>Note: Data from WHO situation reports, 2020</w:t>
      </w:r>
    </w:p>
    <w:p w14:paraId="092B28ED" w14:textId="57CDD035" w:rsidR="00890FB2" w:rsidRPr="009672FC" w:rsidRDefault="00890FB2" w:rsidP="00890FB2">
      <w:pPr>
        <w:spacing w:before="240" w:line="360" w:lineRule="auto"/>
        <w:jc w:val="both"/>
        <w:rPr>
          <w:rFonts w:ascii="Garamond" w:hAnsi="Garamond"/>
          <w:sz w:val="21"/>
          <w:szCs w:val="21"/>
          <w:lang w:val="en-GB" w:eastAsia="en-US"/>
        </w:rPr>
      </w:pPr>
      <w:r w:rsidRPr="009672FC">
        <w:rPr>
          <w:rFonts w:ascii="Garamond" w:hAnsi="Garamond"/>
        </w:rPr>
        <w:t>Out of these figures, Europe has recorded more than two million confirmed cases with over a hundred deaths were recorded over the period</w:t>
      </w:r>
      <w:r w:rsidRPr="009672FC">
        <w:rPr>
          <w:rFonts w:ascii="Garamond" w:hAnsi="Garamond"/>
        </w:rPr>
        <w:footnoteReference w:id="9"/>
      </w:r>
      <w:r w:rsidRPr="009672FC">
        <w:rPr>
          <w:rFonts w:ascii="Garamond" w:hAnsi="Garamond"/>
        </w:rPr>
        <w:t>. Out of Europe’s figures, Italy alone has recorded more than two hundred thousand with over thirty-two thousand coronavirus-related deaths</w:t>
      </w:r>
      <w:r w:rsidRPr="009672FC">
        <w:rPr>
          <w:rFonts w:ascii="Garamond" w:hAnsi="Garamond"/>
        </w:rPr>
        <w:footnoteReference w:id="10"/>
      </w:r>
      <w:r w:rsidRPr="009672FC">
        <w:rPr>
          <w:rFonts w:ascii="Garamond" w:hAnsi="Garamond"/>
        </w:rPr>
        <w:t xml:space="preserve">. The unprecedented disruption in the global supply chain caused by the pandemic, further exacerbated by the globally increased demand for PPE, caused an even severe shortage of personal protective equipment (PPE) </w:t>
      </w:r>
      <w:r w:rsidRPr="009672FC">
        <w:rPr>
          <w:rFonts w:ascii="Garamond" w:hAnsi="Garamond"/>
        </w:rPr>
        <w:fldChar w:fldCharType="begin" w:fldLock="1"/>
      </w:r>
      <w:r w:rsidRPr="009672FC">
        <w:rPr>
          <w:rFonts w:ascii="Garamond" w:hAnsi="Garamond"/>
        </w:rPr>
        <w:instrText>ADDIN CSL_CITATION {"citationItems":[{"id":"ITEM-1","itemData":{"DOI":"10.1016/j.ijsu.2020.04.018","ISSN":"17439159","PMID":"32305533","abstract":"The COVID-19 pandemic has resulted in over 4.3 million confirmed cases and over 290,000 deaths globally. It has also sparked fears of an impending economic crisis and recession. Social distancing, self-isolation and travel restrictions have lead to a reduced workforce across all economic sectors and caused many jobs to be lost. Schools have closed down, and the need for commodities and manufactured products has decreased. In contrast, the need for medical supplies has significantly increased. The food sector is also facing increased demand due to panic-buying and stockpiling of food products. In response to this global outbreak, we summarise the socio-economic effects of COVID-19 on individual aspects of the world economy.","author":[{"dropping-particle":"","family":"Nicola","given":"Maria","non-dropping-particle":"","parse-names":false,"suffix":""},{"dropping-particle":"","family":"Alsafi","given":"Zaid","non-dropping-particle":"","parse-names":false,"suffix":""},{"dropping-particle":"","family":"Sohrabi","given":"Catrin","non-dropping-particle":"","parse-names":false,"suffix":""},{"dropping-particle":"","family":"Kerwan","given":"Ahmed","non-dropping-particle":"","parse-names":false,"suffix":""},{"dropping-particle":"","family":"Al-Jabir","given":"Ahmed","non-dropping-particle":"","parse-names":false,"suffix":""},{"dropping-particle":"","family":"Iosifidis","given":"Christos","non-dropping-particle":"","parse-names":false,"suffix":""},{"dropping-particle":"","family":"Agha","given":"Maliha","non-dropping-particle":"","parse-names":false,"suffix":""},{"dropping-particle":"","family":"Agha","given":"Riaz","non-dropping-particle":"","parse-names":false,"suffix":""}],"container-title":"International Journal of Surgery","id":"ITEM-1","issue":"April","issued":{"date-parts":[["2020"]]},"page":"185-193","publisher":"Elsevier","title":"The socio-economic implications of the coronavirus pandemic (COVID-19): A review","type":"article-journal","volume":"78"},"uris":["http://www.mendeley.com/documents/?uuid=2ad4681a-b3ca-495d-a369-ebe80d77cfcb"]}],"mendeley":{"formattedCitation":"(Nicola et al., 2020)","plainTextFormattedCitation":"(Nicola et al., 2020)","previouslyFormattedCitation":"(Nicola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(Nicola et al., 2020)</w:t>
      </w:r>
      <w:r w:rsidRPr="009672FC">
        <w:rPr>
          <w:rFonts w:ascii="Garamond" w:hAnsi="Garamond"/>
        </w:rPr>
        <w:fldChar w:fldCharType="end"/>
      </w:r>
      <w:r w:rsidRPr="009672FC">
        <w:rPr>
          <w:rFonts w:ascii="Garamond" w:hAnsi="Garamond"/>
        </w:rPr>
        <w:t xml:space="preserve">, particularly for Italian frontline healthcare workers </w:t>
      </w:r>
      <w:r w:rsidRPr="009672FC">
        <w:rPr>
          <w:rFonts w:ascii="Garamond" w:hAnsi="Garamond"/>
        </w:rPr>
        <w:fldChar w:fldCharType="begin" w:fldLock="1"/>
      </w:r>
      <w:r w:rsidRPr="009672FC">
        <w:rPr>
          <w:rFonts w:ascii="Garamond" w:hAnsi="Garamond"/>
        </w:rPr>
        <w:instrText>ADDIN CSL_CITATION {"citationItems":[{"id":"ITEM-1","itemData":{"DOI":"10.1016/S2214-109X(20)30110-8","ISSN":"2214109X","PMID":"32199072","author":[{"dropping-particle":"","family":"Lazzerini","given":"Marzia","non-dropping-particle":"","parse-names":false,"suffix":""},{"dropping-particle":"","family":"Putoto","given":"Giovanni","non-dropping-particle":"","parse-names":false,"suffix":""}],"container-title":"The Lancet Global Health","id":"ITEM-1","issue":"5","issued":{"date-parts":[["2020"]]},"page":"e641-e642","publisher":"The Author(s). Published by Elsevier Ltd. This is an Open Access article under the CC BY 4.0 license","title":"COVID-19 in Italy: momentous decisions and many uncertainties","type":"article-journal","volume":"8"},"uris":["http://www.mendeley.com/documents/?uuid=99576017-22b2-469d-ba2c-51b73248738f"]}],"mendeley":{"formattedCitation":"(Lazzerini &amp; Putoto, 2020)","manualFormatting":"(Lazzerini and Putoto, 2020;","plainTextFormattedCitation":"(Lazzerini &amp; Putoto, 2020)","previouslyFormattedCitation":"(Lazzerini &amp; Putoto,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(Lazzerini and Putoto, 2020;</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{"citationItems":[{"id":"ITEM-1","itemData":{"DOI":"DOI: 10.1056/NEJMp2009027","abstract":"Version 1.5 This briefing note summarizes key mental health and psychosocial support (MHPSS) considerations in relation to the 2019 novel coronavirus (COVID-19) outbreak. The brief was last updated February 2020","author":[{"dropping-particle":"","family":"Ranney","given":"Megan L","non-dropping-particle":"","parse-names":false,"suffix":""},{"dropping-particle":"","family":"Griffeth","given":"Valerie","non-dropping-particle":"","parse-names":false,"suffix":""},{"dropping-particle":"","family":"Jha","given":"Ashish K","non-dropping-particle":"","parse-names":false,"suffix":""}],"container-title":"New England Journal of Medicine","id":"ITEM-1","issue":"1","issued":{"date-parts":[["2020"]]},"page":"1-2","title":"Critical Supply Shortages — The Need for Ventilators and Personal Protective Equipment during the Covid-19 Pandemic","type":"article-journal","volume":"41"},"uris":["http://www.mendeley.com/documents/?uuid=58f8a791-d38f-4593-94a3-3551fb254e7b"]}],"mendeley":{"formattedCitation":"(Ranney et al., 2020)","manualFormatting":" Ranney et al., 2020)","plainTextFormattedCitation":"(Ranney et al., 2020)","previouslyFormattedCitation":"(Ranney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Ranney et al., 2020)</w:t>
      </w:r>
      <w:r w:rsidRPr="009672FC">
        <w:rPr>
          <w:rFonts w:ascii="Garamond" w:hAnsi="Garamond"/>
        </w:rPr>
        <w:fldChar w:fldCharType="end"/>
      </w:r>
      <w:r w:rsidRPr="009672FC">
        <w:rPr>
          <w:rFonts w:ascii="Garamond" w:hAnsi="Garamond"/>
        </w:rPr>
        <w:t>.</w:t>
      </w:r>
    </w:p>
    <w:p w14:paraId="600E1218" w14:textId="2DD01C72" w:rsidR="003D5DE8" w:rsidRPr="009672FC" w:rsidRDefault="007549AA" w:rsidP="00890FB2">
      <w:pPr>
        <w:pStyle w:val="Title"/>
        <w:numPr>
          <w:ilvl w:val="1"/>
          <w:numId w:val="12"/>
        </w:numPr>
        <w:spacing w:before="240" w:line="360" w:lineRule="auto"/>
        <w:jc w:val="both"/>
        <w:outlineLvl w:val="1"/>
        <w:rPr>
          <w:rFonts w:ascii="Garamond" w:hAnsi="Garamond" w:cs="Times New Roman"/>
          <w:b/>
          <w:bCs/>
          <w:sz w:val="24"/>
          <w:szCs w:val="24"/>
        </w:rPr>
      </w:pPr>
      <w:r w:rsidRPr="009672FC">
        <w:rPr>
          <w:rFonts w:ascii="Garamond" w:hAnsi="Garamond" w:cs="Times New Roman"/>
          <w:b/>
          <w:bCs/>
        </w:rPr>
        <w:t xml:space="preserve"> </w:t>
      </w:r>
      <w:bookmarkStart w:id="216" w:name="_Toc85708767"/>
      <w:bookmarkStart w:id="217" w:name="_Toc85709781"/>
      <w:r w:rsidRPr="009672FC">
        <w:rPr>
          <w:rFonts w:ascii="Garamond" w:hAnsi="Garamond" w:cs="Times New Roman"/>
          <w:b/>
          <w:bCs/>
          <w:sz w:val="24"/>
          <w:szCs w:val="24"/>
        </w:rPr>
        <w:t>Literature Review</w:t>
      </w:r>
      <w:bookmarkEnd w:id="216"/>
      <w:bookmarkEnd w:id="217"/>
    </w:p>
    <w:p w14:paraId="16D8FCEF" w14:textId="7DD0AD1F" w:rsidR="003D5DE8" w:rsidRPr="009672FC" w:rsidRDefault="007549AA" w:rsidP="00890FB2">
      <w:pPr>
        <w:pStyle w:val="Title"/>
        <w:numPr>
          <w:ilvl w:val="2"/>
          <w:numId w:val="12"/>
        </w:numPr>
        <w:spacing w:before="240" w:line="360" w:lineRule="auto"/>
        <w:jc w:val="both"/>
        <w:outlineLvl w:val="2"/>
        <w:rPr>
          <w:rFonts w:ascii="Garamond" w:hAnsi="Garamond" w:cs="Times New Roman"/>
          <w:b/>
          <w:bCs/>
          <w:sz w:val="24"/>
          <w:szCs w:val="24"/>
        </w:rPr>
      </w:pPr>
      <w:bookmarkStart w:id="218" w:name="_Toc85708768"/>
      <w:bookmarkStart w:id="219" w:name="_Toc85709782"/>
      <w:r w:rsidRPr="009672FC">
        <w:rPr>
          <w:rFonts w:ascii="Garamond" w:hAnsi="Garamond" w:cs="Times New Roman"/>
          <w:b/>
          <w:bCs/>
          <w:i/>
          <w:iCs/>
          <w:sz w:val="24"/>
          <w:szCs w:val="24"/>
        </w:rPr>
        <w:t>Theories Explaining Inter-Organizational Relationships</w:t>
      </w:r>
      <w:bookmarkEnd w:id="218"/>
      <w:bookmarkEnd w:id="219"/>
    </w:p>
    <w:p w14:paraId="1CF41E5B" w14:textId="27D84960" w:rsidR="00890FB2" w:rsidRPr="009672FC" w:rsidRDefault="007549AA">
      <w:pPr>
        <w:spacing w:line="360" w:lineRule="auto"/>
        <w:jc w:val="both"/>
        <w:rPr>
          <w:rFonts w:ascii="Garamond" w:hAnsi="Garamond"/>
          <w:lang w:eastAsia="it-IT"/>
        </w:rPr>
      </w:pPr>
      <w:r w:rsidRPr="009672FC">
        <w:rPr>
          <w:rFonts w:ascii="Garamond" w:hAnsi="Garamond"/>
        </w:rPr>
        <w:t xml:space="preserve">This paragraph presents some theories that could be useful to explain inter-organizational relationships:  the Transaction Cost Economic Theory (TCT) (Coase 1937; Williamson 1975), the Resource Dependence Theory (RDT) (Pfeffer and </w:t>
      </w:r>
      <w:proofErr w:type="spellStart"/>
      <w:r w:rsidRPr="009672FC">
        <w:rPr>
          <w:rFonts w:ascii="Garamond" w:hAnsi="Garamond"/>
        </w:rPr>
        <w:t>Salancik</w:t>
      </w:r>
      <w:proofErr w:type="spellEnd"/>
      <w:r w:rsidRPr="009672FC">
        <w:rPr>
          <w:rFonts w:ascii="Garamond" w:hAnsi="Garamond"/>
        </w:rPr>
        <w:t xml:space="preserve"> 2003), and the New Institutional Theory (Powell and DiMaggio 1983). </w:t>
      </w:r>
      <w:r w:rsidRPr="009672FC">
        <w:rPr>
          <w:rFonts w:ascii="Garamond" w:hAnsi="Garamond"/>
          <w:lang w:eastAsia="it-IT"/>
        </w:rPr>
        <w:t xml:space="preserve">These three theories are often considered complementary in literature. Transaction Cost Theory (TCT) sees firms and markets as two alternative governance structures, each with different transactions costs. TCT refers to the initial work of Commons </w:t>
      </w:r>
      <w:r w:rsidRPr="009672FC">
        <w:rPr>
          <w:rFonts w:ascii="Garamond" w:hAnsi="Garamond"/>
          <w:lang w:eastAsia="it-IT"/>
        </w:rPr>
        <w:lastRenderedPageBreak/>
        <w:t xml:space="preserve">(1934) and Coase (1937). However, it only gained relevance in the 1980s, thanks to the original work of Williamson, who adopted </w:t>
      </w:r>
      <w:r w:rsidR="00813D37" w:rsidRPr="009672FC">
        <w:rPr>
          <w:rFonts w:ascii="Garamond" w:hAnsi="Garamond"/>
          <w:lang w:eastAsia="it-IT"/>
        </w:rPr>
        <w:t xml:space="preserve">the </w:t>
      </w:r>
      <w:r w:rsidRPr="009672FC">
        <w:rPr>
          <w:rFonts w:ascii="Garamond" w:hAnsi="Garamond"/>
          <w:lang w:eastAsia="it-IT"/>
        </w:rPr>
        <w:t xml:space="preserve">microeconomics approach in direct opposition to the traditional view of the firm in neoclassical theory. The thinking of Williamson (1975; 1979; 1981; 1985) was influenced by many of the authors that preceded him, in particular, Coase. Coase (1937) identified the market costs of use, defining two key conceptual categories: the market exchange and the firm’s internal transactions. Once the need to develop specific transactions has been established, these can be governed either by the market or the hierarchy. </w:t>
      </w:r>
    </w:p>
    <w:p w14:paraId="1D6C2AFA" w14:textId="2F83B19B" w:rsidR="003D5DE8" w:rsidRPr="009672FC" w:rsidRDefault="007549AA" w:rsidP="00890FB2">
      <w:pPr>
        <w:spacing w:before="240" w:line="360" w:lineRule="auto"/>
        <w:jc w:val="both"/>
        <w:rPr>
          <w:rFonts w:ascii="Garamond" w:hAnsi="Garamond"/>
          <w:b/>
          <w:bCs/>
        </w:rPr>
      </w:pPr>
      <w:r w:rsidRPr="009672FC">
        <w:rPr>
          <w:rFonts w:ascii="Garamond" w:hAnsi="Garamond"/>
          <w:lang w:eastAsia="it-IT"/>
        </w:rPr>
        <w:t>In his historical contribution of 1975, Williamson indicates which factors make the market an inefficient mechanism for governing the transactions, thus making it cheaper to use the hierarchy. Indeed, the market does not always function in a predictable, linear way, and three factors lead to unforeseeable costs: bounded rationality, information asymmetries, and opportunistic behavio</w:t>
      </w:r>
      <w:r w:rsidR="00813D37" w:rsidRPr="009672FC">
        <w:rPr>
          <w:rFonts w:ascii="Garamond" w:hAnsi="Garamond"/>
          <w:lang w:eastAsia="it-IT"/>
        </w:rPr>
        <w:t>u</w:t>
      </w:r>
      <w:r w:rsidRPr="009672FC">
        <w:rPr>
          <w:rFonts w:ascii="Garamond" w:hAnsi="Garamond"/>
          <w:lang w:eastAsia="it-IT"/>
        </w:rPr>
        <w:t>r potential. As a result, these costs are called </w:t>
      </w:r>
      <w:r w:rsidRPr="009672FC">
        <w:rPr>
          <w:rFonts w:ascii="Garamond" w:hAnsi="Garamond"/>
          <w:i/>
          <w:iCs/>
          <w:color w:val="0E101A"/>
          <w:lang w:eastAsia="it-IT"/>
        </w:rPr>
        <w:t>“market use costs”</w:t>
      </w:r>
      <w:r w:rsidRPr="009672FC">
        <w:rPr>
          <w:rFonts w:ascii="Garamond" w:hAnsi="Garamond"/>
          <w:lang w:eastAsia="it-IT"/>
        </w:rPr>
        <w:t> and cover the expenses inherent in searching and getting information for the best supplier/partner/customer, the cost of establishing a contract, and the costs of monitoring and enforcing the implementation of the contract. In some cases, these costs can escalate to such an extent it is more economical to switch to other forms of transaction governance (Milgrom, Roberts, 1992; Williamson, 1975). When the operations are performed in compliance with a mutual agreement, the transaction takes on the form of a contract (explicit or implicit, complete or incomplete) that regulates its execution. </w:t>
      </w:r>
      <w:r w:rsidRPr="009672FC">
        <w:rPr>
          <w:rFonts w:ascii="Garamond" w:hAnsi="Garamond"/>
        </w:rPr>
        <w:t>The alternative to the market is the internal organization (very often hierarchical). In conditions of uncertainty, targeted investments, and a high rate of transactions, the internal organization replaces the market. Employee relations are regulated according to the hierarchical principle, the employment contract and through mechanisms of organizational influence.</w:t>
      </w:r>
    </w:p>
    <w:p w14:paraId="59B97D9A" w14:textId="77777777" w:rsidR="003D5DE8" w:rsidRPr="009672FC" w:rsidRDefault="007549AA" w:rsidP="00890FB2">
      <w:pPr>
        <w:spacing w:before="240" w:line="360" w:lineRule="auto"/>
        <w:jc w:val="both"/>
        <w:rPr>
          <w:rFonts w:ascii="Garamond" w:hAnsi="Garamond"/>
          <w:b/>
          <w:bCs/>
        </w:rPr>
      </w:pPr>
      <w:r w:rsidRPr="009672FC">
        <w:rPr>
          <w:rFonts w:ascii="Garamond" w:hAnsi="Garamond"/>
          <w:color w:val="0E101A"/>
          <w:lang w:eastAsia="it-IT"/>
        </w:rPr>
        <w:t xml:space="preserve">Another theory that can help in explaining Inter-Organizational Relationships is Neo-institutionalism. This theory assumes that the institutional environment greatly influences organizations, even greater than that stemming from rational interests and individual- or group-based interactions. According to neo-institutional theory, actors internalize norms through socialization processes and are more likely to be creatures of institutional rules than their creators. Most institutional norms have been created by forces in the past and may have binding power whether or not present actors support them. These studies highlight that organizational legitimacy is a necessary pre-condition to interact in a certain institutional environment (DiMaggio and </w:t>
      </w:r>
      <w:r w:rsidRPr="009672FC">
        <w:rPr>
          <w:rFonts w:ascii="Garamond" w:hAnsi="Garamond"/>
          <w:color w:val="0E101A"/>
          <w:lang w:eastAsia="it-IT"/>
        </w:rPr>
        <w:lastRenderedPageBreak/>
        <w:t xml:space="preserve">Powell, 1983; Powell and DiMaggio, 1991; Scott, 2001; </w:t>
      </w:r>
      <w:proofErr w:type="spellStart"/>
      <w:r w:rsidRPr="009672FC">
        <w:rPr>
          <w:rFonts w:ascii="Garamond" w:hAnsi="Garamond"/>
          <w:color w:val="0E101A"/>
          <w:lang w:eastAsia="it-IT"/>
        </w:rPr>
        <w:t>Jepperson</w:t>
      </w:r>
      <w:proofErr w:type="spellEnd"/>
      <w:r w:rsidRPr="009672FC">
        <w:rPr>
          <w:rFonts w:ascii="Garamond" w:hAnsi="Garamond"/>
          <w:color w:val="0E101A"/>
          <w:lang w:eastAsia="it-IT"/>
        </w:rPr>
        <w:t xml:space="preserve">, 2002; </w:t>
      </w:r>
      <w:proofErr w:type="spellStart"/>
      <w:r w:rsidRPr="009672FC">
        <w:rPr>
          <w:rFonts w:ascii="Garamond" w:hAnsi="Garamond"/>
          <w:color w:val="0E101A"/>
          <w:lang w:eastAsia="it-IT"/>
        </w:rPr>
        <w:t>Hasse</w:t>
      </w:r>
      <w:proofErr w:type="spellEnd"/>
      <w:r w:rsidRPr="009672FC">
        <w:rPr>
          <w:rFonts w:ascii="Garamond" w:hAnsi="Garamond"/>
          <w:color w:val="0E101A"/>
          <w:lang w:eastAsia="it-IT"/>
        </w:rPr>
        <w:t xml:space="preserve"> and </w:t>
      </w:r>
      <w:proofErr w:type="spellStart"/>
      <w:r w:rsidRPr="009672FC">
        <w:rPr>
          <w:rFonts w:ascii="Garamond" w:hAnsi="Garamond"/>
          <w:color w:val="0E101A"/>
          <w:lang w:eastAsia="it-IT"/>
        </w:rPr>
        <w:t>Kruecken</w:t>
      </w:r>
      <w:proofErr w:type="spellEnd"/>
      <w:r w:rsidRPr="009672FC">
        <w:rPr>
          <w:rFonts w:ascii="Garamond" w:hAnsi="Garamond"/>
          <w:color w:val="0E101A"/>
          <w:lang w:eastAsia="it-IT"/>
        </w:rPr>
        <w:t>, 2005). According to this theory, once the institutionalization process has occurred, i.e., people will strongly resist change once rules, beliefs, and customs have been internalized. According to New Institutionalism, to describe Inter-organizational relations, it is necessary to consider</w:t>
      </w:r>
      <w:r w:rsidRPr="009672FC">
        <w:rPr>
          <w:rFonts w:ascii="Garamond" w:hAnsi="Garamond"/>
          <w:i/>
          <w:iCs/>
          <w:color w:val="0E101A"/>
          <w:lang w:eastAsia="it-IT"/>
        </w:rPr>
        <w:t xml:space="preserve"> that </w:t>
      </w:r>
      <w:r w:rsidRPr="009672FC">
        <w:rPr>
          <w:rFonts w:ascii="Garamond" w:hAnsi="Garamond"/>
          <w:color w:val="0E101A"/>
          <w:lang w:eastAsia="it-IT"/>
        </w:rPr>
        <w:t xml:space="preserve">organizations are strongly influenced by their regional and national institutional environments when they interact. Consequently, their attitude to building long-term business relations and the type and strength of these relations reflect the beliefs and rules of their institutional environment. For this reason, there are regions or nations where certain types of networks (e.g., project networks) are much more widespread than elsewhere (Lane and Bachmann, 1996; </w:t>
      </w:r>
      <w:proofErr w:type="spellStart"/>
      <w:r w:rsidRPr="009672FC">
        <w:rPr>
          <w:rFonts w:ascii="Garamond" w:hAnsi="Garamond"/>
          <w:color w:val="0E101A"/>
          <w:lang w:eastAsia="it-IT"/>
        </w:rPr>
        <w:t>Ebers</w:t>
      </w:r>
      <w:proofErr w:type="spellEnd"/>
      <w:r w:rsidRPr="009672FC">
        <w:rPr>
          <w:rFonts w:ascii="Garamond" w:hAnsi="Garamond"/>
          <w:color w:val="0E101A"/>
          <w:lang w:eastAsia="it-IT"/>
        </w:rPr>
        <w:t>, 1997). </w:t>
      </w:r>
    </w:p>
    <w:p w14:paraId="7BE2F672" w14:textId="77777777" w:rsidR="00890FB2" w:rsidRPr="009672FC" w:rsidRDefault="007549AA" w:rsidP="00890FB2">
      <w:pPr>
        <w:spacing w:before="240" w:line="360" w:lineRule="auto"/>
        <w:jc w:val="both"/>
        <w:rPr>
          <w:rFonts w:ascii="Garamond" w:hAnsi="Garamond"/>
          <w:b/>
          <w:bCs/>
        </w:rPr>
      </w:pPr>
      <w:r w:rsidRPr="009672FC">
        <w:rPr>
          <w:rFonts w:ascii="Garamond" w:hAnsi="Garamond"/>
          <w:color w:val="0E101A"/>
          <w:lang w:eastAsia="it-IT"/>
        </w:rPr>
        <w:t>Organizations interact and build alliances to enhance their legitimacy. For example, a supplier will accept even very low profits to keep a famous and respected customer’s loyalty, which will increase its prestige. Inter-organizational relations are built conforming with the broader institutional environment; each actor complies with rules and cultural expectations spontaneously, even at the cost of production inefficiencies. Finally, in the well-established inter-organizational network, based on stable, long-term business relations, the following phenomena are likely to develop: conformism, conservatism, uniformity, path dependency (Ricciardi and Rossignoli 2015). </w:t>
      </w:r>
    </w:p>
    <w:p w14:paraId="7D4225E6" w14:textId="67B1D210" w:rsidR="00890FB2" w:rsidRPr="009672FC" w:rsidRDefault="007549AA" w:rsidP="00890FB2">
      <w:pPr>
        <w:spacing w:before="240" w:line="360" w:lineRule="auto"/>
        <w:jc w:val="both"/>
        <w:rPr>
          <w:rFonts w:ascii="Garamond" w:hAnsi="Garamond"/>
          <w:b/>
          <w:bCs/>
        </w:rPr>
      </w:pPr>
      <w:r w:rsidRPr="009672FC">
        <w:rPr>
          <w:rFonts w:ascii="Garamond" w:hAnsi="Garamond"/>
          <w:color w:val="0E101A"/>
          <w:lang w:eastAsia="it-IT"/>
        </w:rPr>
        <w:t xml:space="preserve">The Resource Dependence Theory mainly refers to the contribution of Pfeffer and </w:t>
      </w:r>
      <w:proofErr w:type="spellStart"/>
      <w:r w:rsidRPr="009672FC">
        <w:rPr>
          <w:rFonts w:ascii="Garamond" w:hAnsi="Garamond"/>
          <w:color w:val="0E101A"/>
          <w:lang w:eastAsia="it-IT"/>
        </w:rPr>
        <w:t>Salancik</w:t>
      </w:r>
      <w:proofErr w:type="spellEnd"/>
      <w:r w:rsidRPr="009672FC">
        <w:rPr>
          <w:rFonts w:ascii="Garamond" w:hAnsi="Garamond"/>
          <w:color w:val="0E101A"/>
          <w:lang w:eastAsia="it-IT"/>
        </w:rPr>
        <w:t xml:space="preserve"> (2003). In their theoretical approach, a key role is assigned to the environment and the social context in which the firm operates. Even the decisions made by the internal organization reflect the pressures of the external environment (Pfeffer, </w:t>
      </w:r>
      <w:proofErr w:type="spellStart"/>
      <w:r w:rsidRPr="009672FC">
        <w:rPr>
          <w:rFonts w:ascii="Garamond" w:hAnsi="Garamond"/>
          <w:color w:val="0E101A"/>
          <w:lang w:eastAsia="it-IT"/>
        </w:rPr>
        <w:t>Salancik</w:t>
      </w:r>
      <w:proofErr w:type="spellEnd"/>
      <w:r w:rsidRPr="009672FC">
        <w:rPr>
          <w:rFonts w:ascii="Garamond" w:hAnsi="Garamond"/>
          <w:color w:val="0E101A"/>
          <w:lang w:eastAsia="it-IT"/>
        </w:rPr>
        <w:t>, 2003). Moreover, the organizations are “</w:t>
      </w:r>
      <w:r w:rsidRPr="009672FC">
        <w:rPr>
          <w:rFonts w:ascii="Garamond" w:hAnsi="Garamond"/>
          <w:i/>
          <w:iCs/>
          <w:color w:val="0E101A"/>
          <w:lang w:eastAsia="it-IT"/>
        </w:rPr>
        <w:t>embedded</w:t>
      </w:r>
      <w:r w:rsidRPr="009672FC">
        <w:rPr>
          <w:rFonts w:ascii="Garamond" w:hAnsi="Garamond"/>
          <w:color w:val="0E101A"/>
          <w:lang w:eastAsia="it-IT"/>
        </w:rPr>
        <w:t xml:space="preserve">” in networks of interdependencies and social relations. The external relations generate the resources that the organization uses as inputs to ensure its survival. The dependencies are often reciprocal and sometimes indirect. If firms could generate all the resources, they need to survive there would be no need to forge “relations” with the external environment and, therefore, other organizations. But the firms need to interact with other organizations to procure an ongoing and abundant flow of resources to satisfy </w:t>
      </w:r>
      <w:r w:rsidR="00813D37" w:rsidRPr="009672FC">
        <w:rPr>
          <w:rFonts w:ascii="Garamond" w:hAnsi="Garamond"/>
          <w:color w:val="0E101A"/>
          <w:lang w:eastAsia="it-IT"/>
        </w:rPr>
        <w:t>their</w:t>
      </w:r>
      <w:r w:rsidRPr="009672FC">
        <w:rPr>
          <w:rFonts w:ascii="Garamond" w:hAnsi="Garamond"/>
          <w:color w:val="0E101A"/>
          <w:lang w:eastAsia="it-IT"/>
        </w:rPr>
        <w:t xml:space="preserve"> stakeholders. The availability of the resources depends on the complexity, dynamism, and munificence of the environment. </w:t>
      </w:r>
    </w:p>
    <w:p w14:paraId="1D03AF4C" w14:textId="77777777" w:rsidR="00890FB2" w:rsidRPr="009672FC" w:rsidRDefault="007549AA" w:rsidP="00890FB2">
      <w:pPr>
        <w:spacing w:before="240" w:line="360" w:lineRule="auto"/>
        <w:jc w:val="both"/>
        <w:rPr>
          <w:rFonts w:ascii="Garamond" w:hAnsi="Garamond"/>
          <w:b/>
          <w:bCs/>
        </w:rPr>
      </w:pPr>
      <w:r w:rsidRPr="009672FC">
        <w:rPr>
          <w:rFonts w:ascii="Garamond" w:hAnsi="Garamond"/>
          <w:color w:val="0E101A"/>
          <w:lang w:eastAsia="it-IT"/>
        </w:rPr>
        <w:t xml:space="preserve">The organizations seek to interact with the environment to ensure they have access to the resources they depend on. Although the Resource Dependence theory describes long-term, </w:t>
      </w:r>
      <w:r w:rsidRPr="009672FC">
        <w:rPr>
          <w:rFonts w:ascii="Garamond" w:hAnsi="Garamond"/>
          <w:color w:val="0E101A"/>
          <w:lang w:eastAsia="it-IT"/>
        </w:rPr>
        <w:lastRenderedPageBreak/>
        <w:t>collaborative inter-organizational relations based on joint venture alliances or long-term outsourcing agreements, genuine cooperation is rare if the relations are shaped by power. Larger and stronger enterprises, for example, can impose their conditions on smaller and weaker suppliers. According to the Resource Dependence theory, the stronger the power asymmetry, the more likely phenomena such as inter-organizational bullying are (Ricciardi, 2014).</w:t>
      </w:r>
    </w:p>
    <w:p w14:paraId="45EAA30F" w14:textId="2BD4A095" w:rsidR="003D5DE8" w:rsidRPr="009672FC" w:rsidRDefault="007549AA" w:rsidP="00890FB2">
      <w:pPr>
        <w:spacing w:before="240" w:line="360" w:lineRule="auto"/>
        <w:jc w:val="both"/>
        <w:rPr>
          <w:rFonts w:ascii="Garamond" w:hAnsi="Garamond"/>
          <w:b/>
          <w:bCs/>
        </w:rPr>
      </w:pPr>
      <w:r w:rsidRPr="009672FC">
        <w:rPr>
          <w:rFonts w:ascii="Garamond" w:hAnsi="Garamond"/>
          <w:color w:val="0E101A"/>
          <w:lang w:eastAsia="it-IT"/>
        </w:rPr>
        <w:t xml:space="preserve">If an organization succeeds in achieving </w:t>
      </w:r>
      <w:proofErr w:type="spellStart"/>
      <w:r w:rsidRPr="009672FC">
        <w:rPr>
          <w:rFonts w:ascii="Garamond" w:hAnsi="Garamond"/>
          <w:color w:val="0E101A"/>
          <w:lang w:eastAsia="it-IT"/>
        </w:rPr>
        <w:t>favo</w:t>
      </w:r>
      <w:r w:rsidR="00813D37" w:rsidRPr="009672FC">
        <w:rPr>
          <w:rFonts w:ascii="Garamond" w:hAnsi="Garamond"/>
          <w:color w:val="0E101A"/>
          <w:lang w:eastAsia="it-IT"/>
        </w:rPr>
        <w:t>u</w:t>
      </w:r>
      <w:r w:rsidRPr="009672FC">
        <w:rPr>
          <w:rFonts w:ascii="Garamond" w:hAnsi="Garamond"/>
          <w:color w:val="0E101A"/>
          <w:lang w:eastAsia="it-IT"/>
        </w:rPr>
        <w:t>rable</w:t>
      </w:r>
      <w:proofErr w:type="spellEnd"/>
      <w:r w:rsidRPr="009672FC">
        <w:rPr>
          <w:rFonts w:ascii="Garamond" w:hAnsi="Garamond"/>
          <w:color w:val="0E101A"/>
          <w:lang w:eastAsia="it-IT"/>
        </w:rPr>
        <w:t xml:space="preserve"> or at least sustainable interaction conditions in these control-oriented networks, the Resource Dependence theory predicts that the relations will be stable and result in higher efficiency and more reliable risk management; this assumption is implicit in the stream of studies dedicated to inter-firm process integration and supply chain management, where IT-based solutions play a pivotal role (Lambert and Cooper, 2000). Conversely, as soon as an organization perceives that other relationships could provide it with more power in controlling key resources, the organization will be tempted to break the old relations (e.g., alliances, agreements, supply chains) and join the new network. In other words, no power relationship is forever, especially if the more vital partner goes too far in abusing the weaker </w:t>
      </w:r>
      <w:proofErr w:type="spellStart"/>
      <w:r w:rsidRPr="009672FC">
        <w:rPr>
          <w:rFonts w:ascii="Garamond" w:hAnsi="Garamond"/>
          <w:color w:val="0E101A"/>
          <w:lang w:eastAsia="it-IT"/>
        </w:rPr>
        <w:t>one</w:t>
      </w:r>
      <w:proofErr w:type="spellEnd"/>
      <w:r w:rsidRPr="009672FC">
        <w:rPr>
          <w:rFonts w:ascii="Garamond" w:hAnsi="Garamond"/>
          <w:color w:val="0E101A"/>
          <w:lang w:eastAsia="it-IT"/>
        </w:rPr>
        <w:t>.</w:t>
      </w:r>
    </w:p>
    <w:p w14:paraId="557E469F" w14:textId="1BFAC133" w:rsidR="003D5DE8" w:rsidRPr="009672FC" w:rsidRDefault="007549AA" w:rsidP="00890FB2">
      <w:pPr>
        <w:pStyle w:val="Title"/>
        <w:numPr>
          <w:ilvl w:val="2"/>
          <w:numId w:val="12"/>
        </w:numPr>
        <w:spacing w:before="240" w:line="360" w:lineRule="auto"/>
        <w:jc w:val="both"/>
        <w:outlineLvl w:val="2"/>
        <w:rPr>
          <w:rFonts w:ascii="Garamond" w:hAnsi="Garamond" w:cs="Times New Roman"/>
          <w:b/>
          <w:bCs/>
          <w:i/>
          <w:iCs/>
          <w:sz w:val="24"/>
          <w:szCs w:val="24"/>
        </w:rPr>
      </w:pPr>
      <w:bookmarkStart w:id="220" w:name="_Toc85708769"/>
      <w:bookmarkStart w:id="221" w:name="_Toc85709783"/>
      <w:r w:rsidRPr="009672FC">
        <w:rPr>
          <w:rFonts w:ascii="Garamond" w:hAnsi="Garamond" w:cs="Times New Roman"/>
          <w:b/>
          <w:bCs/>
          <w:i/>
          <w:iCs/>
          <w:sz w:val="24"/>
          <w:szCs w:val="24"/>
        </w:rPr>
        <w:t>The Concept of Cause-Based Venture</w:t>
      </w:r>
      <w:bookmarkEnd w:id="220"/>
      <w:bookmarkEnd w:id="221"/>
    </w:p>
    <w:p w14:paraId="6868293C" w14:textId="6AB49E7B" w:rsidR="003D5DE8" w:rsidRPr="009672FC" w:rsidRDefault="007549AA">
      <w:pPr>
        <w:spacing w:line="360" w:lineRule="auto"/>
        <w:jc w:val="both"/>
        <w:rPr>
          <w:rFonts w:ascii="Garamond" w:hAnsi="Garamond"/>
        </w:rPr>
      </w:pPr>
      <w:r w:rsidRPr="009672FC">
        <w:rPr>
          <w:rFonts w:ascii="Garamond" w:hAnsi="Garamond"/>
        </w:rPr>
        <w:t xml:space="preserve">The concept of the cause-based venture is emerging in Marketing and Organization research. Scholars discuss cause ventures in terms of partnerships involving businesses, non-profits, governments, and individuals with the primary focus on value creation for the society and organizations </w:t>
      </w:r>
      <w:r w:rsidRPr="009672FC">
        <w:rPr>
          <w:rFonts w:ascii="Garamond" w:hAnsi="Garamond"/>
        </w:rPr>
        <w:fldChar w:fldCharType="begin" w:fldLock="1"/>
      </w:r>
      <w:r w:rsidR="00813D37" w:rsidRPr="009672FC">
        <w:rPr>
          <w:rFonts w:ascii="Garamond" w:hAnsi="Garamond"/>
        </w:rPr>
        <w:instrText>ADDIN CSL_CITATION {"citationItems":[{"id":"ITEM-1","itemData":{"DOI":"10.1007/s10551-016-3231-6","ISBN":"1055101632","ISSN":"15730697","abstract":"Social alliance is defined as the collaboration between for-profit and nonprofit organizations. Building on the insights derived from the resource-based theory, we develop a conceptual framework to explain how socially entrepreneurial nonprofit organizations (SENPOs) can improve their social alliance performance by adopting strategic alliance management routines. We test our framework using the data collected from 203 UK-based SENPOs in the context of cause-related marketing campaign-derived social alliances. Our results confirm a positive relationship between social alliance management routines and social alliance performance. We also find that relational mechanisms, such as mutual trust, relational embeddedness, and relational commitment, mediate the relationship between social alliance management routines and social alliance performance. Moreover, our findings suggest that different types of social alliance motivation can influence the impact of social alliance management routines on different types of the relational mechanisms. In general, we demonstrate that SENPOs can benefit from adopting social alliance management routines and, in addition, highlight how and when the social alliance management routines–social alliance performance relationship might be shaped. Our study offers important academic and managerial implications, and points out future research directions.","author":[{"dropping-particle":"","family":"Liu","given":"Gordon","non-dropping-particle":"","parse-names":false,"suffix":""},{"dropping-particle":"","family":"Ko","given":"Wai Wai","non-dropping-particle":"","parse-names":false,"suffix":""},{"dropping-particle":"","family":"Chapleo","given":"Chris","non-dropping-particle":"","parse-names":false,"suffix":""}],"container-title":"Journal of Business Ethics","id":"ITEM-1","issue":"2","issued":{"date-parts":[["2018"]]},"page":"497-516","publisher":"Springer Netherlands","title":"How and When Socially Entrepreneurial Nonprofit Organizations Benefit From Adopting Social Alliance Management Routines to Manage Social Alliances?","type":"article-journal","volume":"151"},"uris":["http://www.mendeley.com/documents/?uuid=34241091-febf-42ee-b615-ba46df5b0ad9"]}],"mendeley":{"formattedCitation":"(G. Liu, Ko, &amp; Chapleo, 2018)","manualFormatting":"(Liu, Ko and Chapleo, 2018;","plainTextFormattedCitation":"(G. Liu, Ko, &amp; Chapleo, 2018)","previouslyFormattedCitation":"(G. Liu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(Liu, Ko and Chapleo, 2018;</w:t>
      </w:r>
      <w:r w:rsidRPr="009672FC">
        <w:rPr>
          <w:rFonts w:ascii="Garamond" w:hAnsi="Garamond"/>
        </w:rPr>
        <w:fldChar w:fldCharType="end"/>
      </w:r>
      <w:r w:rsidRPr="009672FC">
        <w:rPr>
          <w:rFonts w:ascii="Garamond" w:hAnsi="Garamond"/>
        </w:rPr>
        <w:t xml:space="preserve">. For instance, </w:t>
      </w:r>
      <w:r w:rsidRPr="009672FC">
        <w:rPr>
          <w:rFonts w:ascii="Garamond" w:hAnsi="Garamond"/>
        </w:rPr>
        <w:fldChar w:fldCharType="begin" w:fldLock="1"/>
      </w:r>
      <w:r w:rsidR="00813D37" w:rsidRPr="009672FC">
        <w:rPr>
          <w:rFonts w:ascii="Garamond" w:hAnsi="Garamond"/>
        </w:rPr>
        <w:instrText>ADDIN CSL_CITATION {"citationItems":[{"id":"ITEM-1","itemData":{"DOI":"10.1177/0899764004266016","ISSN":"08997640","abstract":"This article examines the behavioral dynamics at the interface between organizations in strategic partnerships called cause-based partnerships (CBPs). These are partnerships between a corporation and one or more nonprofit organizations that address social metaproblems such as environmental sustainability or social-justice challenges. Various a priori differences such as tasks, processes, and organizational cultures are expected to affect outcomes, but this article argues that a key determinant of successful CBP performance is behavioral dynamics at the interface between the partners. This article builds a framework for understanding these behavioral dynamics in terms of an emergent culture. Three scenarios - integration, reculturation, and separation - are described for how participants in CBPs continually negotiate a workable set of cultural practices among themselves. Examples are based on interviews with CBP managers. These explorations expand the basis for understanding CBP dynamics beyond those provided by static task, process, or common-culture explanations.","author":[{"dropping-particle":"","family":"Parker","given":"Barbara","non-dropping-particle":"","parse-names":false,"suffix":""},{"dropping-particle":"","family":"Selsky","given":"John W.","non-dropping-particle":"","parse-names":false,"suffix":""}],"container-title":"Nonprofit and Voluntary Sector Quarterly","id":"ITEM-1","issue":"3","issued":{"date-parts":[["2004"]]},"page":"458-488","title":"Interface dynamics in cause-based partnerships: An exploration of emergent culture","type":"article-journal","volume":"33"},"uris":["http://www.mendeley.com/documents/?uuid=10d314fb-0bd8-4bd3-9a7e-dc424040c391"]}],"mendeley":{"formattedCitation":"(B. Parker &amp; Selsky, 2004)","manualFormatting":"Parker and Selsky (2004, p. 458)","plainTextFormattedCitation":"(B. Parker &amp; Selsky, 2004)","previouslyFormattedCitation":"(Parker &amp; Selsky,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Parker and Selsky (2004, p. 458)</w:t>
      </w:r>
      <w:r w:rsidRPr="009672FC">
        <w:rPr>
          <w:rFonts w:ascii="Garamond" w:hAnsi="Garamond"/>
        </w:rPr>
        <w:fldChar w:fldCharType="end"/>
      </w:r>
      <w:r w:rsidRPr="009672FC">
        <w:rPr>
          <w:rFonts w:ascii="Garamond" w:hAnsi="Garamond"/>
        </w:rPr>
        <w:t xml:space="preserve"> describe the cause-based partnership as a form of collaboration “between business and non-profits that address social meta problems such as environmental sustainability and social-justice challenges”. </w:t>
      </w:r>
      <w:r w:rsidRPr="009672FC">
        <w:rPr>
          <w:rFonts w:ascii="Garamond" w:hAnsi="Garamond"/>
        </w:rPr>
        <w:fldChar w:fldCharType="begin" w:fldLock="1"/>
      </w:r>
      <w:r w:rsidRPr="009672FC">
        <w:rPr>
          <w:rFonts w:ascii="Garamond" w:hAnsi="Garamond"/>
        </w:rPr>
        <w:instrText>ADDIN CSL_CITATION {"citationItems":[{"id":"ITEM-1","itemData":{"author":[{"dropping-particle":"","family":"Berger","given":"Ida E","non-dropping-particle":"","parse-names":false,"suffix":""},{"dropping-particle":"","family":"Cunningham","given":"Peggy H","non-dropping-particle":"","parse-names":false,"suffix":""},{"dropping-particle":"","family":"Drumwright","given":"Minette E","non-dropping-particle":"","parse-names":false,"suffix":""},{"dropping-particle":"","family":"Berger","given":"Ida E","non-dropping-particle":"","parse-names":false,"suffix":""},{"dropping-particle":"","family":"Cunningham","given":"Peggy H","non-dropping-particle":"","parse-names":false,"suffix":""}],"container-title":"CALIFORNIA MANAGEMENT REVIEW","id":"ITEM-1","issue":"1","issued":{"date-parts":[["2004"]]},"title":"Social Alliances: Company/Nonprofit Collaboration","type":"article-journal","volume":"47"},"uris":["http://www.mendeley.com/documents/?uuid=82201975-b754-41d7-807b-3df52cfeebce"]}],"mendeley":{"formattedCitation":"(Berger et al., 2004)","manualFormatting":"Berger et al. (2004)","plainTextFormattedCitation":"(Berger et al., 2004)","previouslyFormattedCitation":"(Berger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Berger </w:t>
      </w:r>
      <w:r w:rsidRPr="009672FC">
        <w:rPr>
          <w:rFonts w:ascii="Garamond" w:hAnsi="Garamond"/>
          <w:i/>
          <w:noProof/>
        </w:rPr>
        <w:t>et al.</w:t>
      </w:r>
      <w:r w:rsidRPr="009672FC">
        <w:rPr>
          <w:rFonts w:ascii="Garamond" w:hAnsi="Garamond"/>
          <w:noProof/>
        </w:rPr>
        <w:t xml:space="preserve"> (2004)</w:t>
      </w:r>
      <w:r w:rsidRPr="009672FC">
        <w:rPr>
          <w:rFonts w:ascii="Garamond" w:hAnsi="Garamond"/>
        </w:rPr>
        <w:fldChar w:fldCharType="end"/>
      </w:r>
      <w:r w:rsidRPr="009672FC">
        <w:rPr>
          <w:rFonts w:ascii="Garamond" w:hAnsi="Garamond"/>
        </w:rPr>
        <w:t xml:space="preserve"> described it as a social alliance between firms involving sharing of resources, knowledge and capabilities that span the boundaries of for-profit to non-profit sectors. The authors argue that social alliance is characterized by at least one non-profit partner, and in addition to improving social welfare, social alliance include non-economic objectives. </w:t>
      </w:r>
    </w:p>
    <w:p w14:paraId="4338878A" w14:textId="5EF912BB" w:rsidR="00890FB2" w:rsidRPr="009672FC" w:rsidRDefault="007549AA" w:rsidP="00890FB2">
      <w:pPr>
        <w:spacing w:before="240" w:line="360" w:lineRule="auto"/>
        <w:jc w:val="both"/>
        <w:rPr>
          <w:rFonts w:ascii="Garamond" w:hAnsi="Garamond"/>
        </w:rPr>
      </w:pPr>
      <w:r w:rsidRPr="009672FC">
        <w:rPr>
          <w:rFonts w:ascii="Garamond" w:hAnsi="Garamond"/>
        </w:rPr>
        <w:t xml:space="preserve">The engagement in cause-based ventures by organizations come in various forms, including investing in cause-related marketing practices, such as businesses advertising by aligning with a social dimension or cause </w:t>
      </w:r>
      <w:r w:rsidRPr="009672FC">
        <w:rPr>
          <w:rFonts w:ascii="Garamond" w:hAnsi="Garamond"/>
        </w:rPr>
        <w:fldChar w:fldCharType="begin" w:fldLock="1"/>
      </w:r>
      <w:r w:rsidRPr="009672FC">
        <w:rPr>
          <w:rFonts w:ascii="Garamond" w:hAnsi="Garamond"/>
        </w:rPr>
        <w:instrText>ADDIN CSL_CITATION {"citationItems":[{"id":"ITEM-1","itemData":{"DOI":"10.1108/VJIKMS-05-2019-0061","ISSN":"20595891","abstract":"Purpose: This study aims to gain insight on evaluation of cause-related marketing (CrM) campaigns by the millennial with focus on skepticism, brand identity and patronage intention. Design/methodology/approach: To attain the above objective a conceptual model was developed and tested using structural equation modeling and confirmatory factor analysis. Findings: The finding suggests that sub-segments exist among millennial segments. They can be classified into hedonic, utilitarian, individualistic and collectivists. Compared to utilitarian and individualistic customers hedonic and collectivists were found to evaluate CrM campaign more favorably. Utilitarian and individualistic depict skepticism toward CrM campaign. Practical implications: The in-depth knowledge gained about millennials is expected to benefit academicians and marketers alike. Academicians will be enriched by the knowledge of the micro-segments that exists among the millennial and how that had differential impact on their skepticism while evaluating CrM campaign. The marketers involved in the designing and implementation of the CrM campaign will be benefited from the in-depth knowledge of segments with lower and higher levels of skepticism. Such knowledge gained will help them develop more effective CrM campaign. Originality/value: One of the contributions of the present study is that it extends the existing knowledge about millennials, particularly in the context of CrM campaign evaluation integrating it with other important variables such as skepticism, brand identity and patronage intention.","author":[{"dropping-particle":"","family":"Deb","given":"Madhurima","non-dropping-particle":"","parse-names":false,"suffix":""},{"dropping-particle":"","family":"Amawate","given":"Vibhas","non-dropping-particle":"","parse-names":false,"suffix":""}],"container-title":"VINE Journal of Information and Knowledge Management Systems","id":"ITEM-1","issue":"2","issued":{"date-parts":[["2019"]]},"page":"329-348","title":"Extending the knowledge on cause-related marketing (CrM) campaign with focus on skepticism","type":"article-journal","volume":"50"},"uris":["http://www.mendeley.com/documents/?uuid=ffdee2b4-a874-47d3-beed-117eae23f930"]}],"mendeley":{"formattedCitation":"(Deb &amp; Amawate, 2019)","manualFormatting":"(Deb and Amawate, 2019;","plainTextFormattedCitation":"(Deb &amp; Amawate, 2019)","previouslyFormattedCitation":"(Deb &amp; Amawate,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(Deb and Amawate, 2019;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{"citationItems":[{"id":"ITEM-1","itemData":{"DOI":"10.1108/JPBM-07-2015-0939","ISSN":"10610421","abstract":"Purpose: Companies are increasingly incorporating support for social causes in advertising to improve brand image and increase sales, but it is unclear how these behaviours influence purchase intentions. This paper aims to analyse this relationship from a strategic perspective to assess whether the degree of fit of any of the five strategic dimensions that Zdravkovic et al. (2010) propose influence purchase intentions synergistically. Design/methodology/approach: This study includes two stages: a qualitative stage to build brand–cause relationships and a quantitative study of one of these relationships to examine which fit dimensions are involved and whether they generate synergy in purchase intentions. Findings: Results demonstrate that adjustment to two of the five dimensions is sufficient to influence emotional responses positively. Research limitations/implications: This study presents limitations, as it has been developed using a particular sample of university students. Practical implications: These analyses provide tools for managers to verify which types of strategic fit operate in this relationship and facilitate co-branding planning to achieve financial goals. Originality/value: The analysis provides tools for managers to verify which types of strategic fit operate in this relationship and facilitate co-branding planning to achieve financial goals.","author":[{"dropping-particle":"","family":"Huertas-García","given":"Rubén","non-dropping-particle":"","parse-names":false,"suffix":""},{"dropping-particle":"","family":"Lengler","given":"Jorge","non-dropping-particle":"","parse-names":false,"suffix":""},{"dropping-particle":"","family":"Consolación-Segura","given":"Carolina","non-dropping-particle":"","parse-names":false,"suffix":""}],"container-title":"Journal of Product and Brand Management","id":"ITEM-1","issue":"2","issued":{"date-parts":[["2017"]]},"page":"135-150","title":"Co-branding strategy in cause-related advertising: the fit between brand and cause","type":"article-journal","volume":"26"},"uris":["http://www.mendeley.com/documents/?uuid=f3eb9a62-9dfc-42bd-b46f-5444e3cae15b"]}],"mendeley":{"formattedCitation":"(Huertas-García, Lengler, &amp; Consolación-Segura, 2017)","manualFormatting":"Huertas-García, Lengler and Consolación-Segura, 2017;","plainTextFormattedCitation":"(Huertas-García, Lengler, &amp; Consolación-Segura, 2017)","previouslyFormattedCitation":"(Huertas-García et al.,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Huertas-García, Lengler and Consolación-</w:t>
      </w:r>
      <w:r w:rsidRPr="009672FC">
        <w:rPr>
          <w:rFonts w:ascii="Garamond" w:hAnsi="Garamond"/>
          <w:noProof/>
        </w:rPr>
        <w:lastRenderedPageBreak/>
        <w:t>Segura, 2017;</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{"citationItems":[{"id":"ITEM-1","itemData":{"DOI":"10.1016/j.jbusres.2013.07.021","ISSN":"01482963","abstract":"This note examines an unexplored area of cause-related marketing: the influence of the cause category on consumer perceptions. The experiment shows that the four cause categories which represent the domain of charitable causes can have a differential effect on attitudes and purchase intention. The health cause category and human services cause category have a greater effect on attitude toward the cause than the animal or environmental cause categories when brand familiarity and cause importance were high. Only the human services category has a greater effect on attitude toward the alliance when brand familiarity and cause importance were high as well as when both were low. For attitude toward the brand and purchase intentions, there were no differences among the cause categories. © 2013.","author":[{"dropping-particle":"","family":"Lafferty","given":"Barbara A.","non-dropping-particle":"","parse-names":false,"suffix":""},{"dropping-particle":"","family":"Edmondson","given":"Diane R.","non-dropping-particle":"","parse-names":false,"suffix":""}],"container-title":"Journal of Business Research","id":"ITEM-1","issue":"7","issued":{"date-parts":[["2014"]]},"page":"1455-1460","publisher":"Elsevier B.V.","title":"A note on the role of cause type in cause-related marketing","type":"article-journal","volume":"67"},"uris":["http://www.mendeley.com/documents/?uuid=9eec3174-def7-4bb2-9ccb-7660c6b63c19"]}],"mendeley":{"formattedCitation":"(Lafferty &amp; Edmondson, 2014)","manualFormatting":"Lafferty and Edmondson, 2014)","plainTextFormattedCitation":"(Lafferty &amp; Edmondson, 2014)","previouslyFormattedCitation":"(Lafferty &amp; Edmondson, 2014)"},"properties":{"noteIndex":0},"schema":"https://github.com/citation-style-language/schema/raw/master/csl-citation.json"}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and Edmondson, 2014)</w:t>
      </w:r>
      <w:r w:rsidRPr="009672FC">
        <w:rPr>
          <w:rFonts w:ascii="Garamond" w:hAnsi="Garamond"/>
        </w:rPr>
        <w:fldChar w:fldCharType="end"/>
      </w:r>
      <w:r w:rsidRPr="009672FC">
        <w:rPr>
          <w:rFonts w:ascii="Garamond" w:hAnsi="Garamond"/>
        </w:rPr>
        <w:t xml:space="preserve"> and other forms of corporate sponsorship or philanthropic activities, as part of corporate social responsibilities </w:t>
      </w:r>
      <w:r w:rsidRPr="009672FC">
        <w:rPr>
          <w:rFonts w:ascii="Garamond" w:hAnsi="Garamond"/>
        </w:rPr>
        <w:fldChar w:fldCharType="begin" w:fldLock="1"/>
      </w:r>
      <w:r w:rsidRPr="009672FC">
        <w:rPr>
          <w:rFonts w:ascii="Garamond" w:hAnsi="Garamond"/>
        </w:rPr>
        <w:instrText>ADDIN CSL_CITATION {"citationItems":[{"id":"ITEM-1","itemData":{"DOI":"10.1080/15245004.2001.9961169","ISSN":"15245004","author":[{"dropping-particle":"","family":"Menon","given":"Satya","non-dropping-particle":"","parse-names":false,"suffix":""},{"dropping-particle":"","family":"Kahn","given":"Barbara E.","non-dropping-particle":"","parse-names":false,"suffix":""}],"container-title":"Social Marketing Quarterly","id":"ITEM-1","issue":"3","issued":{"date-parts":[["2001"]]},"page":"76-79","title":"Corporate sponsorships of philanthropic activities: Do they help the sponsor?","type":"article-journal","volume":"7"},"uris":["http://www.mendeley.com/documents/?uuid=161e0f3c-f9d4-4744-8d81-928de36c6887"]}],"mendeley":{"formattedCitation":"(Menon &amp; Kahn, 2001)","manualFormatting":"(Brondoni, 2003; Menon and Kahn, 2001)","plainTextFormattedCitation":"(Menon &amp; Kahn, 2001)","previouslyFormattedCitation":"(Menon &amp; Kahn, 2001)"},"properties":{"noteIndex":0},"schema":"https://github.com/citation-style-language/schema/raw/master/csl-citation.json"}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noProof/>
        </w:rPr>
        <w:fldChar w:fldCharType="begin" w:fldLock="1"/>
      </w:r>
      <w:r w:rsidRPr="009672FC">
        <w:rPr>
          <w:rFonts w:ascii="Garamond" w:hAnsi="Garamond"/>
          <w:noProof/>
        </w:rPr>
        <w:instrText>ADDIN CSL_CITATION {"citationItems":[{"id":"ITEM-1","itemData":{"DOI":"10.4468/2003.1.02brondoni","ISSN":"1593-0319","author":[{"dropping-particle":"","family":"Brondoni","given":"Silvio M.","non-dropping-particle":"","parse-names":false,"suffix":""}],"container-title":"Symphonya. Emerging Issues in Management","id":"ITEM-1","issue":"1","issued":{"date-parts":[["2003"]]},"page":"8-24","title":"Network Culture, Performance and Corporate Responsibility","type":"article-journal"},"uris":["http://www.mendeley.com/documents/?uuid=2ab3cd85-3cee-4b6d-9647-187928055303"]}],"mendeley":{"formattedCitation":"(Brondoni, 2003)","manualFormatting":"Brondoni, 2003;","plainTextFormattedCitation":"(Brondoni, 2003)","previouslyFormattedCitation":"(Brondoni, 2003)"},"properties":{"noteIndex":0},"schema":"https://github.com/citation-style-language/schema/raw/master/csl-citation.json"}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Brondoni, 2003;</w:t>
      </w:r>
      <w:r w:rsidRPr="009672FC">
        <w:rPr>
          <w:rFonts w:ascii="Garamond" w:hAnsi="Garamond"/>
          <w:noProof/>
        </w:rPr>
        <w:fldChar w:fldCharType="end"/>
      </w:r>
      <w:r w:rsidRPr="009672FC">
        <w:rPr>
          <w:rFonts w:ascii="Garamond" w:hAnsi="Garamond"/>
          <w:noProof/>
        </w:rPr>
        <w:t xml:space="preserve"> Menon and Kahn, 2001)</w:t>
      </w:r>
      <w:r w:rsidRPr="009672FC">
        <w:rPr>
          <w:rFonts w:ascii="Garamond" w:hAnsi="Garamond"/>
        </w:rPr>
        <w:fldChar w:fldCharType="end"/>
      </w:r>
      <w:r w:rsidRPr="009672FC">
        <w:rPr>
          <w:rFonts w:ascii="Garamond" w:hAnsi="Garamond"/>
        </w:rPr>
        <w:t xml:space="preserve">. In marketing literature, cause-based marketing reinforces consumers and the public to develop a positive association between the company or brand and the cause. It is appealing to consumer moral emotions (empathy) and cognition (moral identity) </w:t>
      </w:r>
      <w:r w:rsidRPr="009672FC">
        <w:rPr>
          <w:rFonts w:ascii="Garamond" w:hAnsi="Garamond"/>
        </w:rPr>
        <w:fldChar w:fldCharType="begin" w:fldLock="1"/>
      </w:r>
      <w:r w:rsidRPr="009672FC">
        <w:rPr>
          <w:rFonts w:ascii="Garamond" w:hAnsi="Garamond"/>
        </w:rPr>
        <w:instrText>ADDIN CSL_CITATION {"citationItems":[{"id":"ITEM-1","itemData":{"DOI":"10.1002/mar","ISBN":"0148-2963","ISSN":"01482963","PMID":"28443810","abstract":"While humans have a long history of anthropomorphizing animals and the use of animal imagery in themarketplace and popular culture is commonplace, the phenomenon has received little attention. This research investigates the role of how consumers respond to anthropomorphic portrayals of animal mascots that differ on their baseline physical resemblance to humans. In order to test this assertion, an experimental study was conducted with 62 undergraduate participants from a large state university in the Northeastern United States. Results from the study indicate that evaluations of anthropomorphic portrayals of animals with a lower baseline physical similarity to humans are less favorable than nonanthropomorphic portrayals. In contrast, evaluations of anthropomorphic portrayals of animals with a higher baseline physical similarity are more favorable than nonanthropomorphic portrayals.","author":[{"dropping-particle":"","family":"Lafferty","given":"Barbara A.","non-dropping-particle":"","parse-names":false,"suffix":""}],"container-title":"Psychology &amp; Marketing","id":"ITEM-1","issue":"4","issued":{"date-parts":[["2009"]]},"page":"359–382","title":"Selecting the Right Cause Partners for the Right Reasons: The Role of Importance and Fit in Cause–Brand Alliances","type":"article-journal","volume":"26"},"uris":["http://www.mendeley.com/documents/?uuid=809bd282-a618-480a-804d-2692c2732689"]}],"mendeley":{"formattedCitation":"(Lafferty, 2009)","manualFormatting":"(Lafferty, 2009;","plainTextFormattedCitation":"(Lafferty, 2009)","previouslyFormattedCitation":"(Lafferty,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2009;</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{"citationItems":[{"id":"ITEM-1","itemData":{"DOI":"10.3390/su10061812","ISSN":"20711050","abstract":"The present study examined consumer responses to strategic corporate social responsibility (CSR) from the perspectives of consumer moral emotions (empathy) and cognition (moral identity), and investigated charitable activities conducted by convenience stores in Taiwan from theoretical and practical perspectives. The research method involved a comparison between two actual charitable activities conducted by convenience stores, namely \"donation platform services\" and \"cause-related marketing\". A questionnaire was distributed into four regions spanning southern to northern Taiwan by using a convenient sampling method, and 332 valid responses were collected. The present study employed structural equation modelling to verify its hypotheses. In terms of theoretical contributions, the present study constructed two theoretical models and subsequently verified that empathy influences moral identity; this constitutes a major contribution to investigations of the causal relationship between moral emotions and cognitive theory. In practice, the present study recommends that convenience stores implement more cause-related marketing to reduce consumer suspicions that firms are motivated purely by profit and increase consumer trust in firms. Subsequent studies are recommended to conduct in-depth investigations of the underlying causes of moral identity internalization and symbolization generating different responses in consumers, as well as other possible situational variables.","author":[{"dropping-particle":"","family":"Yen","given":"Ghi Feng","non-dropping-particle":"","parse-names":false,"suffix":""},{"dropping-particle":"","family":"Yang","given":"Hsin Ti","non-dropping-particle":"","parse-names":false,"suffix":""}],"container-title":"Sustainability (Switzerland)","id":"ITEM-1","issue":"6","issued":{"date-parts":[["2018"]]},"title":"Does consumer empathy influence consumer responses to strategic corporate social responsibility? The dual mediation ofmoral identity","type":"article-journal","volume":"10"},"uris":["http://www.mendeley.com/documents/?uuid=648c8d0f-5434-4cae-afad-fe964989bc52"]}],"mendeley":{"formattedCitation":"(Yen &amp; Yang, 2018)","manualFormatting":" Yen and Yang, 2018)","plainTextFormattedCitation":"(Yen &amp; Yang, 2018)","previouslyFormattedCitation":"(Yen &amp; Yang,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Yen and Yang, 2018)</w:t>
      </w:r>
      <w:r w:rsidRPr="009672FC">
        <w:rPr>
          <w:rFonts w:ascii="Garamond" w:hAnsi="Garamond"/>
        </w:rPr>
        <w:fldChar w:fldCharType="end"/>
      </w:r>
      <w:r w:rsidRPr="009672FC">
        <w:rPr>
          <w:rFonts w:ascii="Garamond" w:hAnsi="Garamond"/>
        </w:rPr>
        <w:t xml:space="preserve"> and help</w:t>
      </w:r>
      <w:r w:rsidR="00813D37" w:rsidRPr="009672FC">
        <w:rPr>
          <w:rFonts w:ascii="Garamond" w:hAnsi="Garamond"/>
        </w:rPr>
        <w:t>s</w:t>
      </w:r>
      <w:r w:rsidRPr="009672FC">
        <w:rPr>
          <w:rFonts w:ascii="Garamond" w:hAnsi="Garamond"/>
        </w:rPr>
        <w:t xml:space="preserve"> to improve the overall quality of life. </w:t>
      </w:r>
      <w:r w:rsidRPr="009672FC">
        <w:rPr>
          <w:rFonts w:ascii="Garamond" w:hAnsi="Garamond"/>
        </w:rPr>
        <w:fldChar w:fldCharType="begin" w:fldLock="1"/>
      </w:r>
      <w:r w:rsidRPr="009672FC">
        <w:rPr>
          <w:rFonts w:ascii="Garamond" w:hAnsi="Garamond"/>
        </w:rPr>
        <w:instrText>ADDIN CSL_CITATION {"citationItems":[{"id":"ITEM-1","itemData":{"DOI":"10.1002/mar.20017","ISSN":"07426046","abstract":"Partnering charitable causes with brands has become a common practice for many marketing programs; it is referred to strategically as cause-related marketing. Although there is the perception that both partners benefit from the alliance, research has focused primarily on the benefits to the brand. Using Attitude Accessibility, Congruity, and Information Integration Theories, this study empirically tests a model to evaluate the impact of cause-brand alliances on subsequent attitudes toward both partners. The results of the study (n = 463) support the assumption that attitudes toward both the cause and the brand can be enhanced as a consequence of an alliance if perceptions of the alliance are favorable. Furthermore, the cause appears to benefit from the alliance to a greater extent than the brand. The study supports the notions that the fit between partners plays a pivotal role in consumer acceptance of the alliance as plausible and that familiarity with the cause moderates the effectiveness of the alliance. These results represent a necessary step in developing a theoretical model to explain the effects of a cause-brand alliance on both partners. © 2004 Wiley Periodicals, Inc.","author":[{"dropping-particle":"","family":"Lafferty","given":"Barbara A.","non-dropping-particle":"","parse-names":false,"suffix":""},{"dropping-particle":"","family":"Goldsmith","given":"Ronald E.","non-dropping-particle":"","parse-names":false,"suffix":""},{"dropping-particle":"","family":"Hult","given":"G. Tomas M.","non-dropping-particle":"","parse-names":false,"suffix":""}],"container-title":"Psychology and Marketing","id":"ITEM-1","issue":"7","issued":{"date-parts":[["2004"]]},"page":"509-531","title":"The impact of the alliance on the partners: A look at cause-brand alliances","type":"article-journal","volume":"21"},"uris":["http://www.mendeley.com/documents/?uuid=98848139-a5ac-402e-96a0-b71d8ed2066e"]}],"mendeley":{"formattedCitation":"(Lafferty et al., 2004)","manualFormatting":"Lafferty et al. (2004)","plainTextFormattedCitation":"(Lafferty et al., 2004)","previouslyFormattedCitation":"(Lafferty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Lafferty et al. (2004)</w:t>
      </w:r>
      <w:r w:rsidRPr="009672FC">
        <w:rPr>
          <w:rFonts w:ascii="Garamond" w:hAnsi="Garamond"/>
        </w:rPr>
        <w:fldChar w:fldCharType="end"/>
      </w:r>
      <w:r w:rsidRPr="009672FC">
        <w:rPr>
          <w:rFonts w:ascii="Garamond" w:hAnsi="Garamond"/>
        </w:rPr>
        <w:t xml:space="preserve"> suggest that American consumers tend to prefer companies that are engaged in sincere and credible social causes, especially after September 11. For the non-profit firms, the cause-based alliance is a source of corporate philanthropy or cash-in donation </w:t>
      </w:r>
      <w:r w:rsidRPr="009672FC">
        <w:rPr>
          <w:rFonts w:ascii="Garamond" w:hAnsi="Garamond"/>
        </w:rPr>
        <w:fldChar w:fldCharType="begin" w:fldLock="1"/>
      </w:r>
      <w:r w:rsidRPr="009672FC">
        <w:rPr>
          <w:rFonts w:ascii="Garamond" w:hAnsi="Garamond"/>
        </w:rPr>
        <w:instrText>ADDIN CSL_CITATION {"citationItems":[{"id":"ITEM-1","itemData":{"DOI":"10.1300/J054v09n01","author":[{"dropping-particle":"","family":"Samu","given":"Sridhar","non-dropping-particle":"","parse-names":false,"suffix":""},{"dropping-particle":"","family":"Wymer, Jr.","given":"Walter W","non-dropping-particle":"","parse-names":false,"suffix":""}],"container-title":"Journal of Nonprofit &amp; Public Sector Marketing","id":"ITEM-1","issue":"2001","issued":{"date-parts":[["2001"]]},"page":"45-61","title":"Nonprofit-Business Alliance Model: Formation and Outcomes","type":"article-journal","volume":"5142"},"uris":["http://www.mendeley.com/documents/?uuid=6a217f71-931c-4195-8d2a-3e8fba557e5c"]}],"mendeley":{"formattedCitation":"(Samu &amp; Wymer, Jr., 2001)","manualFormatting":"(Samu and Wymer, 2001)","plainTextFormattedCitation":"(Samu &amp; Wymer, Jr., 2001)","previouslyFormattedCitation":"(Samu &amp; Wymer, Jr., 2001)"},"properties":{"noteIndex":0},"schema":"https://github.com/citation-style-language/schema/raw/master/csl-citation.json"}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(Samu and Wymer, 2001)</w:t>
      </w:r>
      <w:r w:rsidRPr="009672FC">
        <w:rPr>
          <w:rFonts w:ascii="Garamond" w:hAnsi="Garamond"/>
        </w:rPr>
        <w:fldChar w:fldCharType="end"/>
      </w:r>
      <w:r w:rsidRPr="009672FC">
        <w:rPr>
          <w:rFonts w:ascii="Garamond" w:hAnsi="Garamond"/>
        </w:rPr>
        <w:t xml:space="preserve"> and increases awareness of non-profit cause </w:t>
      </w:r>
      <w:r w:rsidRPr="009672FC">
        <w:rPr>
          <w:rFonts w:ascii="Garamond" w:hAnsi="Garamond"/>
        </w:rPr>
        <w:fldChar w:fldCharType="begin" w:fldLock="1"/>
      </w:r>
      <w:r w:rsidRPr="009672FC">
        <w:rPr>
          <w:rFonts w:ascii="Garamond" w:hAnsi="Garamond"/>
        </w:rPr>
        <w:instrText>ADDIN CSL_CITATION {"citationItems":[{"id":"ITEM-1","itemData":{"DOI":"10.1300/J054v11n01","ISBN":"10495142","ISSN":"1049-5142","abstract":"Examines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 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attitude.","author":[{"dropping-particle":"","family":"Wymer, Jr.","given":"W. W","non-dropping-particle":"","parse-names":false,"suffix":""},{"dropping-particle":"","family":"Samu","given":"Sridhar","non-dropping-particle":"","parse-names":false,"suffix":""}],"container-title":"Journal of Nonprofit &amp; Public Sector Marketing","id":"ITEM-1","issue":"1","issued":{"date-parts":[["2003"]]},"page":"59-76","title":"Dimensions of business and nonprofit","type":"article-journal","volume":"11"},"uris":["http://www.mendeley.com/documents/?uuid=246cb0f6-0d1e-4f37-9d95-b616916efcad"]}],"mendeley":{"formattedCitation":"(Wymer, Jr. &amp; Samu, 2003)","manualFormatting":"(Wymer, and Samu, 2003)","plainTextFormattedCitation":"(Wymer, Jr. &amp; Samu, 2003)","previouslyFormattedCitation":"(Wymer, Jr. &amp; Samu,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(Wymer, and Samu, 2003)</w:t>
      </w:r>
      <w:r w:rsidRPr="009672FC">
        <w:rPr>
          <w:rFonts w:ascii="Garamond" w:hAnsi="Garamond"/>
        </w:rPr>
        <w:fldChar w:fldCharType="end"/>
      </w:r>
      <w:r w:rsidRPr="009672FC">
        <w:rPr>
          <w:rFonts w:ascii="Garamond" w:hAnsi="Garamond"/>
        </w:rPr>
        <w:t xml:space="preserve"> thus, enabling them to address their mandate of social development. </w:t>
      </w:r>
    </w:p>
    <w:p w14:paraId="2BE832E4" w14:textId="169461F5" w:rsidR="003D5DE8" w:rsidRPr="009672FC" w:rsidRDefault="007549AA" w:rsidP="00890FB2">
      <w:pPr>
        <w:spacing w:before="240" w:line="360" w:lineRule="auto"/>
        <w:jc w:val="both"/>
        <w:rPr>
          <w:rFonts w:ascii="Garamond" w:hAnsi="Garamond"/>
        </w:rPr>
      </w:pPr>
      <w:r w:rsidRPr="009672FC">
        <w:rPr>
          <w:rFonts w:ascii="Garamond" w:hAnsi="Garamond"/>
        </w:rPr>
        <w:t xml:space="preserve">Despite the significant role of cause-based SE, a plethora of research is </w:t>
      </w:r>
      <w:proofErr w:type="spellStart"/>
      <w:r w:rsidRPr="009672FC">
        <w:rPr>
          <w:rFonts w:ascii="Garamond" w:hAnsi="Garamond"/>
        </w:rPr>
        <w:t>centred</w:t>
      </w:r>
      <w:proofErr w:type="spellEnd"/>
      <w:r w:rsidRPr="009672FC">
        <w:rPr>
          <w:rFonts w:ascii="Garamond" w:hAnsi="Garamond"/>
        </w:rPr>
        <w:t xml:space="preserve"> around the cross-sector business-non-profit alliance and marketing domain, thus facing a relative paucity of research </w:t>
      </w:r>
      <w:r w:rsidRPr="009672FC">
        <w:rPr>
          <w:rFonts w:ascii="Garamond" w:hAnsi="Garamond"/>
        </w:rPr>
        <w:fldChar w:fldCharType="begin" w:fldLock="1"/>
      </w:r>
      <w:r w:rsidR="00813D37" w:rsidRPr="009672FC">
        <w:rPr>
          <w:rFonts w:ascii="Garamond" w:hAnsi="Garamond"/>
        </w:rPr>
        <w:instrText>ADDIN CSL_CITATION {"citationItems":[{"id":"ITEM-1","itemData":{"DOI":"10.1177/0899764004266016","ISSN":"08997640","abstract":"This article examines the behavioral dynamics at the interface between organizations in strategic partnerships called cause-based partnerships (CBPs). These are partnerships between a corporation and one or more nonprofit organizations that address social metaproblems such as environmental sustainability or social-justice challenges. Various a priori differences such as tasks, processes, and organizational cultures are expected to affect outcomes, but this article argues that a key determinant of successful CBP performance is behavioral dynamics at the interface between the partners. This article builds a framework for understanding these behavioral dynamics in terms of an emergent culture. Three scenarios - integration, reculturation, and separation - are described for how participants in CBPs continually negotiate a workable set of cultural practices among themselves. Examples are based on interviews with CBP managers. These explorations expand the basis for understanding CBP dynamics beyond those provided by static task, process, or common-culture explanations.","author":[{"dropping-particle":"","family":"Parker","given":"Barbara","non-dropping-particle":"","parse-names":false,"suffix":""},{"dropping-particle":"","family":"Selsky","given":"John W.","non-dropping-particle":"","parse-names":false,"suffix":""}],"container-title":"Nonprofit and Voluntary Sector Quarterly","id":"ITEM-1","issue":"3","issued":{"date-parts":[["2004"]]},"page":"458-488","title":"Interface dynamics in cause-based partnerships: An exploration of emergent culture","type":"article-journal","volume":"33"},"uris":["http://www.mendeley.com/documents/?uuid=10d314fb-0bd8-4bd3-9a7e-dc424040c391"]}],"mendeley":{"formattedCitation":"(B. Parker &amp; Selsky, 2004)","manualFormatting":"(Parker and Selsky, 2004;","plainTextFormattedCitation":"(B. Parker &amp; Selsky, 2004)","previouslyFormattedCitation":"(Parker &amp; Selsky,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(Parker and Selsky, 2004;</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{"citationItems":[{"id":"ITEM-1","itemData":{"author":[{"dropping-particle":"","family":"Berger","given":"Ida E","non-dropping-particle":"","parse-names":false,"suffix":""},{"dropping-particle":"","family":"Cunningham","given":"Peggy H","non-dropping-particle":"","parse-names":false,"suffix":""},{"dropping-particle":"","family":"Drumwright","given":"Minette E","non-dropping-particle":"","parse-names":false,"suffix":""},{"dropping-particle":"","family":"Berger","given":"Ida E","non-dropping-particle":"","parse-names":false,"suffix":""},{"dropping-particle":"","family":"Cunningham","given":"Peggy H","non-dropping-particle":"","parse-names":false,"suffix":""}],"container-title":"CALIFORNIA MANAGEMENT REVIEW","id":"ITEM-1","issue":"1","issued":{"date-parts":[["2004"]]},"title":"Social Alliances: Company/Nonprofit Collaboration","type":"article-journal","volume":"47"},"uris":["http://www.mendeley.com/documents/?uuid=82201975-b754-41d7-807b-3df52cfeebce"]}],"mendeley":{"formattedCitation":"(Berger et al., 2004)","manualFormatting":"Berger et al., 2004)","plainTextFormattedCitation":"(Berger et al., 2004)","previouslyFormattedCitation":"(Berger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Berger </w:t>
      </w:r>
      <w:r w:rsidRPr="009672FC">
        <w:rPr>
          <w:rFonts w:ascii="Garamond" w:hAnsi="Garamond"/>
          <w:i/>
          <w:noProof/>
        </w:rPr>
        <w:t>et al.</w:t>
      </w:r>
      <w:r w:rsidRPr="009672FC">
        <w:rPr>
          <w:rFonts w:ascii="Garamond" w:hAnsi="Garamond"/>
          <w:noProof/>
        </w:rPr>
        <w:t>, 2004)</w:t>
      </w:r>
      <w:r w:rsidRPr="009672FC">
        <w:rPr>
          <w:rFonts w:ascii="Garamond" w:hAnsi="Garamond"/>
        </w:rPr>
        <w:fldChar w:fldCharType="end"/>
      </w:r>
      <w:r w:rsidRPr="009672FC">
        <w:rPr>
          <w:rFonts w:ascii="Garamond" w:hAnsi="Garamond"/>
        </w:rPr>
        <w:t xml:space="preserve"> particularly in the inter-firm alliance research domain </w:t>
      </w:r>
      <w:r w:rsidRPr="009672FC">
        <w:rPr>
          <w:rFonts w:ascii="Garamond" w:hAnsi="Garamond"/>
        </w:rPr>
        <w:fldChar w:fldCharType="begin" w:fldLock="1"/>
      </w:r>
      <w:r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2009)","plainTextFormattedCitation":"(Faminow et al.,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(Faminow et al., 2009)</w:t>
      </w:r>
      <w:r w:rsidRPr="009672FC">
        <w:rPr>
          <w:rFonts w:ascii="Garamond" w:hAnsi="Garamond"/>
        </w:rPr>
        <w:fldChar w:fldCharType="end"/>
      </w:r>
      <w:r w:rsidRPr="009672FC">
        <w:rPr>
          <w:rFonts w:ascii="Garamond" w:hAnsi="Garamond"/>
        </w:rPr>
        <w:t>. This study, however, tries to address this gap in the literature.</w:t>
      </w:r>
    </w:p>
    <w:p w14:paraId="05F51A97" w14:textId="79688678" w:rsidR="003D5DE8" w:rsidRPr="009672FC" w:rsidRDefault="007549AA" w:rsidP="00890FB2">
      <w:pPr>
        <w:pStyle w:val="Title"/>
        <w:numPr>
          <w:ilvl w:val="2"/>
          <w:numId w:val="12"/>
        </w:numPr>
        <w:spacing w:before="240" w:line="360" w:lineRule="auto"/>
        <w:jc w:val="both"/>
        <w:outlineLvl w:val="2"/>
        <w:rPr>
          <w:rFonts w:ascii="Garamond" w:hAnsi="Garamond" w:cs="Times New Roman"/>
          <w:b/>
          <w:bCs/>
          <w:i/>
          <w:iCs/>
          <w:sz w:val="24"/>
          <w:szCs w:val="24"/>
        </w:rPr>
      </w:pPr>
      <w:bookmarkStart w:id="222" w:name="_Toc85708770"/>
      <w:bookmarkStart w:id="223" w:name="_Toc85709784"/>
      <w:r w:rsidRPr="009672FC">
        <w:rPr>
          <w:rFonts w:ascii="Garamond" w:hAnsi="Garamond" w:cs="Times New Roman"/>
          <w:b/>
          <w:bCs/>
          <w:i/>
          <w:iCs/>
          <w:sz w:val="24"/>
          <w:szCs w:val="24"/>
        </w:rPr>
        <w:t>Conceptualizing of Cause-Based Social Entrepreneurship (SE) Alliance</w:t>
      </w:r>
      <w:bookmarkEnd w:id="222"/>
      <w:bookmarkEnd w:id="223"/>
    </w:p>
    <w:p w14:paraId="7E113A84" w14:textId="77777777" w:rsidR="00890FB2" w:rsidRPr="009672FC" w:rsidRDefault="007549AA" w:rsidP="00890FB2">
      <w:pPr>
        <w:spacing w:line="360" w:lineRule="auto"/>
        <w:jc w:val="both"/>
        <w:rPr>
          <w:rFonts w:ascii="Garamond" w:hAnsi="Garamond"/>
          <w:i/>
          <w:iCs/>
        </w:rPr>
      </w:pPr>
      <w:r w:rsidRPr="009672FC">
        <w:rPr>
          <w:rFonts w:ascii="Garamond" w:hAnsi="Garamond"/>
        </w:rPr>
        <w:t xml:space="preserve">The cause-based venture is conceptualized as a form of social entrepreneurship  (SE) </w:t>
      </w:r>
      <w:r w:rsidRPr="009672FC">
        <w:rPr>
          <w:rFonts w:ascii="Garamond" w:hAnsi="Garamond"/>
        </w:rPr>
        <w:fldChar w:fldCharType="begin" w:fldLock="1"/>
      </w:r>
      <w:r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2009)","manualFormatting":"(Faminow, Carter and Lundy, 2009;","plainTextFormattedCitation":"(Faminow et al.,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(Faminow, Carter and Lundy, 2009;</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{"citationItems":[{"id":"ITEM-1","itemData":{"DOI":"10.1057/9780230625655","ISBN":"9780230625655","abstract":"Social Entrepreneurship is a global phenomenon that impacts the lives of citizens by using innovative approaches to solving social problems. This book offers a comprehensive examination of this growing area of research and provides an excellent introduction to social entrepreneurship theory and a framework for future research.","author":[{"dropping-particle":"","family":"Mair","given":"Johanna","non-dropping-particle":"","parse-names":false,"suffix":""},{"dropping-particle":"","family":"Robinson","given":"Jeffrey","non-dropping-particle":"","parse-names":false,"suffix":""},{"dropping-particle":"","family":"Hockerts","given":"Kai","non-dropping-particle":"","parse-names":false,"suffix":""}],"container-title":"Social Entrepreneurship","id":"ITEM-1","issued":{"date-parts":[["2006"]]},"number-of-pages":"1-280","title":"Social entrepreneurship","type":"book"},"uris":["http://www.mendeley.com/documents/?uuid=596ee179-b6ac-4ce9-8614-49e958086b60"]}],"mendeley":{"formattedCitation":"(Mair et al., 2006)","manualFormatting":"Mair, Robinson and Hockerts, 2006, p. 23-33,","plainTextFormattedCitation":"(Mair et al., 2006)","previouslyFormattedCitation":"(Mair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Mair, Robinson and Hockerts, 2006, p. 23-33,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{"citationItems":[{"id":"ITEM-1","itemData":{"DOI":"10.1002/smj.179","ISSN":"01432095","abstract":"This paper extends entrepreneurship into the domain of alliances, and investigates the effect of alliance proactiveness on market-based firm performance (defined in terms of sales growth, market share, market development and product development). Alliance proactiveness is defined as the extent to which an organization engages in identifying and responding to partnering opportunities. The effect of alliance proactiveness on performance is tested within a contingency framework, with size and perceived environmental uncertainty as moderators, and using data from 182 firms. We estimated the model using partial least squares. Results indicate that alliance proactiveness leads to superior market-based performance, and that this effect is stronger for small firms and in unstable market environments. Copyright © 2001 John Wiley &amp; Sons, Ltd.","author":[{"dropping-particle":"","family":"Sarkar","given":"M. B.","non-dropping-particle":"","parse-names":false,"suffix":""},{"dropping-particle":"","family":"Echambadi","given":"R. A.J.","non-dropping-particle":"","parse-names":false,"suffix":""},{"dropping-particle":"","family":"Harrison","given":"Jeffrey S.","non-dropping-particle":"","parse-names":false,"suffix":""}],"container-title":"Strategic Management Journal","id":"ITEM-1","issue":"6-7","issued":{"date-parts":[["2001"]]},"page":"701-711","title":"Alliance entrepreneurship and firm market performance","type":"article-journal","volume":"22"},"uris":["http://www.mendeley.com/documents/?uuid=d8434c71-cb14-4aa0-8326-599161489396"]}],"mendeley":{"formattedCitation":"(Sarkar et al., 2001)","manualFormatting":"Sarkar, Echambadi and Harrison, 2001)","plainTextFormattedCitation":"(Sarkar et al., 2001)","previouslyFormattedCitation":"(Sarkar et al., 2001)"},"properties":{"noteIndex":0},"schema":"https://github.com/citation-style-language/schema/raw/master/csl-citation.json"}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Sarkar, Echambadi and Harrison, 2001)</w:t>
      </w:r>
      <w:r w:rsidRPr="009672FC">
        <w:rPr>
          <w:rFonts w:ascii="Garamond" w:hAnsi="Garamond"/>
        </w:rPr>
        <w:fldChar w:fldCharType="end"/>
      </w:r>
      <w:r w:rsidRPr="009672FC">
        <w:rPr>
          <w:rFonts w:ascii="Garamond" w:hAnsi="Garamond"/>
        </w:rPr>
        <w:t xml:space="preserve"> or as a social purpose business venture </w:t>
      </w:r>
      <w:r w:rsidRPr="009672FC">
        <w:rPr>
          <w:rFonts w:ascii="Garamond" w:hAnsi="Garamond"/>
        </w:rPr>
        <w:fldChar w:fldCharType="begin" w:fldLock="1"/>
      </w:r>
      <w:r w:rsidRPr="009672FC">
        <w:rPr>
          <w:rFonts w:ascii="Garamond" w:hAnsi="Garamond"/>
        </w:rPr>
        <w:instrText>ADDIN CSL_CITATION {"citationItems":[{"id":"ITEM-1","itemData":{"author":[{"dropping-particle":"","family":"Hockerts","given":"Kai","non-dropping-particle":"","parse-names":false,"suffix":""}],"container-title":"Social Entrepreneurship","id":"ITEM-1","issued":{"date-parts":[["2006"]]},"page":"142-154","publisher":"Palgrave Macmillan, a division of Macmillan Publishers Limited","title":"Entrepreneurial Opportunity in Social Purpose Business Ventures","type":"chapter"},"uris":["http://www.mendeley.com/documents/?uuid=689444ca-93f2-4ce3-8013-7cadc68a3e58"]}],"mendeley":{"formattedCitation":"(Hockerts, 2006)","plainTextFormattedCitation":"(Hockerts, 2006)","previouslyFormattedCitation":"(Hockerts,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(Hockerts, 2006)</w:t>
      </w:r>
      <w:r w:rsidRPr="009672FC">
        <w:rPr>
          <w:rFonts w:ascii="Garamond" w:hAnsi="Garamond"/>
        </w:rPr>
        <w:fldChar w:fldCharType="end"/>
      </w:r>
      <w:r w:rsidRPr="009672FC">
        <w:rPr>
          <w:rFonts w:ascii="Garamond" w:hAnsi="Garamond"/>
        </w:rPr>
        <w:t xml:space="preserve"> ensuring innovative social value-creating activity primarily to advance social development of society while simultaneously pursuing commercial interests of organizations </w:t>
      </w:r>
      <w:r w:rsidRPr="009672FC">
        <w:rPr>
          <w:rFonts w:ascii="Garamond" w:hAnsi="Garamond"/>
        </w:rPr>
        <w:fldChar w:fldCharType="begin" w:fldLock="1"/>
      </w:r>
      <w:r w:rsidRPr="009672FC">
        <w:rPr>
          <w:rFonts w:ascii="Garamond" w:hAnsi="Garamond"/>
        </w:rPr>
        <w:instrText>ADDIN CSL_CITATION {"citationItems":[{"id":"ITEM-1","itemData":{"DOI":"10.1111/j.1540-6520.2009.00354.x","ISBN":"0275989860","author":[{"dropping-particle":"","family":"Austin","given":"James","non-dropping-particle":"","parse-names":false,"suffix":""},{"dropping-particle":"","family":"Stevenson","given":"Howard","non-dropping-particle":"","parse-names":false,"suffix":""},{"dropping-particle":"","family":"Wei-Skillern","given":"Jane","non-dropping-particle":"","parse-names":false,"suffix":""}],"container-title":"Entrepreneurship theory and practice","id":"ITEM-1","issue":"1","issued":{"date-parts":[["2006"]]},"page":"1-22","title":"Social and Commercial Entrepreneurship: Same, Different, or Both?","type":"article-journal","volume":"30"},"uris":["http://www.mendeley.com/documents/?uuid=06bea3d3-e3f0-41d2-89e3-a274ac1a1607"]}],"mendeley":{"formattedCitation":"(J. Austin et al., 2006)","manualFormatting":"(Austin et al., 2006)","plainTextFormattedCitation":"(J. Austin et al., 2006)","previouslyFormattedCitation":"(J. Austin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et al., 2006)</w:t>
      </w:r>
      <w:r w:rsidRPr="009672FC">
        <w:rPr>
          <w:rFonts w:ascii="Garamond" w:hAnsi="Garamond"/>
        </w:rPr>
        <w:fldChar w:fldCharType="end"/>
      </w:r>
      <w:r w:rsidRPr="009672FC">
        <w:rPr>
          <w:rFonts w:ascii="Garamond" w:hAnsi="Garamond"/>
        </w:rPr>
        <w:t xml:space="preserve">. The innovation and profit motivations of cause-based ventures explain why some SE are more innovative and profitable than others </w:t>
      </w:r>
      <w:r w:rsidRPr="009672FC">
        <w:rPr>
          <w:rFonts w:ascii="Garamond" w:hAnsi="Garamond"/>
        </w:rPr>
        <w:fldChar w:fldCharType="begin" w:fldLock="1"/>
      </w:r>
      <w:r w:rsidRPr="009672FC">
        <w:rPr>
          <w:rFonts w:ascii="Garamond" w:hAnsi="Garamond"/>
        </w:rPr>
        <w:instrText>ADDIN CSL_CITATION {"citationItems":[{"id":"ITEM-1","itemData":{"DOI":"10.1016/j.jbusres.2019.02.031","ISSN":"01482963","abstract":"The literature on the motivation for social entrepreneurship focuses mainly on prosocial attitude. Very little research has been undertaken to understand the innovation and profit elements of social entrepreneurship. This study performs a conjoint experiment to reveal the importance of these three elements as motivators for social entrepreneurship, and then employs fuzzy-set qualitative comparative analysis (fsQCA) to identify configurations of motives, self-efficacies, and personal conditions that culminate in social entrepreneurial intention (SEI). Our results reveal asymmetric relationships between SEI and prosocial attitude, innovation attitude, and entrepreneurial self-efficacy, while profit motivation may be either high or low for SEI.","author":[{"dropping-particle":"","family":"Douglas","given":"Evan","non-dropping-particle":"","parse-names":false,"suffix":""},{"dropping-particle":"","family":"Prentice","given":"Catherine","non-dropping-particle":"","parse-names":false,"suffix":""}],"container-title":"Journal of Business Research","id":"ITEM-1","issue":"November 2018","issued":{"date-parts":[["2019"]]},"page":"69-79","title":"Innovation and profit motivations for social entrepreneurship: A fuzzy-set analysis","type":"article-journal","volume":"99"},"uris":["http://www.mendeley.com/documents/?uuid=c0cfbc6e-6e2a-475c-b9a2-ad88c72e6f9c"]}],"mendeley":{"formattedCitation":"(Douglas &amp; Prentice, 2019)","plainTextFormattedCitation":"(Douglas &amp; Prentice, 2019)","previouslyFormattedCitation":"(Douglas &amp; Prentice,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(Douglas &amp; Prentice, 2019)</w:t>
      </w:r>
      <w:r w:rsidRPr="009672FC">
        <w:rPr>
          <w:rFonts w:ascii="Garamond" w:hAnsi="Garamond"/>
        </w:rPr>
        <w:fldChar w:fldCharType="end"/>
      </w:r>
      <w:r w:rsidRPr="009672FC">
        <w:rPr>
          <w:rFonts w:ascii="Garamond" w:hAnsi="Garamond"/>
        </w:rPr>
        <w:t xml:space="preserve">. Recently, </w:t>
      </w:r>
      <w:r w:rsidRPr="009672FC">
        <w:rPr>
          <w:rFonts w:ascii="Garamond" w:hAnsi="Garamond"/>
        </w:rPr>
        <w:fldChar w:fldCharType="begin" w:fldLock="1"/>
      </w:r>
      <w:r w:rsidRPr="009672FC">
        <w:rPr>
          <w:rFonts w:ascii="Garamond" w:hAnsi="Garamond"/>
        </w:rPr>
        <w:instrText>ADDIN CSL_CITATION {"citationItems":[{"id":"ITEM-1","itemData":{"DOI":"10.1108/JEEE-06-2020-0163","ISSN":"20534612","abstract":"Purpose: Coronavirus (Covid-19) is a pandemic that not only has caused significant havoc around the world but also presents some important opportunities for entrepreneurs to be innovative in the marketplace. The purpose of this paper is to detail in more depth how entrepreneurs have been affected by the crisis by focussing on specific types of entrepreneurship in terms of cultural, lifestyle and social change. Design/methodology/approach: A review of the existing literature on Covid-19 and crisis management is conducted that highlights the effect of the pandemic on entrepreneurs. This approach enables an integration of the existing research on resilience in terms of how entrepreneurs adapt and pivot their business models in response to change. Thereby enabling a contemporary view about the ways entrepreneurs can contribute to societal well-being in times of huge economic and social upheaval. Findings: While entrepreneurs by nature are resilient, the Covid-19 crisis in terms of its magnitude and length has led to specific challenges faced by entrepreneurs in adapting to the new environment. These challenges can be related to the way entrepreneurs respond to uncertainty by being flexible but also through the support of an entrepreneurial ecosystem environment. Originality/value: Due to the Covid-19 crisis being an ongoing and recent phenomenon, this paper is amongst the first to focus specifically on how cultural, lifestyle and social attributes of society have changed. Thereby providing advice to current and future entrepreneurs about how to respond to crisis situations and to manage short- and long-term considerations. There is a growing body of research in entrepreneurship that is offering valuable insights by taking a crisis approach. In addition to the practical opportunities touched upon in this paper, there are associated numerous research potentials due to the intersection of crisis management, entrepreneurship and resilience literature.","author":[{"dropping-particle":"","family":"Ratten","given":"Vanessa","non-dropping-particle":"","parse-names":false,"suffix":""}],"container-title":"Journal of Entrepreneurship in Emerging Economies","id":"ITEM-1","issue":"4","issued":{"date-parts":[["2020"]]},"page":"747-761","title":"Coronavirus (Covid-19) and entrepreneurship: cultural, lifestyle and societal changes","type":"article-journal","volume":"13"},"uris":["http://www.mendeley.com/documents/?uuid=56336448-d281-4bba-8946-59b4b3c54402"]}],"mendeley":{"formattedCitation":"(Ratten, 2020)","manualFormatting":"Ratten (2020)","plainTextFormattedCitation":"(Ratten, 2020)","previouslyFormattedCitation":"(Ratten,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Ratten (2020)</w:t>
      </w:r>
      <w:r w:rsidRPr="009672FC">
        <w:rPr>
          <w:rFonts w:ascii="Garamond" w:hAnsi="Garamond"/>
        </w:rPr>
        <w:fldChar w:fldCharType="end"/>
      </w:r>
      <w:r w:rsidRPr="009672FC">
        <w:rPr>
          <w:rFonts w:ascii="Garamond" w:hAnsi="Garamond"/>
        </w:rPr>
        <w:t xml:space="preserve"> describe how social entrepreneurship seeks to integrate social change into business activity. In addition to the social motives of SE alliance including social mission, environmental context and organizational sustainability, SE alliance promote invention or discovery of new ideas through networking, opportunity identification, and risk management that lie in certain social problems </w:t>
      </w:r>
      <w:r w:rsidRPr="009672FC">
        <w:rPr>
          <w:rFonts w:ascii="Garamond" w:hAnsi="Garamond"/>
        </w:rPr>
        <w:fldChar w:fldCharType="begin" w:fldLock="1"/>
      </w:r>
      <w:r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2009)","plainTextFormattedCitation":"(Faminow et al.,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(Faminow et al., 2009)</w:t>
      </w:r>
      <w:r w:rsidRPr="009672FC">
        <w:rPr>
          <w:rFonts w:ascii="Garamond" w:hAnsi="Garamond"/>
        </w:rPr>
        <w:fldChar w:fldCharType="end"/>
      </w:r>
      <w:r w:rsidRPr="009672FC">
        <w:rPr>
          <w:rFonts w:ascii="Garamond" w:hAnsi="Garamond"/>
        </w:rPr>
        <w:t xml:space="preserve">. </w:t>
      </w:r>
    </w:p>
    <w:p w14:paraId="3DA89570" w14:textId="08DC501B" w:rsidR="003D5DE8" w:rsidRPr="009672FC" w:rsidRDefault="007549AA" w:rsidP="00890FB2">
      <w:pPr>
        <w:spacing w:before="240" w:line="360" w:lineRule="auto"/>
        <w:jc w:val="both"/>
        <w:rPr>
          <w:rFonts w:ascii="Garamond" w:hAnsi="Garamond"/>
          <w:i/>
          <w:iCs/>
        </w:rPr>
      </w:pPr>
      <w:r w:rsidRPr="009672FC">
        <w:rPr>
          <w:rFonts w:ascii="Garamond" w:hAnsi="Garamond"/>
        </w:rPr>
        <w:lastRenderedPageBreak/>
        <w:t xml:space="preserve">More specifically, the social entrepreneurship construct makes the cause-based alliance an alternative solution to the magnitude of complex social problems that transcend single firms. The entrepreneurial aspect of a cause-based alliance introduces new and innovative technology to deliver innovative social value </w:t>
      </w:r>
      <w:r w:rsidRPr="009672FC">
        <w:rPr>
          <w:rFonts w:ascii="Garamond" w:hAnsi="Garamond"/>
        </w:rPr>
        <w:fldChar w:fldCharType="begin" w:fldLock="1"/>
      </w:r>
      <w:r w:rsidRPr="009672FC">
        <w:rPr>
          <w:rFonts w:ascii="Garamond" w:hAnsi="Garamond"/>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2009)","plainTextFormattedCitation":"(Faminow et al., 2009)","previouslyFormattedCitation":"(Faminow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(Faminow et al., 2009)</w:t>
      </w:r>
      <w:r w:rsidRPr="009672FC">
        <w:rPr>
          <w:rFonts w:ascii="Garamond" w:hAnsi="Garamond"/>
        </w:rPr>
        <w:fldChar w:fldCharType="end"/>
      </w:r>
      <w:r w:rsidRPr="009672FC">
        <w:rPr>
          <w:rFonts w:ascii="Garamond" w:hAnsi="Garamond"/>
        </w:rPr>
        <w:t xml:space="preserve">. In a review of SE literature, </w:t>
      </w:r>
      <w:r w:rsidRPr="009672FC">
        <w:rPr>
          <w:rFonts w:ascii="Garamond" w:hAnsi="Garamond"/>
        </w:rPr>
        <w:fldChar w:fldCharType="begin" w:fldLock="1"/>
      </w:r>
      <w:r w:rsidRPr="009672FC">
        <w:rPr>
          <w:rFonts w:ascii="Garamond" w:hAnsi="Garamond"/>
        </w:rPr>
        <w:instrText>ADDIN CSL_CITATION {"citationItems":[{"id":"ITEM-1","itemData":{"DOI":"10.1108/14626000710773529","ISSN":"14626004","abstract":"Purpose - The purpose of this paper is to address the emerging practice of social entrepreneurship by exploring the historical and theoretical antecedents of social enterprise and its contemporary practice. By exploring key theoretical concepts, the paper draws comparisons between \"for-profit\" and social entrepreneurs. The paper seeks to discuss the contemporary practice of social entrepreneurship. Discussion of the theory of entrepreneurship and contemporary practice of social entrepreneurs seeks to create a more nuanced view of social entrepreneurship and develop greater theoretical insights into this phenomenon and its recent expansion. Design/methodology/approach - A phenomenological research approach was adopted, and 80 in-depth interviews with social entrepreneurs from across the UK identified as the most appropriate data collection tool. Data analysis sought to identify and understand similarities between the more understood and studied behaviour of \"profit-seeking\" entrepreneurs and those of an emerging group of social entrepreneurs. Findings - In-depth interviews revealed five key themes within which the practice of social entrepreneurship could be compared and contrasted with for-profit entrepreneurship. These included: the entrepreneurial process, in particular, opportunity recognition; network embeddedness; the nature of financial risk and profit; the role of individual versus collective action in managing and structuring enterprises; and creativity and innovation. Practical implications - Findings suggest that while the contemporary practices of social enterprises share many similarities with their for-profit counterparts, significant differences can be found when comparing these practices with extant entrepreneurship research. Originality/value - The paper addresses an emerging phenomenon within the practice and theory of entrepreneurship and offers insight into similarities and differences between entrepreneurship in the profit and not-for-profit sectors.","author":[{"dropping-particle":"","family":"Shaw","given":"Eleanor","non-dropping-particle":"","parse-names":false,"suffix":""},{"dropping-particle":"","family":"Carter","given":"Sara","non-dropping-particle":"","parse-names":false,"suffix":""}],"container-title":"Journal of Small Business and Enterprise Development","id":"ITEM-1","issue":"3","issued":{"date-parts":[["2007"]]},"page":"418-434","title":"Social entrepreneurship: Theoretical antecedents and empirical analysis of entrepreneurial processes and outcomes","type":"article-journal","volume":"14"},"uris":["http://www.mendeley.com/documents/?uuid=cfbef2d7-129f-4b1e-b1c4-69f1907829ac"]}],"mendeley":{"formattedCitation":"(Shaw &amp; Carter, 2007)","manualFormatting":"Shaw and Carter (2007)","plainTextFormattedCitation":"(Shaw &amp; Carter, 2007)","previouslyFormattedCitation":"(Shaw &amp; Carter, 2007)"},"properties":{"noteIndex":0},"schema":"https://github.com/citation-style-language/schema/raw/master/csl-citation.json"}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Shaw and Carter (2007)</w:t>
      </w:r>
      <w:r w:rsidRPr="009672FC">
        <w:rPr>
          <w:rFonts w:ascii="Garamond" w:hAnsi="Garamond"/>
        </w:rPr>
        <w:fldChar w:fldCharType="end"/>
      </w:r>
      <w:r w:rsidRPr="009672FC">
        <w:rPr>
          <w:rFonts w:ascii="Garamond" w:hAnsi="Garamond"/>
        </w:rPr>
        <w:t xml:space="preserve"> suggest that opportunity recognition involving the entrepreneurial search for unmet social needs, and the local embeddedness of the alliance promote the cooperation of local stakeholders to ensure local credibility and goodwill, and increase social value creation. </w:t>
      </w:r>
    </w:p>
    <w:p w14:paraId="0779C69A" w14:textId="60BB6B14" w:rsidR="003D5DE8" w:rsidRPr="009672FC" w:rsidRDefault="007549AA" w:rsidP="00890FB2">
      <w:pPr>
        <w:spacing w:before="240" w:line="360" w:lineRule="auto"/>
        <w:jc w:val="both"/>
        <w:rPr>
          <w:rFonts w:ascii="Garamond" w:hAnsi="Garamond"/>
          <w:i/>
          <w:iCs/>
        </w:rPr>
      </w:pPr>
      <w:r w:rsidRPr="009672FC">
        <w:rPr>
          <w:rFonts w:ascii="Garamond" w:hAnsi="Garamond"/>
        </w:rPr>
        <w:t xml:space="preserve">The different competitive intends and the degree of idiosyncrasy between firms make cause-based SE alliance a challenging strategy and perhaps, even less popular. However, </w:t>
      </w:r>
      <w:r w:rsidRPr="009672FC">
        <w:rPr>
          <w:rFonts w:ascii="Garamond" w:hAnsi="Garamond"/>
        </w:rPr>
        <w:fldChar w:fldCharType="begin" w:fldLock="1"/>
      </w:r>
      <w:r w:rsidR="00813D37" w:rsidRPr="009672FC">
        <w:rPr>
          <w:rFonts w:ascii="Garamond" w:hAnsi="Garamond"/>
        </w:rPr>
        <w:instrText>ADDIN CSL_CITATION {"citationItems":[{"id":"ITEM-1","itemData":{"DOI":"10.1177/0899764004266016","ISSN":"08997640","abstract":"This article examines the behavioral dynamics at the interface between organizations in strategic partnerships called cause-based partnerships (CBPs). These are partnerships between a corporation and one or more nonprofit organizations that address social metaproblems such as environmental sustainability or social-justice challenges. Various a priori differences such as tasks, processes, and organizational cultures are expected to affect outcomes, but this article argues that a key determinant of successful CBP performance is behavioral dynamics at the interface between the partners. This article builds a framework for understanding these behavioral dynamics in terms of an emergent culture. Three scenarios - integration, reculturation, and separation - are described for how participants in CBPs continually negotiate a workable set of cultural practices among themselves. Examples are based on interviews with CBP managers. These explorations expand the basis for understanding CBP dynamics beyond those provided by static task, process, or common-culture explanations.","author":[{"dropping-particle":"","family":"Parker","given":"Barbara","non-dropping-particle":"","parse-names":false,"suffix":""},{"dropping-particle":"","family":"Selsky","given":"John W.","non-dropping-particle":"","parse-names":false,"suffix":""}],"container-title":"Nonprofit and Voluntary Sector Quarterly","id":"ITEM-1","issue":"3","issued":{"date-parts":[["2004"]]},"page":"458-488","title":"Interface dynamics in cause-based partnerships: An exploration of emergent culture","type":"article-journal","volume":"33"},"uris":["http://www.mendeley.com/documents/?uuid=10d314fb-0bd8-4bd3-9a7e-dc424040c391"]}],"mendeley":{"formattedCitation":"(B. Parker &amp; Selsky, 2004)","manualFormatting":"Parker and Selsky (2004)","plainTextFormattedCitation":"(B. Parker &amp; Selsky, 2004)","previouslyFormattedCitation":"(Parker &amp; Selsky,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Parker and Selsky (2004)</w:t>
      </w:r>
      <w:r w:rsidRPr="009672FC">
        <w:rPr>
          <w:rFonts w:ascii="Garamond" w:hAnsi="Garamond"/>
        </w:rPr>
        <w:fldChar w:fldCharType="end"/>
      </w:r>
      <w:r w:rsidRPr="009672FC">
        <w:rPr>
          <w:rFonts w:ascii="Garamond" w:hAnsi="Garamond"/>
        </w:rPr>
        <w:t xml:space="preserve"> suggest that compatibility or a fit between the partner organizations’ tasks, processes, and cultures are key determinants of successful cause-based partnership performance. Moreover, in the case of cross-sector social alliance between business and non-profits, </w:t>
      </w:r>
      <w:r w:rsidRPr="009672FC">
        <w:rPr>
          <w:rFonts w:ascii="Garamond" w:hAnsi="Garamond"/>
        </w:rPr>
        <w:fldChar w:fldCharType="begin" w:fldLock="1"/>
      </w:r>
      <w:r w:rsidRPr="009672FC">
        <w:rPr>
          <w:rFonts w:ascii="Garamond" w:hAnsi="Garamond"/>
        </w:rPr>
        <w:instrText>ADDIN CSL_CITATION {"citationItems":[{"id":"ITEM-1","itemData":{"author":[{"dropping-particle":"","family":"Berger","given":"Ida E","non-dropping-particle":"","parse-names":false,"suffix":""},{"dropping-particle":"","family":"Cunningham","given":"Peggy H","non-dropping-particle":"","parse-names":false,"suffix":""},{"dropping-particle":"","family":"Drumwright","given":"Minette E","non-dropping-particle":"","parse-names":false,"suffix":""},{"dropping-particle":"","family":"Berger","given":"Ida E","non-dropping-particle":"","parse-names":false,"suffix":""},{"dropping-particle":"","family":"Cunningham","given":"Peggy H","non-dropping-particle":"","parse-names":false,"suffix":""}],"container-title":"CALIFORNIA MANAGEMENT REVIEW","id":"ITEM-1","issue":"1","issued":{"date-parts":[["2004"]]},"title":"Social Alliances: Company/Nonprofit Collaboration","type":"article-journal","volume":"47"},"uris":["http://www.mendeley.com/documents/?uuid=82201975-b754-41d7-807b-3df52cfeebce"]}],"mendeley":{"formattedCitation":"(Berger et al., 2004)","manualFormatting":"Berger et al. (2004)","plainTextFormattedCitation":"(Berger et al., 2004)","previouslyFormattedCitation":"(Berger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Berger </w:t>
      </w:r>
      <w:r w:rsidRPr="009672FC">
        <w:rPr>
          <w:rFonts w:ascii="Garamond" w:hAnsi="Garamond"/>
          <w:i/>
          <w:noProof/>
        </w:rPr>
        <w:t>et al.</w:t>
      </w:r>
      <w:r w:rsidRPr="009672FC">
        <w:rPr>
          <w:rFonts w:ascii="Garamond" w:hAnsi="Garamond"/>
          <w:noProof/>
        </w:rPr>
        <w:t xml:space="preserve"> (2004)</w:t>
      </w:r>
      <w:r w:rsidRPr="009672FC">
        <w:rPr>
          <w:rFonts w:ascii="Garamond" w:hAnsi="Garamond"/>
        </w:rPr>
        <w:fldChar w:fldCharType="end"/>
      </w:r>
      <w:r w:rsidRPr="009672FC">
        <w:rPr>
          <w:rFonts w:ascii="Garamond" w:hAnsi="Garamond"/>
        </w:rPr>
        <w:t xml:space="preserve"> suggest nine strategic alignments necessary for cause-based social alliance success: mission, resource, management style, and workforce fit; target market fit, product/cause fit, cultural fit, cycle fit, and evaluation fit. Moreover, </w:t>
      </w:r>
      <w:r w:rsidRPr="009672FC">
        <w:rPr>
          <w:rFonts w:ascii="Garamond" w:hAnsi="Garamond"/>
        </w:rPr>
        <w:fldChar w:fldCharType="begin" w:fldLock="1"/>
      </w:r>
      <w:r w:rsidRPr="009672FC">
        <w:rPr>
          <w:rFonts w:ascii="Garamond" w:hAnsi="Garamond"/>
        </w:rPr>
        <w:instrText>ADDIN CSL_CITATION {"citationItems":[{"id":"ITEM-1","itemData":{"DOI":"10.1300/J054v11n01","ISBN":"10495142","ISSN":"1049-5142","abstract":"Examines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 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attitude.","author":[{"dropping-particle":"","family":"Wymer, Jr.","given":"W. W","non-dropping-particle":"","parse-names":false,"suffix":""},{"dropping-particle":"","family":"Samu","given":"Sridhar","non-dropping-particle":"","parse-names":false,"suffix":""}],"container-title":"Journal of Nonprofit &amp; Public Sector Marketing","id":"ITEM-1","issue":"1","issued":{"date-parts":[["2003"]]},"page":"59-76","title":"Dimensions of business and nonprofit","type":"article-journal","volume":"11"},"uris":["http://www.mendeley.com/documents/?uuid=246cb0f6-0d1e-4f37-9d95-b616916efcad"]}],"mendeley":{"formattedCitation":"(Wymer, Jr. &amp; Samu, 2003)","manualFormatting":"Wymer, Jr. and Samu (2003)","plainTextFormattedCitation":"(Wymer, Jr. &amp; Samu, 2003)","previouslyFormattedCitation":"(Wymer, Jr. &amp; Samu,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Wymer, Jr. and Samu (2003)</w:t>
      </w:r>
      <w:r w:rsidRPr="009672FC">
        <w:rPr>
          <w:rFonts w:ascii="Garamond" w:hAnsi="Garamond"/>
        </w:rPr>
        <w:fldChar w:fldCharType="end"/>
      </w:r>
      <w:r w:rsidRPr="009672FC">
        <w:rPr>
          <w:rFonts w:ascii="Garamond" w:hAnsi="Garamond"/>
        </w:rPr>
        <w:t xml:space="preserve"> argue that creating a partnership fit help reduce partners’ risks associated with the possibility of corporate/brand reputation damage, reduced funding and possible withdrawal of corporate support (non-profit organizations), and loss of sales or market share. In that sense, there will be less conflict and misunderstanding, thus maximizing economic objectives and value generating social wealth. Under such situation, there is an easy exchange of technological innovation, access to external resources and networks </w:t>
      </w:r>
      <w:r w:rsidRPr="009672FC">
        <w:rPr>
          <w:rFonts w:ascii="Garamond" w:hAnsi="Garamond"/>
        </w:rPr>
        <w:fldChar w:fldCharType="begin" w:fldLock="1"/>
      </w:r>
      <w:r w:rsidRPr="009672FC">
        <w:rPr>
          <w:rFonts w:ascii="Garamond" w:hAnsi="Garamond"/>
        </w:rPr>
        <w:instrText>ADDIN CSL_CITATION {"citationItems":[{"id":"ITEM-1","itemData":{"DOI":"10.1177/014920630002600302","ISSN":"01492063","abstract":"This paper provides an overview of the literature on interorganizational relationships. Although the literature on interorganizational relationships is extensive, a pervasive theme that is either explicit or implicit in the majority of the articles is the simple notion of whether interorganizational relationships make sense and whether the advantages outweigh the disadvantages. This article reviews six widely used theoretical paradigms that explain interorganizational relationship formation, including transaction costs economics, resource dependency, strategic choice, stakeholder theory, organizational learning, and institutional theory. Although each paradigm alone is insufficient to capture the complexities of interorganizational relationship formation, the fact that interorganizational relationships can be justified from such diverse theoretical backgrounds is impressive. The paper also reviews the six forms of interorganizational relationships most commonly pursued in practice and discussed in the literature, including joint ventures, networks, consortia, alliances, trade associations, and interlocking directorates. Through these discussions, we elaborate on the potential advantages and disadvantages of participation in interorganizational relationships. © 2000 Elsevier Science Inc.","author":[{"dropping-particle":"","family":"Barringer","given":"Bruce R.","non-dropping-particle":"","parse-names":false,"suffix":""},{"dropping-particle":"","family":"Harrison","given":"Jeffrey S.","non-dropping-particle":"","parse-names":false,"suffix":""}],"container-title":"Journal of Management","id":"ITEM-1","issue":"3","issued":{"date-parts":[["2000"]]},"page":"367-403","title":"Walking a tightrope: Creating value through interorganizational relationships","type":"article-journal","volume":"26"},"uris":["http://www.mendeley.com/documents/?uuid=cd2d0e9e-aaf0-480f-8e94-3881c989db28"]}],"mendeley":{"formattedCitation":"(Barringer &amp; Harrison, 2000)","plainTextFormattedCitation":"(Barringer &amp; Harrison, 2000)","previouslyFormattedCitation":"(Barringer &amp; Harrison,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(Barringer &amp; Harrison, 2000)</w:t>
      </w:r>
      <w:r w:rsidRPr="009672FC">
        <w:rPr>
          <w:rFonts w:ascii="Garamond" w:hAnsi="Garamond"/>
        </w:rPr>
        <w:fldChar w:fldCharType="end"/>
      </w:r>
      <w:r w:rsidRPr="009672FC">
        <w:rPr>
          <w:rFonts w:ascii="Garamond" w:hAnsi="Garamond"/>
        </w:rPr>
        <w:t xml:space="preserve">.  </w:t>
      </w:r>
    </w:p>
    <w:p w14:paraId="65C4BE69" w14:textId="77777777" w:rsidR="003D5DE8" w:rsidRPr="009672FC" w:rsidRDefault="007549AA" w:rsidP="00890FB2">
      <w:pPr>
        <w:spacing w:before="240" w:line="360" w:lineRule="auto"/>
        <w:jc w:val="both"/>
        <w:rPr>
          <w:rFonts w:ascii="Garamond" w:hAnsi="Garamond"/>
          <w:b/>
          <w:bCs/>
          <w:i/>
          <w:iCs/>
        </w:rPr>
      </w:pPr>
      <w:r w:rsidRPr="009672FC">
        <w:rPr>
          <w:rFonts w:ascii="Garamond" w:hAnsi="Garamond"/>
        </w:rPr>
        <w:fldChar w:fldCharType="begin" w:fldLock="1"/>
      </w:r>
      <w:r w:rsidRPr="009672FC">
        <w:rPr>
          <w:rFonts w:ascii="Garamond" w:hAnsi="Garamond"/>
        </w:rPr>
        <w:instrText>ADDIN CSL_CITATION {"citationItems":[{"id":"ITEM-1","itemData":{"DOI":"10.1002/smj.179","ISSN":"01432095","abstract":"This paper extends entrepreneurship into the domain of alliances, and investigates the effect of alliance proactiveness on market-based firm performance (defined in terms of sales growth, market share, market development and product development). Alliance proactiveness is defined as the extent to which an organization engages in identifying and responding to partnering opportunities. The effect of alliance proactiveness on performance is tested within a contingency framework, with size and perceived environmental uncertainty as moderators, and using data from 182 firms. We estimated the model using partial least squares. Results indicate that alliance proactiveness leads to superior market-based performance, and that this effect is stronger for small firms and in unstable market environments. Copyright © 2001 John Wiley &amp; Sons, Ltd.","author":[{"dropping-particle":"","family":"Sarkar","given":"M. B.","non-dropping-particle":"","parse-names":false,"suffix":""},{"dropping-particle":"","family":"Echambadi","given":"R. A.J.","non-dropping-particle":"","parse-names":false,"suffix":""},{"dropping-particle":"","family":"Harrison","given":"Jeffrey S.","non-dropping-particle":"","parse-names":false,"suffix":""}],"container-title":"Strategic Management Journal","id":"ITEM-1","issue":"6-7","issued":{"date-parts":[["2001"]]},"page":"701-711","title":"Alliance entrepreneurship and firm market performance","type":"article-journal","volume":"22"},"uris":["http://www.mendeley.com/documents/?uuid=d8434c71-cb14-4aa0-8326-599161489396"]}],"mendeley":{"formattedCitation":"(Sarkar et al., 2001)","manualFormatting":"Sarkar, Echambadi and Harrison (2001)","plainTextFormattedCitation":"(Sarkar et al., 2001)","previouslyFormattedCitation":"(Sarkar et al., 2001)"},"properties":{"noteIndex":0},"schema":"https://github.com/citation-style-language/schema/raw/master/csl-citation.json"}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Sarkar, Echambadi and Harrison (2001)</w:t>
      </w:r>
      <w:r w:rsidRPr="009672FC">
        <w:rPr>
          <w:rFonts w:ascii="Garamond" w:hAnsi="Garamond"/>
        </w:rPr>
        <w:fldChar w:fldCharType="end"/>
      </w:r>
      <w:r w:rsidRPr="009672FC">
        <w:rPr>
          <w:rFonts w:ascii="Garamond" w:hAnsi="Garamond"/>
        </w:rPr>
        <w:t xml:space="preserve"> discussed alliance proactive behaviour as a key driver of SE alliance formation, presenting firms the opportunities to create value through learning new skills and leveraging the complementary resources of their partners </w:t>
      </w:r>
      <w:r w:rsidRPr="009672FC">
        <w:rPr>
          <w:rFonts w:ascii="Garamond" w:hAnsi="Garamond"/>
        </w:rPr>
        <w:fldChar w:fldCharType="begin" w:fldLock="1"/>
      </w:r>
      <w:r w:rsidRPr="009672FC">
        <w:rPr>
          <w:rFonts w:ascii="Garamond" w:hAnsi="Garamond"/>
        </w:rPr>
        <w:instrText>ADDIN CSL_CITATION {"citationItems":[{"id":"ITEM-1","itemData":{"author":[{"dropping-particle":"","family":"Das","given":"T.K.","non-dropping-particle":"","parse-names":false,"suffix":""},{"dropping-particle":"","family":"Teng","given":"Bing-Sheng","non-dropping-particle":"","parse-names":false,"suffix":""}],"container-title":"The Academy of Management Review","id":"ITEM-1","issue":"3","issued":{"date-parts":[["2002"]]},"page":"445-456","title":"Alliance Constellations: A Social Exchange Perspective","type":"article-journal","volume":"27"},"uris":["http://www.mendeley.com/documents/?uuid=004aa049-0f65-45ea-bca0-d35b877b00d1"]}],"mendeley":{"formattedCitation":"(Das &amp; Teng, 2002)","plainTextFormattedCitation":"(Das &amp; Teng, 2002)","previouslyFormattedCitation":"(Das &amp; Teng,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(Das &amp; Teng, 2002)</w:t>
      </w:r>
      <w:r w:rsidRPr="009672FC">
        <w:rPr>
          <w:rFonts w:ascii="Garamond" w:hAnsi="Garamond"/>
        </w:rPr>
        <w:fldChar w:fldCharType="end"/>
      </w:r>
      <w:r w:rsidRPr="009672FC">
        <w:rPr>
          <w:rFonts w:ascii="Garamond" w:hAnsi="Garamond"/>
        </w:rPr>
        <w:t xml:space="preserve">. That means external resource constellation and strategic alliance relationships with capable partners, improve firms’ competitiveness, particularly for small-sized enterprises. Thus, selecting the right cause-based partner enable actors to develop knowledge of each other’s motives, expectation and context </w:t>
      </w:r>
      <w:r w:rsidRPr="009672FC">
        <w:rPr>
          <w:rFonts w:ascii="Garamond" w:hAnsi="Garamond"/>
        </w:rPr>
        <w:fldChar w:fldCharType="begin" w:fldLock="1"/>
      </w:r>
      <w:r w:rsidRPr="009672FC">
        <w:rPr>
          <w:rFonts w:ascii="Garamond" w:hAnsi="Garamond"/>
        </w:rPr>
        <w:instrText>ADDIN CSL_CITATION {"citationItems":[{"id":"ITEM-1","itemData":{"DOI":"10.1300/J054v11n01","ISBN":"10495142","ISSN":"1049-5142","abstract":"Examines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 Examines an individual's attitude toward the company in a cause-related marketing (CRM) pairing and its effect on his or her attitude toward the charity. Manipulation of positive and negative fit between the organizations; Measurement of the company attitude; Factor that will help CRM improve charity attitude.","author":[{"dropping-particle":"","family":"Wymer, Jr.","given":"W. W","non-dropping-particle":"","parse-names":false,"suffix":""},{"dropping-particle":"","family":"Samu","given":"Sridhar","non-dropping-particle":"","parse-names":false,"suffix":""}],"container-title":"Journal of Nonprofit &amp; Public Sector Marketing","id":"ITEM-1","issue":"1","issued":{"date-parts":[["2003"]]},"page":"59-76","title":"Dimensions of business and nonprofit","type":"article-journal","volume":"11"},"uris":["http://www.mendeley.com/documents/?uuid=246cb0f6-0d1e-4f37-9d95-b616916efcad"]}],"mendeley":{"formattedCitation":"(Wymer, Jr. &amp; Samu, 2003)","manualFormatting":"(Wymer &amp; Samu, 2003)","plainTextFormattedCitation":"(Wymer, Jr. &amp; Samu, 2003)","previouslyFormattedCitation":"(Wymer, Jr. &amp; Samu,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(Wymer &amp; Samu, 2003)</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author":[{"dropping-particle":"","family":"Das","given":"T.K.","non-dropping-particle":"","parse-names":false,"suffix":""},{"dropping-particle":"","family":"Teng","given":"Bing-Sheng","non-dropping-particle":"","parse-names":false,"suffix":""}],"container-title":"The Academy of Management Review","id":"ITEM-1","issue":"3","issued":{"date-parts":[["2002"]]},"page":"445-456","title":"Alliance Constellations: A Social Exchange Perspective","type":"article-journal","volume":"27"},"uris":["http://www.mendeley.com/documents/?uuid=004aa049-0f65-45ea-bca0-d35b877b00d1"]}],"mendeley":{"formattedCitation":"(Das &amp; Teng, 2002)","manualFormatting":"Das and Teng (2002)","plainTextFormattedCitation":"(Das &amp; Teng, 2002)","previouslyFormattedCitation":"(Das &amp; Teng,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Das and Teng (2002)</w:t>
      </w:r>
      <w:r w:rsidRPr="009672FC">
        <w:rPr>
          <w:rFonts w:ascii="Garamond" w:hAnsi="Garamond"/>
        </w:rPr>
        <w:fldChar w:fldCharType="end"/>
      </w:r>
      <w:r w:rsidRPr="009672FC">
        <w:rPr>
          <w:rFonts w:ascii="Garamond" w:hAnsi="Garamond"/>
        </w:rPr>
        <w:t xml:space="preserve"> suggest three difficulties in addressing partner selection in collaborative projects, including trust-building, conflict resolution, and coordination in a social exchange relationship. In a SE commons-enabled decision-making </w:t>
      </w:r>
      <w:r w:rsidRPr="009672FC">
        <w:rPr>
          <w:rFonts w:ascii="Garamond" w:hAnsi="Garamond"/>
        </w:rPr>
        <w:lastRenderedPageBreak/>
        <w:t xml:space="preserve">literature, </w:t>
      </w:r>
      <w:r w:rsidRPr="009672FC">
        <w:rPr>
          <w:rFonts w:ascii="Garamond" w:hAnsi="Garamond"/>
        </w:rPr>
        <w:fldChar w:fldCharType="begin" w:fldLock="1"/>
      </w:r>
      <w:r w:rsidRPr="009672FC">
        <w:rPr>
          <w:rFonts w:ascii="Garamond" w:hAnsi="Garamond"/>
        </w:rPr>
        <w:instrText>ADDIN CSL_CITATION {"citationItems":[{"id":"ITEM-1","itemData":{"DOI":"10.1007/s10726-018-9564-z","ISSN":"15729907","abstract":"Social entrepreneurship develops innovative opportunities and solutions aimed to (re)generate the common good. This emerging organizational form poses unprecedented challenges to group decision and negotiation studies. This article leverages conceptual tools from the literature on the commons and institutional logics as it explores the organizational conditions of social entrepreneurship that trigger commons-enabling decision-making in its organizational field. Through an inductive analysis of a longitudinal case, this study proposes a model that highlights the critical role of the bridging organization that can be introduced by the social entrepreneur in a previously fragmented organizational field. This bridging organization is in the condition to develop an innovative co-creation logic that can serve as a common ground to enable collaboration between actors from diverse and even conflicting institutional logics. The proposed model suggests that a practice-driven path to the construction of such a common ground for decision-making is more effective than a disclosure-driven path, which is based on classical conflict analysis techniques. The ICT-enabled activity system developed by the social entrepreneur injects transparency and traceability into a previously opaque field, thus creating the conditions for distributed, flexible, and complementary sense- and decision-making processes that develop and protect the commons.","author":[{"dropping-particle":"","family":"Rossignoli","given":"Cecilia","non-dropping-particle":"","parse-names":false,"suffix":""},{"dropping-particle":"","family":"Ricciardi","given":"Francesca","non-dropping-particle":"","parse-names":false,"suffix":""},{"dropping-particle":"","family":"Bonomi","given":"Sabrina","non-dropping-particle":"","parse-names":false,"suffix":""}],"container-title":"Group Decision and Negotiation","id":"ITEM-1","issue":"3","issued":{"date-parts":[["2018"]]},"page":"417-443","publisher":"Springer Netherlands","title":"Organizing for Commons-Enabling Decision-Making Under Conflicting Institutional Logics in Social Entrepreneurship","type":"article-journal","volume":"27"},"uris":["http://www.mendeley.com/documents/?uuid=afb25fb7-41ca-49b7-806f-983634eca053"]}],"mendeley":{"formattedCitation":"(Rossignoli et al., 2018)","manualFormatting":"Rossignoli, Ricciardi and Bonomi (2018)","plainTextFormattedCitation":"(Rossignoli et al., 2018)","previouslyFormattedCitation":"(Rossignoli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Rossignoli, Ricciardi and Bonomi (2018)</w:t>
      </w:r>
      <w:r w:rsidRPr="009672FC">
        <w:rPr>
          <w:rFonts w:ascii="Garamond" w:hAnsi="Garamond"/>
        </w:rPr>
        <w:fldChar w:fldCharType="end"/>
      </w:r>
      <w:r w:rsidRPr="009672FC">
        <w:rPr>
          <w:rFonts w:ascii="Garamond" w:hAnsi="Garamond"/>
        </w:rPr>
        <w:t xml:space="preserve"> suggest that a common ICT-enabled routine is important in building transparency and knowledge sharing between firms which minimize conflict behaviour in a business relationship. </w:t>
      </w:r>
    </w:p>
    <w:p w14:paraId="47C9B263" w14:textId="1FAED31A" w:rsidR="003D5DE8" w:rsidRPr="009672FC" w:rsidRDefault="007549AA">
      <w:pPr>
        <w:pStyle w:val="Title"/>
        <w:numPr>
          <w:ilvl w:val="2"/>
          <w:numId w:val="12"/>
        </w:numPr>
        <w:spacing w:before="240" w:line="360" w:lineRule="auto"/>
        <w:jc w:val="both"/>
        <w:outlineLvl w:val="2"/>
        <w:rPr>
          <w:rFonts w:ascii="Garamond" w:hAnsi="Garamond" w:cs="Times New Roman"/>
          <w:b/>
          <w:bCs/>
          <w:i/>
          <w:iCs/>
          <w:sz w:val="24"/>
          <w:szCs w:val="24"/>
        </w:rPr>
      </w:pPr>
      <w:bookmarkStart w:id="224" w:name="_Toc85708771"/>
      <w:bookmarkStart w:id="225" w:name="_Toc85709785"/>
      <w:r w:rsidRPr="009672FC">
        <w:rPr>
          <w:rFonts w:ascii="Garamond" w:hAnsi="Garamond" w:cs="Times New Roman"/>
          <w:b/>
          <w:bCs/>
          <w:i/>
          <w:iCs/>
          <w:sz w:val="24"/>
          <w:szCs w:val="24"/>
        </w:rPr>
        <w:t>The Nature of Collaborative Value Creation in an Inter-firm Alliance</w:t>
      </w:r>
      <w:bookmarkEnd w:id="224"/>
      <w:bookmarkEnd w:id="225"/>
    </w:p>
    <w:p w14:paraId="1FCD5D8D" w14:textId="2FC37F39" w:rsidR="003D5DE8" w:rsidRPr="009672FC" w:rsidRDefault="007549AA">
      <w:pPr>
        <w:spacing w:line="360" w:lineRule="auto"/>
        <w:jc w:val="both"/>
        <w:rPr>
          <w:rFonts w:ascii="Garamond" w:hAnsi="Garamond"/>
        </w:rPr>
      </w:pPr>
      <w:r w:rsidRPr="009672FC">
        <w:rPr>
          <w:rFonts w:ascii="Garamond" w:hAnsi="Garamond"/>
        </w:rPr>
        <w:t xml:space="preserve">Researchers have recognized the importance of collaborative value processes involving multiple stakeholders in various disciplines such as customer co-creation of value in the marketing domain </w:t>
      </w:r>
      <w:r w:rsidRPr="009672FC">
        <w:rPr>
          <w:rFonts w:ascii="Garamond" w:hAnsi="Garamond"/>
        </w:rPr>
        <w:fldChar w:fldCharType="begin" w:fldLock="1"/>
      </w:r>
      <w:r w:rsidRPr="009672FC">
        <w:rPr>
          <w:rFonts w:ascii="Garamond" w:hAnsi="Garamond"/>
        </w:rPr>
        <w:instrText>ADDIN CSL_CITATION {"citationItems":[{"id":"ITEM-1","itemData":{"DOI":"10.1509/jmkg.68.1.1.24036","ISSN":"00222429","abstract":"Marketing inherited a model of exchange from economics, which had a dominant logic based on the exchange of \"goods,\" which usually are manufactured output. The dominant logic focused on tangible resources, embedded value, and transactions. Over the past several decades, new perspectives have emerged that have a revised logic focused on intangible resources, the cocreation of value, and relationships. The authors believe that the new perspectives are converging to form a new dominant logic for marketing, one in which service provision rather than goods is fundamental to economic exchange. The authors explore this evolving logic and the corresponding shift in perspective for marketing scholars, marketing practitioners, and marketing educators.","author":[{"dropping-particle":"","family":"Vargo","given":"Stephen L.","non-dropping-particle":"","parse-names":false,"suffix":""},{"dropping-particle":"","family":"Lusch","given":"Robert F.","non-dropping-particle":"","parse-names":false,"suffix":""}],"container-title":"Journal of Marketing","id":"ITEM-1","issue":"1","issued":{"date-parts":[["2004"]]},"page":"1-17","title":"Evolving to a New Dominant Logic for Marketing","type":"article-journal","volume":"68"},"uris":["http://www.mendeley.com/documents/?uuid=2cf260ed-7847-43c9-94a9-cd9b22fa7806"]}],"mendeley":{"formattedCitation":"(Vargo &amp; Lusch, 2004)","plainTextFormattedCitation":"(Vargo &amp; Lusch, 2004)","previouslyFormattedCitation":"(Vargo &amp; Lusch,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(Vargo &amp; Lusch, 2004)</w:t>
      </w:r>
      <w:r w:rsidRPr="009672FC">
        <w:rPr>
          <w:rFonts w:ascii="Garamond" w:hAnsi="Garamond"/>
        </w:rPr>
        <w:fldChar w:fldCharType="end"/>
      </w:r>
      <w:r w:rsidRPr="009672FC">
        <w:rPr>
          <w:rFonts w:ascii="Garamond" w:hAnsi="Garamond"/>
        </w:rPr>
        <w:t xml:space="preserve">, business relationships in management </w:t>
      </w:r>
      <w:r w:rsidRPr="009672FC">
        <w:rPr>
          <w:rFonts w:ascii="Garamond" w:hAnsi="Garamond"/>
        </w:rPr>
        <w:fldChar w:fldCharType="begin" w:fldLock="1"/>
      </w:r>
      <w:r w:rsidRPr="009672FC">
        <w:rPr>
          <w:rFonts w:ascii="Garamond" w:hAnsi="Garamond"/>
        </w:rPr>
        <w:instrText>ADDIN CSL_CITATION {"citationItems":[{"id":"ITEM-1","itemData":{"DOI":"10.2307/259056","ISBN":"00014273","ISSN":"03637425","PMID":"35732600","abstract":"In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competitive advantage: (1) relation-specific assets, (2) knowledge- sharing routines, (3) complementary resources/capabilities,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Review","id":"ITEM-1","issue":"4","issued":{"date-parts":[["1998"]]},"page":"660-679","title":"The Relational View : Cooperative Strategy and Sources of Interorganizational Competitive Advantage","type":"article-journal","volume":"23"},"uris":["http://www.mendeley.com/documents/?uuid=71a4c10b-11a6-4f11-8419-c8b0a1a8e002"]}],"mendeley":{"formattedCitation":"(Dyer &amp; Singh, 1998)","manualFormatting":"(Dyer and Singh, 1998;","plainTextFormattedCitation":"(Dyer &amp; Singh, 1998)","previouslyFormattedCitation":"(Dyer &amp; Singh,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(Dyer and Singh, 1998;</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{"citationItems":[{"id":"ITEM-1","itemData":{"author":[{"dropping-particle":"","family":"Ireland","given":"R Duane","non-dropping-particle":"","parse-names":false,"suffix":""},{"dropping-particle":"","family":"Hitt","given":"Michael A","non-dropping-particle":"","parse-names":false,"suffix":""},{"dropping-particle":"","family":"Vaidyanath","given":"Deepa","non-dropping-particle":"","parse-names":false,"suffix":""}],"container-title":"Journal of Management","id":"ITEM-1","issue":"3","issued":{"date-parts":[["2002"]]},"page":"413-446","title":"Alliance Management as a Source of Competitive Advantage","type":"article-journal","volume":"28"},"uris":["http://www.mendeley.com/documents/?uuid=ab13b794-31ab-4423-8d4d-4dc8642af7aa"]}],"mendeley":{"formattedCitation":"(Ireland et al., 2002)","manualFormatting":"Ireland et al., 2002;","plainTextFormattedCitation":"(Ireland et al., 2002)","previouslyFormattedCitation":"(Ireland et al., 2002)"},"properties":{"noteIndex":0},"schema":"https://github.com/citation-style-language/schema/raw/master/csl-citation.json"}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Ireland et al., 2002;</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00813D37" w:rsidRPr="009672FC">
        <w:rPr>
          <w:rFonts w:ascii="Garamond" w:hAnsi="Garamond"/>
        </w:rPr>
        <w:instrText>ADDIN CSL_CITATION {"citationItems":[{"id":"ITEM-1","itemData":{"DOI":"10.1016/j.jbusres.2010.01.004","ISSN":"01482963","abstract":"Business relationships provide means for creating and appropriating superior value in the marketplace. To date, research pertains almost exclusively to the value after relationship creation and sharing among exchange partners. Consequently, the interaction between value creation and value appropriation remains relatively unknown in collaborative relationships. Drawing on equity theory, this study proposes a conceptual model that positions value creation and value appropriation as focal variables within the nomological net of business relationships. Data collected from industrial customer-supplier projects reveal that value appropriation is the strongest driver of project satisfaction. Customer firms perceive value creation as positive only if they appropriate a larger slice of the bigger value pie. Information exchange moderates customer firms' evaluations of value creation and appropriation efforts. In contrast to the highly competitive nature at the project level, embedding the supplier project in an ongoing sourcing relationship reveals cooperative elements in the customer-supplier interaction. Greater relational satisfaction favors less aggressive value appropriation efforts. These insights help bridge the gap between managerial metrics that focus on successful value appropriation and academic models that attend to variables that capture the quality of ongoing relationships. © 2010 Elsevier Inc.","author":[{"dropping-particle":"","family":"Wagner","given":"Stephan M.","non-dropping-particle":"","parse-names":false,"suffix":""},{"dropping-particle":"","family":"Eggert","given":"Andreas","non-dropping-particle":"","parse-names":false,"suffix":""},{"dropping-particle":"","family":"Lindemann","given":"Eckhard","non-dropping-particle":"","parse-names":false,"suffix":""}],"container-title":"Journal of Business Research","id":"ITEM-1","issue":"8","issued":{"date-parts":[["2010"]]},"page":"840-848","publisher":"Elsevier Inc.","title":"Creating and appropriating value in collaborative relationships","type":"article-journal","volume":"63"},"uris":["http://www.mendeley.com/documents/?uuid=f50357c6-9bf9-437c-9b35-57517b5cd34c"]}],"mendeley":{"formattedCitation":"(Wagner, Eggert, &amp; Lindemann, 2010)","manualFormatting":"Wagner et al., 2010)","plainTextFormattedCitation":"(Wagner, Eggert, &amp; Lindemann, 2010)","previouslyFormattedCitation":"(Wagner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Wagner et al., 2010)</w:t>
      </w:r>
      <w:r w:rsidRPr="009672FC">
        <w:rPr>
          <w:rFonts w:ascii="Garamond" w:hAnsi="Garamond"/>
        </w:rPr>
        <w:fldChar w:fldCharType="end"/>
      </w:r>
      <w:r w:rsidRPr="009672FC">
        <w:rPr>
          <w:rFonts w:ascii="Garamond" w:hAnsi="Garamond"/>
        </w:rPr>
        <w:t xml:space="preserve">, the systems design process in manufacturing and engineering </w:t>
      </w:r>
      <w:r w:rsidRPr="009672FC">
        <w:rPr>
          <w:rFonts w:ascii="Garamond" w:hAnsi="Garamond"/>
        </w:rPr>
        <w:fldChar w:fldCharType="begin" w:fldLock="1"/>
      </w:r>
      <w:r w:rsidR="00813D37" w:rsidRPr="009672FC">
        <w:rPr>
          <w:rFonts w:ascii="Garamond" w:hAnsi="Garamond"/>
        </w:rPr>
        <w:instrText>ADDIN CSL_CITATION {"citationItems":[{"id":"ITEM-1","itemData":{"DOI":"10.1080/15710882.2019.1654521","ISSN":"17453755","abstract":"Defining, developing, and delivering value is critical in integrated design processes (IDP) in building design and its two core design disciplines, architectural design and engineering design. Even so, how values emerge—the creation part itself—is underexposed. Using the seminal four p model from creativity research (person, process, product, and press) as an analytical lens, the paper explores blind spots in two building design cases that we as architects and researchers in creativity and engineering design have been involved in. On this basis, the paper contributes a four-leaf clover model of potential blind spots in collaborative value creation in building design. The model is comprised of value exploration, value negotiation, value formulation, and value manifestation. Design researchers can use the model as a scaffold for new design value theory, and design practitioners can employ it as an instrument to better navigate collaborative building design processes with multiple stakeholders, whose individual value sets may not always be clearly articulated and hence may sometimes collide.","author":[{"dropping-particle":"","family":"Biskjaer","given":"Michael Mose","non-dropping-particle":"","parse-names":false,"suffix":""},{"dropping-particle":"","family":"Kamari","given":"Aliakbar","non-dropping-particle":"","parse-names":false,"suffix":""},{"dropping-particle":"","family":"Jensen","given":"Stina Rask","non-dropping-particle":"","parse-names":false,"suffix":""},{"dropping-particle":"","family":"Kirkegaard","given":"Poul Henning","non-dropping-particle":"","parse-names":false,"suffix":""}],"container-title":"CoDesign","id":"ITEM-1","issue":"00","issued":{"date-parts":[["2019"]]},"page":"1-18","publisher":"Taylor &amp; Francis","title":"Exploring blind spots in collaborative value creation in building design: a creativity perspective","type":"article-journal","volume":"00"},"uris":["http://www.mendeley.com/documents/?uuid=bc1d4143-2b8c-4833-a776-6f2243fb1fa3"]}],"mendeley":{"formattedCitation":"(Biskjaer, Kamari, Jensen, &amp; Kirkegaard, 2019)","plainTextFormattedCitation":"(Biskjaer, Kamari, Jensen, &amp; Kirkegaard, 2019)","previouslyFormattedCitation":"(Biskjaer et al., 2019)"},"properties":{"noteIndex":0},"schema":"https://github.com/citation-style-language/schema/raw/master/csl-citation.json"}</w:instrText>
      </w:r>
      <w:r w:rsidRPr="009672FC">
        <w:rPr>
          <w:rFonts w:ascii="Garamond" w:hAnsi="Garamond"/>
        </w:rPr>
        <w:fldChar w:fldCharType="separate"/>
      </w:r>
      <w:r w:rsidR="00813D37" w:rsidRPr="009672FC">
        <w:rPr>
          <w:rFonts w:ascii="Garamond" w:hAnsi="Garamond"/>
          <w:noProof/>
        </w:rPr>
        <w:t>(Biskjaer, Kamari, Jensen, &amp; Kirkegaard, 2019)</w:t>
      </w:r>
      <w:r w:rsidRPr="009672FC">
        <w:rPr>
          <w:rFonts w:ascii="Garamond" w:hAnsi="Garamond"/>
        </w:rPr>
        <w:fldChar w:fldCharType="end"/>
      </w:r>
      <w:r w:rsidRPr="009672FC">
        <w:rPr>
          <w:rFonts w:ascii="Garamond" w:hAnsi="Garamond"/>
        </w:rPr>
        <w:t xml:space="preserve">, and cross-sector collaborative value creation involving business and non-profits/government in organization studies </w:t>
      </w:r>
      <w:r w:rsidRPr="009672FC">
        <w:rPr>
          <w:rFonts w:ascii="Garamond" w:hAnsi="Garamond"/>
        </w:rPr>
        <w:fldChar w:fldCharType="begin" w:fldLock="1"/>
      </w:r>
      <w:r w:rsidRPr="009672FC">
        <w:rPr>
          <w:rFonts w:ascii="Garamond" w:hAnsi="Garamond"/>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and Seitanidi, 2012a;</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 Austin and Seitanidi, 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Austin and Seitanidi, 2012b)</w:t>
      </w:r>
      <w:r w:rsidRPr="009672FC">
        <w:rPr>
          <w:rFonts w:ascii="Garamond" w:hAnsi="Garamond"/>
        </w:rPr>
        <w:fldChar w:fldCharType="end"/>
      </w:r>
      <w:r w:rsidRPr="009672FC">
        <w:rPr>
          <w:rFonts w:ascii="Garamond" w:hAnsi="Garamond"/>
        </w:rPr>
        <w:t xml:space="preserve">. </w:t>
      </w:r>
    </w:p>
    <w:p w14:paraId="248ABF0B" w14:textId="368C8C79" w:rsidR="003D5DE8" w:rsidRPr="009672FC" w:rsidRDefault="007549AA" w:rsidP="00890FB2">
      <w:pPr>
        <w:spacing w:before="240"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{"citationItems":[{"id":"ITEM-1","itemData":{"DOI":"10.1108/09600030410533574","ISSN":"09600035","abstract":"This is a theoretical paper that examines the interplay between individual and collective capabilities and competencies and value transactions in collaborative environments. The theory behind value creation is examined and two types of value are identified, internal value (shareholder value) and external value (value proposition). The literature on collaborative enterprises/network is also examined with particular emphasis on supply chains, extended/virtual enterprises and clusters as representatives of different forms and maturities of collaboration. The interplay of value transactions and competencies and capabilities are examined and discussed in detail. Finally, a model is presented which consists of value transactions and a table that compares the characteristics of different types of collaborative enterprises/networks. It is proposed that this model presents a platform for further research to develop an in-depth understanding into how value may be created and managed in collaborative enterprises/networks. © Emerald Group Publishing Limited.","author":[{"dropping-particle":"","family":"Bititci","given":"Umit S.","non-dropping-particle":"","parse-names":false,"suffix":""},{"dropping-particle":"","family":"Martinez","given":"Veronica","non-dropping-particle":"","parse-names":false,"suffix":""},{"dropping-particle":"","family":"Albores","given":"Pavel","non-dropping-particle":"","parse-names":false,"suffix":""},{"dropping-particle":"","family":"Parung","given":"Joniarto","non-dropping-particle":"","parse-names":false,"suffix":""}],"container-title":"International Journal of Physical Distribution and Logistics Management","id":"ITEM-1","issue":"3","issued":{"date-parts":[["2004"]]},"page":"251-268","title":"Creating and managing value in collaborative networks","type":"article-journal","volume":"34"},"uris":["http://www.mendeley.com/documents/?uuid=ac819203-df3a-4209-885d-8fabde911874"]}],"mendeley":{"formattedCitation":"(Bititci et al., 2004)","manualFormatting":"Bititci et al. (2004)","plainTextFormattedCitation":"(Bititci et al., 2004)","previouslyFormattedCitation":"(Bititci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Bititci et al. (2004)</w:t>
      </w:r>
      <w:r w:rsidRPr="009672FC">
        <w:rPr>
          <w:rFonts w:ascii="Garamond" w:hAnsi="Garamond"/>
        </w:rPr>
        <w:fldChar w:fldCharType="end"/>
      </w:r>
      <w:r w:rsidRPr="009672FC">
        <w:rPr>
          <w:rFonts w:ascii="Garamond" w:hAnsi="Garamond"/>
        </w:rPr>
        <w:t xml:space="preserve"> define a collaborative value process as</w:t>
      </w:r>
      <w:r w:rsidRPr="009672FC">
        <w:rPr>
          <w:rFonts w:ascii="Garamond" w:hAnsi="Garamond"/>
          <w:i/>
          <w:iCs/>
        </w:rPr>
        <w:t xml:space="preserve"> “</w:t>
      </w:r>
      <w:r w:rsidRPr="009672FC">
        <w:rPr>
          <w:rFonts w:ascii="Garamond" w:hAnsi="Garamond"/>
        </w:rPr>
        <w:t xml:space="preserve">a distinct mode of organization in which firms work together in equity, commitment and trust in exchanging information, sharing activities and resources and complementing one another’s capacity for mutual benefit and a common purpose by sharing risks, responsibilities and rewards (pp. 263).” </w:t>
      </w:r>
      <w:r w:rsidR="00813D37" w:rsidRPr="009672FC">
        <w:rPr>
          <w:rFonts w:ascii="Garamond" w:hAnsi="Garamond"/>
        </w:rPr>
        <w:t>The i</w:t>
      </w:r>
      <w:r w:rsidRPr="009672FC">
        <w:rPr>
          <w:rFonts w:ascii="Garamond" w:hAnsi="Garamond"/>
        </w:rPr>
        <w:t xml:space="preserve">nter-firm alliance enables firms to create value by combining resources, increasing access to external knowledge, speed to market, and access to foreign markets </w:t>
      </w:r>
      <w:r w:rsidRPr="009672FC">
        <w:rPr>
          <w:rFonts w:ascii="Garamond" w:hAnsi="Garamond"/>
        </w:rPr>
        <w:fldChar w:fldCharType="begin" w:fldLock="1"/>
      </w:r>
      <w:r w:rsidRPr="009672FC">
        <w:rPr>
          <w:rFonts w:ascii="Garamond" w:hAnsi="Garamond"/>
        </w:rPr>
        <w:instrText>ADDIN CSL_CITATION {"citationItems":[{"id":"ITEM-1","itemData":{"DOI":"10.1177/014920630002600302","ISSN":"01492063","abstract":"This paper provides an overview of the literature on interorganizational relationships. Although the literature on interorganizational relationships is extensive, a pervasive theme that is either explicit or implicit in the majority of the articles is the simple notion of whether interorganizational relationships make sense and whether the advantages outweigh the disadvantages. This article reviews six widely used theoretical paradigms that explain interorganizational relationship formation, including transaction costs economics, resource dependency, strategic choice, stakeholder theory, organizational learning, and institutional theory. Although each paradigm alone is insufficient to capture the complexities of interorganizational relationship formation, the fact that interorganizational relationships can be justified from such diverse theoretical backgrounds is impressive. The paper also reviews the six forms of interorganizational relationships most commonly pursued in practice and discussed in the literature, including joint ventures, networks, consortia, alliances, trade associations, and interlocking directorates. Through these discussions, we elaborate on the potential advantages and disadvantages of participation in interorganizational relationships. © 2000 Elsevier Science Inc.","author":[{"dropping-particle":"","family":"Barringer","given":"Bruce R.","non-dropping-particle":"","parse-names":false,"suffix":""},{"dropping-particle":"","family":"Harrison","given":"Jeffrey S.","non-dropping-particle":"","parse-names":false,"suffix":""}],"container-title":"Journal of Management","id":"ITEM-1","issue":"3","issued":{"date-parts":[["2000"]]},"page":"367-403","title":"Walking a tightrope: Creating value through interorganizational relationships","type":"article-journal","volume":"26"},"uris":["http://www.mendeley.com/documents/?uuid=cd2d0e9e-aaf0-480f-8e94-3881c989db28"]}],"mendeley":{"formattedCitation":"(Barringer &amp; Harrison, 2000)","plainTextFormattedCitation":"(Barringer &amp; Harrison, 2000)","previouslyFormattedCitation":"(Barringer &amp; Harrison,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(Barringer &amp; Harrison, 2000)</w:t>
      </w:r>
      <w:r w:rsidRPr="009672FC">
        <w:rPr>
          <w:rFonts w:ascii="Garamond" w:hAnsi="Garamond"/>
        </w:rPr>
        <w:fldChar w:fldCharType="end"/>
      </w:r>
      <w:r w:rsidRPr="009672FC">
        <w:rPr>
          <w:rFonts w:ascii="Garamond" w:hAnsi="Garamond"/>
        </w:rPr>
        <w:t xml:space="preserve"> because actors complement new value proposition by leveraging each other’s capabilities and competencies </w:t>
      </w:r>
      <w:r w:rsidRPr="009672FC">
        <w:rPr>
          <w:rFonts w:ascii="Garamond" w:hAnsi="Garamond"/>
        </w:rPr>
        <w:fldChar w:fldCharType="begin" w:fldLock="1"/>
      </w:r>
      <w:r w:rsidRPr="009672FC">
        <w:rPr>
          <w:rFonts w:ascii="Garamond" w:hAnsi="Garamond"/>
        </w:rPr>
        <w:instrText>ADDIN CSL_CITATION {"citationItems":[{"id":"ITEM-1","itemData":{"DOI":"10.1108/09600030410533574","ISSN":"09600035","abstract":"This is a theoretical paper that examines the interplay between individual and collective capabilities and competencies and value transactions in collaborative environments. The theory behind value creation is examined and two types of value are identified, internal value (shareholder value) and external value (value proposition). The literature on collaborative enterprises/network is also examined with particular emphasis on supply chains, extended/virtual enterprises and clusters as representatives of different forms and maturities of collaboration. The interplay of value transactions and competencies and capabilities are examined and discussed in detail. Finally, a model is presented which consists of value transactions and a table that compares the characteristics of different types of collaborative enterprises/networks. It is proposed that this model presents a platform for further research to develop an in-depth understanding into how value may be created and managed in collaborative enterprises/networks. © Emerald Group Publishing Limited.","author":[{"dropping-particle":"","family":"Bititci","given":"Umit S.","non-dropping-particle":"","parse-names":false,"suffix":""},{"dropping-particle":"","family":"Martinez","given":"Veronica","non-dropping-particle":"","parse-names":false,"suffix":""},{"dropping-particle":"","family":"Albores","given":"Pavel","non-dropping-particle":"","parse-names":false,"suffix":""},{"dropping-particle":"","family":"Parung","given":"Joniarto","non-dropping-particle":"","parse-names":false,"suffix":""}],"container-title":"International Journal of Physical Distribution and Logistics Management","id":"ITEM-1","issue":"3","issued":{"date-parts":[["2004"]]},"page":"251-268","title":"Creating and managing value in collaborative networks","type":"article-journal","volume":"34"},"uris":["http://www.mendeley.com/documents/?uuid=ac819203-df3a-4209-885d-8fabde911874"]}],"mendeley":{"formattedCitation":"(Bititci et al., 2004)","plainTextFormattedCitation":"(Bititci et al., 2004)","previouslyFormattedCitation":"(Bititci et al.,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(Bititci et al., 2004)</w:t>
      </w:r>
      <w:r w:rsidRPr="009672FC">
        <w:rPr>
          <w:rFonts w:ascii="Garamond" w:hAnsi="Garamond"/>
        </w:rPr>
        <w:fldChar w:fldCharType="end"/>
      </w:r>
      <w:r w:rsidRPr="009672FC">
        <w:rPr>
          <w:rFonts w:ascii="Garamond" w:hAnsi="Garamond"/>
        </w:rPr>
        <w:t xml:space="preserve">. Interaction between value actors, enable an exchange of complementary ideas and knowledge as a result of the collaborative synergy in the value process </w:t>
      </w:r>
      <w:r w:rsidRPr="009672FC">
        <w:rPr>
          <w:rFonts w:ascii="Garamond" w:hAnsi="Garamond"/>
        </w:rPr>
        <w:fldChar w:fldCharType="begin" w:fldLock="1"/>
      </w:r>
      <w:r w:rsidRPr="009672FC">
        <w:rPr>
          <w:rFonts w:ascii="Garamond" w:hAnsi="Garamond"/>
        </w:rPr>
        <w:instrText>ADDIN CSL_CITATION {"citationItems":[{"id":"ITEM-1","itemData":{"DOI":"10.1109/ITI.2003.1225381","ISBN":"9539676967","ISSN":"13301012","abstract":"As successful organizations recognize that they need to convert their intellectual resources into customized services, the value of electronic collaboration has increased. Current efforts in managing knowledge have concentrated on producing; sharing and storing knowledge while business problems require the combined use of these intellectual resources to enable organizations to provide innovative and customized services. Within the collaborative context lies the key to creating value from intellectual assets. The use of collaborative technologies to support shared efforts give rise to environments ripe with potential for value creation. The factors that contribute to the creation of intellectual value in collaborative environments are addressed. We provide constructs and propositions for ascertaining value and conclude with a model for collaborative value creation. © 2003 SRCE University Computing Centre.","author":[{"dropping-particle":"","family":"Hlupic","given":"Vlatka","non-dropping-particle":"","parse-names":false,"suffix":""},{"dropping-particle":"","family":"Qureshi","given":"Sajda","non-dropping-particle":"","parse-names":false,"suffix":""}],"container-title":"Proceedings of the International Conference on Information Technology Interfaces, ITI","id":"ITEM-1","issued":{"date-parts":[["2003"]]},"page":"431-437","title":"A research model for collaborative value creation from intellectual capital","type":"paper-conference"},"uris":["http://www.mendeley.com/documents/?uuid=3183a0c3-aa0d-4bd5-b949-a15e8b6eaf9e"]}],"mendeley":{"formattedCitation":"(Hlupic &amp; Qureshi, 2003)","plainTextFormattedCitation":"(Hlupic &amp; Qureshi, 2003)","previouslyFormattedCitation":"(Hlupic &amp; Qureshi,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(Hlupic &amp; Qureshi, 2003)</w:t>
      </w:r>
      <w:r w:rsidRPr="009672FC">
        <w:rPr>
          <w:rFonts w:ascii="Garamond" w:hAnsi="Garamond"/>
        </w:rPr>
        <w:fldChar w:fldCharType="end"/>
      </w:r>
      <w:r w:rsidRPr="009672FC">
        <w:rPr>
          <w:rFonts w:ascii="Garamond" w:hAnsi="Garamond"/>
        </w:rPr>
        <w:t xml:space="preserve">. Value creation in such a relationship is a consequence of “partners’ mutuality” </w:t>
      </w:r>
      <w:r w:rsidRPr="009672FC">
        <w:rPr>
          <w:rFonts w:ascii="Garamond" w:hAnsi="Garamond"/>
        </w:rPr>
        <w:fldChar w:fldCharType="begin" w:fldLock="1"/>
      </w:r>
      <w:r w:rsidRPr="009672FC">
        <w:rPr>
          <w:rFonts w:ascii="Garamond" w:hAnsi="Garamond"/>
        </w:rPr>
        <w:instrText>ADDIN CSL_CITATION {"citationItems":[{"id":"ITEM-1","itemData":{"DOI":"10.1002/(SICI)1097-0266(199905)20:5&lt;467::AID-SMJ38&gt;3.0.CO;2-J","ISSN":"01432095","abstract":"A structural model of business relationship development in a business network context is formulated and tested on data from the European International Marketing and Purchasing (IMP) project. The empirical analysis demonstrates a causal chain from business network connection through mutual commitment and mutual dependence to value creation in the relationship. The results show that mutuality in business network relationships is critical in developing interfirin systems of workflow interdependence that promote the creation of value. This also implies that, through their interaction in business network relationships, firms in business markets organize and share an unbounded structure of interdependent activities, enabling them to achieve greater value than would be the case if they did not engage in relationship development. Copyright © 1999 John Wiley &amp; Sons, Ltd.","author":[{"dropping-particle":"","family":"Holm","given":"Desirée Blankenburg","non-dropping-particle":"","parse-names":false,"suffix":""},{"dropping-particle":"","family":"Eriksson","given":"Kent","non-dropping-particle":"","parse-names":false,"suffix":""},{"dropping-particle":"","family":"Johanson","given":"Jan","non-dropping-particle":"","parse-names":false,"suffix":""}],"container-title":"Strategic Management Journal","id":"ITEM-1","issue":"5","issued":{"date-parts":[["1999"]]},"page":"467-486","title":"Creating value through mutual commitment to business network relationships","type":"article-journal","volume":"20"},"uris":["http://www.mendeley.com/documents/?uuid=c00f63ff-465e-4c81-a204-08e7634bf016"]}],"mendeley":{"formattedCitation":"(Holm et al., 1999)","plainTextFormattedCitation":"(Holm et al., 1999)","previouslyFormattedCitation":"(Holm et al., 1999)"},"properties":{"noteIndex":0},"schema":"https://github.com/citation-style-language/schema/raw/master/csl-citation.json"}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(Holm et al., 1999)</w:t>
      </w:r>
      <w:r w:rsidRPr="009672FC">
        <w:rPr>
          <w:rFonts w:ascii="Garamond" w:hAnsi="Garamond"/>
        </w:rPr>
        <w:fldChar w:fldCharType="end"/>
      </w:r>
      <w:r w:rsidRPr="009672FC">
        <w:rPr>
          <w:rFonts w:ascii="Garamond" w:hAnsi="Garamond"/>
        </w:rPr>
        <w:t>, enabling the actors to develop stronger connections through frequent interaction, a show of mutual commitment, and mutual dependence to value co-creation. However, not many studies have focused on value creation in social entrepreneurship alliance projects, which is the focus of this study.</w:t>
      </w:r>
    </w:p>
    <w:p w14:paraId="79CFD425"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Various collaborative value creation frameworks try to demonstrate how firms collaborate in various value-generating processes. For instance, </w:t>
      </w:r>
      <w:r w:rsidRPr="009672FC">
        <w:rPr>
          <w:rFonts w:ascii="Garamond" w:hAnsi="Garamond"/>
        </w:rPr>
        <w:fldChar w:fldCharType="begin" w:fldLock="1"/>
      </w:r>
      <w:r w:rsidRPr="009672FC">
        <w:rPr>
          <w:rFonts w:ascii="Garamond" w:hAnsi="Garamond"/>
        </w:rPr>
        <w:instrText>ADDIN CSL_CITATION {"citationItems":[{"id":"ITEM-1","itemData":{"DOI":"10.1080/15710882.2019.1654521","ISSN":"17453755","abstract":"Defining, developing, and delivering value is critical in integrated design processes (IDP) in building design and its two core design disciplines, architectural design and engineering design. Even so, how values emerge—the creation part itself—is underexposed. Using the seminal four p model from creativity research (person, process, product, and press) as an analytical lens, the paper explores blind spots in two building design cases that we as architects and researchers in creativity and engineering design have been involved in. On this basis, the paper contributes a four-leaf clover model of potential blind spots in collaborative value creation in building design. The model is comprised of value exploration, value negotiation, value formulation, and value manifestation. Design researchers can use the model as a scaffold for new design value theory, and design practitioners can employ it as an instrument to better navigate collaborative building design processes with multiple stakeholders, whose individual value sets may not always be clearly articulated and hence may sometimes collide.","author":[{"dropping-particle":"","family":"Biskjaer","given":"Michael Mose","non-dropping-particle":"","parse-names":false,"suffix":""},{"dropping-particle":"","family":"Kamari","given":"Aliakbar","non-dropping-particle":"","parse-names":false,"suffix":""},{"dropping-particle":"","family":"Jensen","given":"Stina Rask","non-dropping-particle":"","parse-names":false,"suffix":""},{"dropping-particle":"","family":"Kirkegaard","given":"Poul Henning","non-dropping-particle":"","parse-names":false,"suffix":""}],"container-title":"CoDesign","id":"ITEM-1","issue":"00","issued":{"date-parts":[["2019"]]},"page":"1-18","publisher":"Taylor &amp; Francis","title":"Exploring blind spots in collaborative value creation in building design: a creativity perspective","type":"article-journal","volume":"00"},"uris":["http://www.mendeley.com/documents/?uuid=bc1d4143-2b8c-4833-a776-6f2243fb1fa3"]}],"mendeley":{"formattedCitation":"(Biskjaer et al., 2019)","manualFormatting":"Biskjaer et al. (2019)","plainTextFormattedCitation":"(Biskjaer et al., 2019)","previouslyFormattedCitation":"(Biskjaer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Biskjaer et al. (2019)</w:t>
      </w:r>
      <w:r w:rsidRPr="009672FC">
        <w:rPr>
          <w:rFonts w:ascii="Garamond" w:hAnsi="Garamond"/>
        </w:rPr>
        <w:fldChar w:fldCharType="end"/>
      </w:r>
      <w:r w:rsidRPr="009672FC">
        <w:rPr>
          <w:rFonts w:ascii="Garamond" w:hAnsi="Garamond"/>
        </w:rPr>
        <w:t xml:space="preserve"> point out four collaborative value creation processes in the building design process with multiple shareholders. The model comprises value negotiation, value formulation, and value manifestation. </w:t>
      </w:r>
      <w:r w:rsidRPr="009672FC">
        <w:rPr>
          <w:rFonts w:ascii="Garamond" w:hAnsi="Garamond"/>
        </w:rPr>
        <w:fldChar w:fldCharType="begin" w:fldLock="1"/>
      </w:r>
      <w:r w:rsidRPr="009672FC">
        <w:rPr>
          <w:rFonts w:ascii="Garamond" w:hAnsi="Garamond"/>
        </w:rPr>
        <w:instrText>ADDIN CSL_CITATION {"citationItems":[{"id":"ITEM-1","itemData":{"DOI":"10.1016/j.jbusres.2010.01.004","ISSN":"01482963","abstract":"Business relationships provide means for creating and appropriating superior value in the marketplace. To date, research pertains almost exclusively to the value after relationship creation and sharing among exchange partners. Consequently, the interaction between value creation and value appropriation remains relatively unknown in collaborative relationships. Drawing on equity theory, this study proposes a conceptual model that positions value creation and value appropriation as focal variables within the nomological net of business relationships. Data collected from industrial customer-supplier projects reveal that value appropriation is the strongest driver of project satisfaction. Customer firms perceive value creation as positive only if they appropriate a larger slice of the bigger value pie. Information exchange moderates customer firms' evaluations of value creation and appropriation efforts. In contrast to the highly competitive nature at the project level, embedding the supplier project in an ongoing sourcing relationship reveals cooperative elements in the customer-supplier interaction. Greater relational satisfaction favors less aggressive value appropriation efforts. These insights help bridge the gap between managerial metrics that focus on successful value appropriation and academic models that attend to variables that capture the quality of ongoing relationships. © 2010 Elsevier Inc.","author":[{"dropping-particle":"","family":"Wagner","given":"Stephan M.","non-dropping-particle":"","parse-names":false,"suffix":""},{"dropping-particle":"","family":"Eggert","given":"Andreas","non-dropping-particle":"","parse-names":false,"suffix":""},{"dropping-particle":"","family":"Lindemann","given":"Eckhard","non-dropping-particle":"","parse-names":false,"suffix":""}],"container-title":"Journal of Business Research","id":"ITEM-1","issue":"8","issued":{"date-parts":[["2010"]]},"page":"840-848","publisher":"Elsevier Inc.","title":"Creating and appropriating value in collaborative relationships","type":"article-journal","volume":"63"},"uris":["http://www.mendeley.com/documents/?uuid=f50357c6-9bf9-437c-9b35-57517b5cd34c"]}],"mendeley":{"formattedCitation":"(Wagner et al., 2010)","manualFormatting":"Wagner et al. (2010)","plainTextFormattedCitation":"(Wagner et al., 2010)","previouslyFormattedCitation":"(Wagner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Wagner et al. (2010)</w:t>
      </w:r>
      <w:r w:rsidRPr="009672FC">
        <w:rPr>
          <w:rFonts w:ascii="Garamond" w:hAnsi="Garamond"/>
        </w:rPr>
        <w:fldChar w:fldCharType="end"/>
      </w:r>
      <w:r w:rsidRPr="009672FC">
        <w:rPr>
          <w:rFonts w:ascii="Garamond" w:hAnsi="Garamond"/>
        </w:rPr>
        <w:t xml:space="preserve"> </w:t>
      </w:r>
      <w:r w:rsidRPr="009672FC">
        <w:rPr>
          <w:rFonts w:ascii="Garamond" w:hAnsi="Garamond"/>
        </w:rPr>
        <w:lastRenderedPageBreak/>
        <w:t xml:space="preserve">point out two value processes of industrial customer-supplier projects such as value creation and value appropriation. This relationship recognizes industrial customers as co-value creators through market information sharing and customer expectations. Value appropriations foster reward-sharing, enabling actors’ fair contribution to value creation behaviour and reduced opportunism in an alliance. Leveraging the collaborative value construct (CVC), we argue that the cause-based SE alliance have commonalities and differences in value creation processes with other types of collaborations. The author identifies four basic processes of CVC namely, value definition, value creation, value balance, and value renewal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2000a)","manualFormatting":"Austin's ","plainTextFormattedCitation":"(J.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Austin's </w:t>
      </w:r>
      <w:r w:rsidRPr="009672FC">
        <w:rPr>
          <w:rFonts w:ascii="Garamond" w:hAnsi="Garamond"/>
        </w:rPr>
        <w:fldChar w:fldCharType="end"/>
      </w:r>
      <w:r w:rsidRPr="009672FC">
        <w:rPr>
          <w:rFonts w:ascii="Garamond" w:hAnsi="Garamond"/>
        </w:rPr>
        <w:t xml:space="preserve"> CVC has been used by researchers in various forms of business relationships, including business-non-profit, and cross-sector relationships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and Seitanidi, 2012a;</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2012b)","manualFormatting":"Austin and Seitanidi, 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and Seitanidi, 2012b)</w:t>
      </w:r>
      <w:r w:rsidRPr="009672FC">
        <w:rPr>
          <w:rFonts w:ascii="Garamond" w:hAnsi="Garamond"/>
        </w:rPr>
        <w:fldChar w:fldCharType="end"/>
      </w:r>
      <w:r w:rsidRPr="009672FC">
        <w:rPr>
          <w:rFonts w:ascii="Garamond" w:hAnsi="Garamond"/>
        </w:rPr>
        <w:t xml:space="preserve">. </w:t>
      </w:r>
    </w:p>
    <w:p w14:paraId="350A96C3"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In sum, just like other value co-creation frameworks, each stage of the collaborative value process entails a complex interconnected process interlinked with other value processes </w:t>
      </w:r>
      <w:r w:rsidRPr="009672FC">
        <w:rPr>
          <w:rFonts w:ascii="Garamond" w:hAnsi="Garamond"/>
        </w:rPr>
        <w:fldChar w:fldCharType="begin" w:fldLock="1"/>
      </w:r>
      <w:r w:rsidRPr="009672FC">
        <w:rPr>
          <w:rFonts w:ascii="Garamond" w:hAnsi="Garamond"/>
        </w:rPr>
        <w:instrText>ADDIN CSL_CITATION {"citationItems":[{"id":"ITEM-1","itemData":{"DOI":"10.1016/j.emj.2018.07.007","ISSN":"02632373","abstract":"The interactional, interdependent, and dynamic nature of value co-creation has made value management in business relationships a particularly challenging issue for both academicians and practitioners. In addition, studies on this topic have mostly focused on managing value co-creation in isolation from the wider relational context without completely capturing the influence of other value processes on value co-creation. This paper examines the broader picture of value co-creation management by providing a model based on interlinked value processes, namely, value communication, value appropriation, value measurement, and value representation. We adopted a qualitative approach based on 86 interviews with managers of both customer and supplier companies, which operated in different industries. Results showed that the management of value co-creation implies considering complex patterns of interconnections with other value processes. In particular, the study will shed light on the centrality of value appropriation to co-create value and on the importance of value representation to coordinate ideas and enable future co-creation opportunities.","author":[{"dropping-particle":"","family":"Corsaro","given":"Daniela","non-dropping-particle":"","parse-names":false,"suffix":""}],"container-title":"European Management Journal","id":"ITEM-1","issue":"1","issued":{"date-parts":[["2019"]]},"page":"99-116","publisher":"Elsevier Ltd","title":"Capturing the broader picture of value co-creation management","type":"article-journal","volume":"37"},"uris":["http://www.mendeley.com/documents/?uuid=29953ba5-8d42-4d30-ac07-abb0c00328f1"]}],"mendeley":{"formattedCitation":"(Corsaro, 2019)","plainTextFormattedCitation":"(Corsaro, 2019)","previouslyFormattedCitation":"(Corsaro,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(Corsaro, 2019)</w:t>
      </w:r>
      <w:r w:rsidRPr="009672FC">
        <w:rPr>
          <w:rFonts w:ascii="Garamond" w:hAnsi="Garamond"/>
        </w:rPr>
        <w:fldChar w:fldCharType="end"/>
      </w:r>
      <w:r w:rsidRPr="009672FC">
        <w:rPr>
          <w:rFonts w:ascii="Garamond" w:hAnsi="Garamond"/>
        </w:rPr>
        <w:t xml:space="preserve">. Thus, all actors are required to perform sets of tasks and conduct themselves in a manner that generates desired social and commercial outcome of the SE alliance. </w:t>
      </w:r>
    </w:p>
    <w:p w14:paraId="72469279" w14:textId="5FDF207C" w:rsidR="003D5DE8" w:rsidRPr="009672FC" w:rsidRDefault="007549AA">
      <w:pPr>
        <w:pStyle w:val="Title"/>
        <w:numPr>
          <w:ilvl w:val="1"/>
          <w:numId w:val="12"/>
        </w:numPr>
        <w:spacing w:before="240" w:line="360" w:lineRule="auto"/>
        <w:jc w:val="both"/>
        <w:outlineLvl w:val="1"/>
        <w:rPr>
          <w:rFonts w:ascii="Garamond" w:hAnsi="Garamond" w:cs="Times New Roman"/>
          <w:b/>
          <w:bCs/>
          <w:sz w:val="24"/>
          <w:szCs w:val="24"/>
        </w:rPr>
      </w:pPr>
      <w:r w:rsidRPr="009672FC">
        <w:rPr>
          <w:rFonts w:ascii="Garamond" w:hAnsi="Garamond" w:cs="Times New Roman"/>
          <w:b/>
          <w:bCs/>
          <w:sz w:val="24"/>
          <w:szCs w:val="24"/>
        </w:rPr>
        <w:t xml:space="preserve"> </w:t>
      </w:r>
      <w:bookmarkStart w:id="226" w:name="_Toc85708772"/>
      <w:bookmarkStart w:id="227" w:name="_Toc85709786"/>
      <w:r w:rsidRPr="009672FC">
        <w:rPr>
          <w:rFonts w:ascii="Garamond" w:hAnsi="Garamond" w:cs="Times New Roman"/>
          <w:b/>
          <w:bCs/>
          <w:sz w:val="24"/>
          <w:szCs w:val="24"/>
        </w:rPr>
        <w:t>Research Focus</w:t>
      </w:r>
      <w:bookmarkEnd w:id="226"/>
      <w:bookmarkEnd w:id="227"/>
    </w:p>
    <w:p w14:paraId="186E31C8" w14:textId="1681EB88" w:rsidR="003D5DE8" w:rsidRPr="009672FC" w:rsidRDefault="007549AA">
      <w:pPr>
        <w:spacing w:line="360" w:lineRule="auto"/>
        <w:jc w:val="both"/>
        <w:rPr>
          <w:rFonts w:ascii="Garamond" w:hAnsi="Garamond"/>
        </w:rPr>
      </w:pPr>
      <w:r w:rsidRPr="009672FC">
        <w:rPr>
          <w:rFonts w:ascii="Garamond" w:hAnsi="Garamond"/>
        </w:rPr>
        <w:t>In this study, we show how collaborative value creation occurred in a cause-driven social entrepreneurship alliance involving Italian companies. A cause-based SE alliance is a unique form of inter-organizational relationship that seeks to primarily address the social problem of society (in our case, a COVID-19 pandemic response) while simultaneously pursuing the commercial interests of organizations. Respondents of this study comprised the CEO, the entrepreneurs, the export, and commercial director, and the chief consultant on this project. We evaluate respondents’ perception of the cause-based SE alliance process during the first three and nine months of the project, respectively. The first research question (RQ) was to assess the collaborative value practices of cause-based SE alliances, and the second RQ tries to address the emerging challenges confronting the quality of ongoing collaborative value creation processes.</w:t>
      </w:r>
    </w:p>
    <w:p w14:paraId="56788904" w14:textId="13294A60" w:rsidR="003D5DE8" w:rsidRPr="009672FC" w:rsidRDefault="007549AA">
      <w:pPr>
        <w:pStyle w:val="Title"/>
        <w:numPr>
          <w:ilvl w:val="1"/>
          <w:numId w:val="12"/>
        </w:numPr>
        <w:spacing w:before="240" w:line="360" w:lineRule="auto"/>
        <w:jc w:val="both"/>
        <w:outlineLvl w:val="1"/>
        <w:rPr>
          <w:rFonts w:ascii="Garamond" w:hAnsi="Garamond" w:cs="Times New Roman"/>
          <w:b/>
          <w:bCs/>
          <w:sz w:val="24"/>
          <w:szCs w:val="24"/>
        </w:rPr>
      </w:pPr>
      <w:r w:rsidRPr="009672FC">
        <w:rPr>
          <w:rFonts w:ascii="Garamond" w:hAnsi="Garamond" w:cs="Times New Roman"/>
          <w:b/>
          <w:bCs/>
        </w:rPr>
        <w:t xml:space="preserve"> </w:t>
      </w:r>
      <w:bookmarkStart w:id="228" w:name="_Toc85708773"/>
      <w:bookmarkStart w:id="229" w:name="_Toc85709787"/>
      <w:r w:rsidRPr="009672FC">
        <w:rPr>
          <w:rFonts w:ascii="Garamond" w:hAnsi="Garamond" w:cs="Times New Roman"/>
          <w:b/>
          <w:bCs/>
          <w:sz w:val="24"/>
          <w:szCs w:val="24"/>
        </w:rPr>
        <w:t>Methodology</w:t>
      </w:r>
      <w:bookmarkEnd w:id="228"/>
      <w:bookmarkEnd w:id="229"/>
    </w:p>
    <w:p w14:paraId="692D439B" w14:textId="496DC54D" w:rsidR="003D5DE8" w:rsidRPr="009672FC" w:rsidRDefault="007549AA">
      <w:pPr>
        <w:pStyle w:val="Title"/>
        <w:numPr>
          <w:ilvl w:val="2"/>
          <w:numId w:val="12"/>
        </w:numPr>
        <w:spacing w:before="240" w:line="360" w:lineRule="auto"/>
        <w:jc w:val="both"/>
        <w:outlineLvl w:val="2"/>
        <w:rPr>
          <w:rFonts w:ascii="Garamond" w:hAnsi="Garamond" w:cs="Times New Roman"/>
          <w:b/>
          <w:bCs/>
          <w:sz w:val="24"/>
          <w:szCs w:val="24"/>
        </w:rPr>
      </w:pPr>
      <w:bookmarkStart w:id="230" w:name="_Toc85708774"/>
      <w:bookmarkStart w:id="231" w:name="_Toc85709788"/>
      <w:r w:rsidRPr="009672FC">
        <w:rPr>
          <w:rFonts w:ascii="Garamond" w:hAnsi="Garamond" w:cs="Times New Roman"/>
          <w:b/>
          <w:bCs/>
          <w:i/>
          <w:iCs/>
          <w:sz w:val="24"/>
          <w:szCs w:val="24"/>
        </w:rPr>
        <w:t>Research Approach</w:t>
      </w:r>
      <w:bookmarkEnd w:id="230"/>
      <w:bookmarkEnd w:id="231"/>
    </w:p>
    <w:p w14:paraId="08877365" w14:textId="77777777" w:rsidR="003D5DE8" w:rsidRPr="009672FC" w:rsidRDefault="007549AA">
      <w:pPr>
        <w:spacing w:line="360" w:lineRule="auto"/>
        <w:jc w:val="both"/>
        <w:rPr>
          <w:rFonts w:ascii="Garamond" w:hAnsi="Garamond"/>
        </w:rPr>
      </w:pPr>
      <w:r w:rsidRPr="009672FC">
        <w:rPr>
          <w:rFonts w:ascii="Garamond" w:hAnsi="Garamond"/>
        </w:rPr>
        <w:t xml:space="preserve">This study adopts a qualitative research method using a structured interview approach </w:t>
      </w:r>
      <w:r w:rsidRPr="009672FC">
        <w:rPr>
          <w:rFonts w:ascii="Garamond" w:hAnsi="Garamond"/>
        </w:rPr>
        <w:fldChar w:fldCharType="begin" w:fldLock="1"/>
      </w:r>
      <w:r w:rsidRPr="009672FC">
        <w:rPr>
          <w:rFonts w:ascii="Garamond" w:hAnsi="Garamond"/>
        </w:rPr>
        <w:instrText>ADDIN CSL_CITATION {"citationItems":[{"id":"ITEM-1","itemData":{"author":[{"dropping-particle":"","family":"Rowley","given":"Jennifer","non-dropping-particle":"","parse-names":false,"suffix":""}],"container-title":"Management Research News","id":"ITEM-1","issued":{"date-parts":[["2000"]]},"page":"16-27","title":"Using Case Studies in Research","type":"article-journal","volume":"25"},"uris":["http://www.mendeley.com/documents/?uuid=88f744f7-f513-4238-a806-e79b31ffd0dd"]}],"mendeley":{"formattedCitation":"(Rowley, 2000)","manualFormatting":"(Rowley, 2000;","plainTextFormattedCitation":"(Rowley, 2000)","previouslyFormattedCitation":"(Rowley,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(Rowley, 2000;</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et al., 2019)","manualFormatting":" Rashid et al., 2019;","plainTextFormattedCitation":"(Rashid et al., 2019)","previouslyFormattedCitation":"(Rashid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Rashid </w:t>
      </w:r>
      <w:r w:rsidRPr="009672FC">
        <w:rPr>
          <w:rFonts w:ascii="Garamond" w:hAnsi="Garamond"/>
          <w:i/>
          <w:noProof/>
        </w:rPr>
        <w:t>et al.</w:t>
      </w:r>
      <w:r w:rsidRPr="009672FC">
        <w:rPr>
          <w:rFonts w:ascii="Garamond" w:hAnsi="Garamond"/>
          <w:noProof/>
        </w:rPr>
        <w:t>, 2019;</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2018)","manualFormatting":" Yin, 2017)","plainTextFormattedCitation":"(Yin,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Yin, 2017)</w:t>
      </w:r>
      <w:r w:rsidRPr="009672FC">
        <w:rPr>
          <w:rFonts w:ascii="Garamond" w:hAnsi="Garamond"/>
        </w:rPr>
        <w:fldChar w:fldCharType="end"/>
      </w:r>
      <w:r w:rsidRPr="009672FC">
        <w:rPr>
          <w:rFonts w:ascii="Garamond" w:hAnsi="Garamond"/>
        </w:rPr>
        <w:t xml:space="preserve"> to help researchers develop an understanding of the specific </w:t>
      </w:r>
      <w:r w:rsidRPr="009672FC">
        <w:rPr>
          <w:rFonts w:ascii="Garamond" w:hAnsi="Garamond"/>
        </w:rPr>
        <w:lastRenderedPageBreak/>
        <w:t xml:space="preserve">research questions </w:t>
      </w:r>
      <w:r w:rsidRPr="009672FC">
        <w:rPr>
          <w:rFonts w:ascii="Garamond" w:hAnsi="Garamond"/>
        </w:rPr>
        <w:fldChar w:fldCharType="begin" w:fldLock="1"/>
      </w:r>
      <w:r w:rsidRPr="009672FC">
        <w:rPr>
          <w:rFonts w:ascii="Garamond" w:hAnsi="Garamond"/>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5th Editio","id":"ITEM-1","issued":{"date-parts":[["2009"]]},"publisher":"Pearson Education Limited","publisher-place":"Edinburgh Gate, Harlow, Essex CM20 2JE, England","title":"Research methods for business students","type":"book"},"uris":["http://www.mendeley.com/documents/?uuid=4bf0f9df-7383-4d65-8a69-66ac683dc8c8"]}],"mendeley":{"formattedCitation":"(M. Saunders et al., 2009)","manualFormatting":"(Saunders, Lewis and Thornhill, 2009)","plainTextFormattedCitation":"(M. Saunders et al., 2009)","previouslyFormattedCitation":"(M. Saunders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(Saunders, Lewis and Thornhill, 2009)</w:t>
      </w:r>
      <w:r w:rsidRPr="009672FC">
        <w:rPr>
          <w:rFonts w:ascii="Garamond" w:hAnsi="Garamond"/>
        </w:rPr>
        <w:fldChar w:fldCharType="end"/>
      </w:r>
      <w:r w:rsidRPr="009672FC">
        <w:rPr>
          <w:rFonts w:ascii="Garamond" w:hAnsi="Garamond"/>
        </w:rPr>
        <w:t xml:space="preserve"> related to the cause-based social entrepreneurship alliance phenomenon. The qualitative case study method is a common method in management and organizational research </w:t>
      </w:r>
      <w:r w:rsidRPr="009672FC">
        <w:rPr>
          <w:rFonts w:ascii="Garamond" w:hAnsi="Garamond"/>
        </w:rPr>
        <w:fldChar w:fldCharType="begin" w:fldLock="1"/>
      </w:r>
      <w:r w:rsidRPr="009672FC">
        <w:rPr>
          <w:rFonts w:ascii="Garamond" w:hAnsi="Garamond"/>
        </w:rPr>
        <w:instrText>ADDIN CSL_CITATION {"citationItems":[{"id":"ITEM-1","itemData":{"DOI":"10.1108/IJEBR-04-2020-0214","ISSN":"13552554","abstract":"Purpose: Within a very short period of time, the worldwide pandemic triggered by the novel coronavirus has not only claimed numerous lives but also caused severe limitations to daily private as well as business life. Just about every company has been affected in one way or another. This first empirical study on the effects of the COVID-19 crisis on family firms allows initial conclusions to be drawn about family firm crisis management. Design/methodology/approach: Exploratory qualitative research design based on 27 semi-structured interviews with key informants of family firms of all sizes in five Western European countries that are in different stages of the crisis. Findings: The COVID-19 crisis represents a new type and quality of challenge for companies. These companies are applying measures that can be assigned to three different strategies to adapt to the crisis in the short term and emerge from it stronger in the long run. Our findings show how companies in all industries and of all sizes adapt their business models to changing environmental conditions within a short period of time. Finally, the findings also show that the crisis is bringing about a significant yet unintended cultural change. On the one hand, a stronger solidarity and cohesion within the company was observed, while on the other hand, the crisis has led to a tentative digitalization. Originality/value: To the knowledge of the authors, this is the first empirical study in the management realm on the impacts of COVID-19 on (family) firms. It provides cross-national evidence of family firms' current reactions to the crisis.","author":[{"dropping-particle":"","family":"Kraus","given":"Sascha","non-dropping-particle":"","parse-names":false,"suffix":""},{"dropping-particle":"","family":"Clauss","given":"Thomas","non-dropping-particle":"","parse-names":false,"suffix":""},{"dropping-particle":"","family":"Breier","given":"Matthias","non-dropping-particle":"","parse-names":false,"suffix":""},{"dropping-particle":"","family":"Gast","given":"Johanna","non-dropping-particle":"","parse-names":false,"suffix":""},{"dropping-particle":"","family":"Zardini","given":"Alessandro","non-dropping-particle":"","parse-names":false,"suffix":""},{"dropping-particle":"","family":"Tiberius","given":"Victor","non-dropping-particle":"","parse-names":false,"suffix":""}],"container-title":"International Journal of Entrepreneurial Behaviour and Research","id":"ITEM-1","issued":{"date-parts":[["2020"]]},"title":"The economics of COVID-19: initial empirical evidence on how family firms in five European countries cope with the corona crisis","type":"article-journal"},"uris":["http://www.mendeley.com/documents/?uuid=2bfb91cd-b748-4760-b87b-191b65ea31e9"]}],"mendeley":{"formattedCitation":"(Kraus, Clauss, et al., 2020)","manualFormatting":"(e.g., Kraus et al., 2020;","plainTextFormattedCitation":"(Kraus, Clauss, et al., 2020)","previouslyFormattedCitation":"(Kraus, Clauss,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(e.g., Kraus </w:t>
      </w:r>
      <w:r w:rsidRPr="009672FC">
        <w:rPr>
          <w:rFonts w:ascii="Garamond" w:hAnsi="Garamond"/>
          <w:i/>
          <w:noProof/>
        </w:rPr>
        <w:t>et al.</w:t>
      </w:r>
      <w:r w:rsidRPr="009672FC">
        <w:rPr>
          <w:rFonts w:ascii="Garamond" w:hAnsi="Garamond"/>
          <w:noProof/>
        </w:rPr>
        <w:t>, 2020;</w:t>
      </w:r>
      <w:r w:rsidRPr="009672FC">
        <w:rPr>
          <w:rFonts w:ascii="Garamond" w:hAnsi="Garamond"/>
        </w:rPr>
        <w:fldChar w:fldCharType="end"/>
      </w:r>
      <w:r w:rsidRPr="009672FC">
        <w:rPr>
          <w:rFonts w:ascii="Garamond" w:hAnsi="Garamond"/>
        </w:rPr>
        <w:fldChar w:fldCharType="begin" w:fldLock="1"/>
      </w:r>
      <w:r w:rsidRPr="009672FC">
        <w:rPr>
          <w:rFonts w:ascii="Garamond" w:hAnsi="Garamond"/>
        </w:rPr>
        <w:instrText>ADDIN CSL_CITATION {"citationItems":[{"id":"ITEM-1","itemData":{"DOI":"10.1080/09654319908720526","ISBN":"978-3-319-11220-6","abstract":"This book explores the premise that organizations are significantly influenced by their inter-organizational relationships; moreover, these relationships may generate important externalities, both positive and negative, impacting the environment at several levels. The advent of the Internet era, on the other hand, has resulted in disruptive changes in traditional inter-organizational networks, and some completely new inter-organizational settings are now arising. In its first part the book reviews the most commonly cited theories explaining inter-organizational phenomena: transaction costs economics, agency theory, resource dependence theory, game theories, collaborative networks theory, institutional theories, organizational ecology, resource-based / relational-based view of the firm, and knowledge network / social network theories. In Part II it thoroughly reviews the literature on a number of key IT-enabled inter-organizational systems currently on the rise, such as virtual organizations, e-intermediators and e-marketplaces. Lastly, Part III presents the case of the Yoox Group, a leading firm offering e-commerce services for fashion and design products. A framework is proposed for systematically linking the different possible types of inter-organizational relationships to specific, suitable sets of theories. The range of possible inter-organizational relationships is described on the basis of three pairs of opposites: conformism-breach, exploitation-exploration, and cooperation-competition. This results in a model that makes it possible to combine different theories in order to study the effects of inter-organizational ambidexterity and dynamism on performance.","author":[{"dropping-particle":"","family":"Rossignoli","given":"Cecilia","non-dropping-particle":"","parse-names":false,"suffix":""},{"dropping-particle":"","family":"Ricciardi","given":"Francesca","non-dropping-particle":"","parse-names":false,"suffix":""}],"container-title":"European Planning Studies","id":"ITEM-1","issue":"4","issued":{"date-parts":[["2015"]]},"number-of-pages":"1-162","title":"Inter-Organizational Relationships. Towards a Dynamic Model for Understanding Business Network Performance","type":"book","volume":"7"},"uris":["http://www.mendeley.com/documents/?uuid=26f1988c-5325-4a3e-bf1d-6ada3f99419a"]}],"mendeley":{"formattedCitation":"(Rossignoli &amp; Ricciardi, 2015)","manualFormatting":" Rossignoli, Ricciardi and Bonomi, 2018)","plainTextFormattedCitation":"(Rossignoli &amp; Ricciardi, 2015)","previouslyFormattedCitation":"(Rossignoli &amp; Ricciardi,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 </w:t>
      </w:r>
      <w:r w:rsidRPr="009672FC">
        <w:rPr>
          <w:rFonts w:ascii="Garamond" w:hAnsi="Garamond"/>
          <w:noProof/>
        </w:rPr>
        <w:fldChar w:fldCharType="begin" w:fldLock="1"/>
      </w:r>
      <w:r w:rsidRPr="009672FC">
        <w:rPr>
          <w:rFonts w:ascii="Garamond" w:hAnsi="Garamond"/>
          <w:noProof/>
        </w:rPr>
        <w:instrText>ADDIN CSL_CITATION {"citationItems":[{"id":"ITEM-1","itemData":{"DOI":"10.1007/s10726-018-9564-z","ISSN":"15729907","abstract":"Social entrepreneurship develops innovative opportunities and solutions aimed to (re)generate the common good. This emerging organizational form poses unprecedented challenges to group decision and negotiation studies. This article leverages conceptual tools from the literature on the commons and institutional logics as it explores the organizational conditions of social entrepreneurship that trigger commons-enabling decision-making in its organizational field. Through an inductive analysis of a longitudinal case, this study proposes a model that highlights the critical role of the bridging organization that can be introduced by the social entrepreneur in a previously fragmented organizational field. This bridging organization is in the condition to develop an innovative co-creation logic that can serve as a common ground to enable collaboration between actors from diverse and even conflicting institutional logics. The proposed model suggests that a practice-driven path to the construction of such a common ground for decision-making is more effective than a disclosure-driven path, which is based on classical conflict analysis techniques. The ICT-enabled activity system developed by the social entrepreneur injects transparency and traceability into a previously opaque field, thus creating the conditions for distributed, flexible, and complementary sense- and decision-making processes that develop and protect the commons.","author":[{"dropping-particle":"","family":"Rossignoli","given":"Cecilia","non-dropping-particle":"","parse-names":false,"suffix":""},{"dropping-particle":"","family":"Ricciardi","given":"Francesca","non-dropping-particle":"","parse-names":false,"suffix":""},{"dropping-particle":"","family":"Bonomi","given":"Sabrina","non-dropping-particle":"","parse-names":false,"suffix":""}],"container-title":"Group Decision and Negotiation","id":"ITEM-1","issue":"3","issued":{"date-parts":[["2018"]]},"page":"417-443","publisher":"Springer Netherlands","title":"Organizing for Commons-Enabling Decision-Making Under Conflicting Institutional Logics in Social Entrepreneurship","type":"article-journal","volume":"27"},"uris":["http://www.mendeley.com/documents/?uuid=afb25fb7-41ca-49b7-806f-983634eca053"]}],"mendeley":{"formattedCitation":"(Rossignoli et al., 2018)","manualFormatting":"Rossignoli, Ricciardi and Bonomi, 2018)","plainTextFormattedCitation":"(Rossignoli et al., 2018)","previouslyFormattedCitation":"(Rossignoli et al., 2018)"},"properties":{"noteIndex":0},"schema":"https://github.com/citation-style-language/schema/raw/master/csl-citation.json"}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Rossignoli, Ricciardi and Bonomi, 2018)</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used to deepen the researchers’ insights into the “what”, “how” and “why” in a specific research context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2018)","manualFormatting":"(Yin, 2013)","plainTextFormattedCitation":"(Yin,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noProof/>
        </w:rPr>
        <w:fldChar w:fldCharType="begin" w:fldLock="1"/>
      </w:r>
      <w:r w:rsidRPr="009672FC">
        <w:rPr>
          <w:rFonts w:ascii="Garamond" w:hAnsi="Garamond"/>
          <w:noProof/>
        </w:rPr>
        <w:instrText>ADDIN CSL_CITATION {"citationItems":[{"id":"ITEM-1","itemData":{"DOI":"10.1177/1356389013497081","ISSN":"13563890","abstract":"Validity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 The Author(s) 2013.","author":[{"dropping-particle":"","family":"Yin","given":"Robert K.","non-dropping-particle":"","parse-names":false,"suffix":""}],"container-title":"Evaluation","id":"ITEM-1","issue":"3","issued":{"date-parts":[["2013"]]},"page":"321-332","title":"Validity and generalization in future case study evaluations","type":"article-journal","volume":"19"},"uris":["http://www.mendeley.com/documents/?uuid=496afc1b-f287-4525-90f5-14cae29de876"]}],"mendeley":{"formattedCitation":"(Yin, 2013)","manualFormatting":"Yin, 2013)","plainTextFormattedCitation":"(Yin, 2013)","previouslyFormattedCitation":"(Yin,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Yin, 2013)</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Our longitudinal case study was employed between the first three months of the alliance formation, and the first nine months of the operation. The objective was to assess an in-depth exploration of some intricate social phenomena impacting the project” </w:t>
      </w:r>
      <w:r w:rsidRPr="009672FC">
        <w:rPr>
          <w:rFonts w:ascii="Garamond" w:hAnsi="Garamond"/>
        </w:rPr>
        <w:fldChar w:fldCharType="begin" w:fldLock="1"/>
      </w:r>
      <w:r w:rsidRPr="009672FC">
        <w:rPr>
          <w:rFonts w:ascii="Garamond" w:hAnsi="Garamond"/>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et al., 2019)","manualFormatting":"(Rashid et al., 2019)","plainTextFormattedCitation":"(Rashid et al., 2019)","previouslyFormattedCitation":"(Rashid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(Rashid </w:t>
      </w:r>
      <w:r w:rsidRPr="009672FC">
        <w:rPr>
          <w:rFonts w:ascii="Garamond" w:hAnsi="Garamond"/>
          <w:i/>
          <w:noProof/>
        </w:rPr>
        <w:t>et al.</w:t>
      </w:r>
      <w:r w:rsidRPr="009672FC">
        <w:rPr>
          <w:rFonts w:ascii="Garamond" w:hAnsi="Garamond"/>
          <w:noProof/>
        </w:rPr>
        <w:t>, 2019)</w:t>
      </w:r>
      <w:r w:rsidRPr="009672FC">
        <w:rPr>
          <w:rFonts w:ascii="Garamond" w:hAnsi="Garamond"/>
        </w:rPr>
        <w:fldChar w:fldCharType="end"/>
      </w:r>
      <w:r w:rsidRPr="009672FC">
        <w:rPr>
          <w:rFonts w:ascii="Garamond" w:hAnsi="Garamond"/>
        </w:rPr>
        <w:t>.</w:t>
      </w:r>
    </w:p>
    <w:p w14:paraId="4F629440"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Since inter-firm cause-based alliance is an emerging theme in social entrepreneurship literature, as observed in the theoretical review </w:t>
      </w:r>
      <w:r w:rsidRPr="009672FC">
        <w:rPr>
          <w:rFonts w:ascii="Garamond" w:hAnsi="Garamond"/>
        </w:rPr>
        <w:fldChar w:fldCharType="begin" w:fldLock="1"/>
      </w:r>
      <w:r w:rsidRPr="009672FC">
        <w:rPr>
          <w:rFonts w:ascii="Garamond" w:hAnsi="Garamond"/>
        </w:rPr>
        <w:instrText>ADDIN CSL_CITATION {"citationItems":[{"id":"ITEM-1","itemData":{"DOI":"10.1111/j.1540-6520.2009.00354.x","ISBN":"0275989860","author":[{"dropping-particle":"","family":"Austin","given":"James","non-dropping-particle":"","parse-names":false,"suffix":""},{"dropping-particle":"","family":"Stevenson","given":"Howard","non-dropping-particle":"","parse-names":false,"suffix":""},{"dropping-particle":"","family":"Wei-Skillern","given":"Jane","non-dropping-particle":"","parse-names":false,"suffix":""}],"container-title":"Entrepreneurship theory and practice","id":"ITEM-1","issue":"1","issued":{"date-parts":[["2006"]]},"page":"1-22","title":"Social and Commercial Entrepreneurship: Same, Different, or Both?","type":"article-journal","volume":"30"},"uris":["http://www.mendeley.com/documents/?uuid=06bea3d3-e3f0-41d2-89e3-a274ac1a1607"]}],"mendeley":{"formattedCitation":"(J. Austin et al., 2006)","manualFormatting":"(Austin, Stevenson and Wei-Skillern, 2006;","plainTextFormattedCitation":"(J. Austin et al., 2006)","previouslyFormattedCitation":"(J. Austin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Stevenson and Wei-Skillern, 2006;</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{"citationItems":[{"id":"ITEM-1","itemData":{"DOI":"10.1016/j.jbusres.2019.02.031","ISSN":"01482963","abstract":"The literature on the motivation for social entrepreneurship focuses mainly on prosocial attitude. Very little research has been undertaken to understand the innovation and profit elements of social entrepreneurship. This study performs a conjoint experiment to reveal the importance of these three elements as motivators for social entrepreneurship, and then employs fuzzy-set qualitative comparative analysis (fsQCA) to identify configurations of motives, self-efficacies, and personal conditions that culminate in social entrepreneurial intention (SEI). Our results reveal asymmetric relationships between SEI and prosocial attitude, innovation attitude, and entrepreneurial self-efficacy, while profit motivation may be either high or low for SEI.","author":[{"dropping-particle":"","family":"Douglas","given":"Evan","non-dropping-particle":"","parse-names":false,"suffix":""},{"dropping-particle":"","family":"Prentice","given":"Catherine","non-dropping-particle":"","parse-names":false,"suffix":""}],"container-title":"Journal of Business Research","id":"ITEM-1","issue":"November 2018","issued":{"date-parts":[["2019"]]},"page":"69-79","title":"Innovation and profit motivations for social entrepreneurship: A fuzzy-set analysis","type":"article-journal","volume":"99"},"uris":["http://www.mendeley.com/documents/?uuid=c0cfbc6e-6e2a-475c-b9a2-ad88c72e6f9c"]}],"mendeley":{"formattedCitation":"(Douglas &amp; Prentice, 2019)","manualFormatting":"Douglas and Prentice, 2019; Hockerts, 2006)","plainTextFormattedCitation":"(Douglas &amp; Prentice, 2019)","previouslyFormattedCitation":"(Douglas &amp; Prentice,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Douglas and Prentice, 2019; </w:t>
      </w:r>
      <w:r w:rsidRPr="009672FC">
        <w:rPr>
          <w:rFonts w:ascii="Garamond" w:hAnsi="Garamond"/>
          <w:noProof/>
        </w:rPr>
        <w:fldChar w:fldCharType="begin" w:fldLock="1"/>
      </w:r>
      <w:r w:rsidRPr="009672FC">
        <w:rPr>
          <w:rFonts w:ascii="Garamond" w:hAnsi="Garamond"/>
          <w:noProof/>
        </w:rPr>
        <w:instrText>ADDIN CSL_CITATION {"citationItems":[{"id":"ITEM-1","itemData":{"author":[{"dropping-particle":"","family":"Hockerts","given":"Kai","non-dropping-particle":"","parse-names":false,"suffix":""}],"container-title":"Social Entrepreneurship","id":"ITEM-1","issued":{"date-parts":[["2006"]]},"page":"142-154","publisher":"Palgrave Macmillan, a division of Macmillan Publishers Limited","title":"Entrepreneurial Opportunity in Social Purpose Business Ventures","type":"chapter"},"uris":["http://www.mendeley.com/documents/?uuid=689444ca-93f2-4ce3-8013-7cadc68a3e58"]}],"mendeley":{"formattedCitation":"(Hockerts, 2006)","manualFormatting":"Hockerts, 2006)","plainTextFormattedCitation":"(Hockerts, 2006)","previouslyFormattedCitation":"(Hockerts, 2006)"},"properties":{"noteIndex":0},"schema":"https://github.com/citation-style-language/schema/raw/master/csl-citation.json"}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Hockerts, 2006)</w:t>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a case study approach is a suitable research method for this study. Based on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2018)","manualFormatting":"Yin (2017, p. 73)","plainTextFormattedCitation":"(Yin,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(2017, p. 73)</w:t>
      </w:r>
      <w:r w:rsidRPr="009672FC">
        <w:rPr>
          <w:rFonts w:ascii="Garamond" w:hAnsi="Garamond"/>
        </w:rPr>
        <w:fldChar w:fldCharType="end"/>
      </w:r>
      <w:r w:rsidRPr="009672FC">
        <w:rPr>
          <w:rFonts w:ascii="Garamond" w:hAnsi="Garamond"/>
        </w:rPr>
        <w:t xml:space="preserve">: it provides an empirical inquiry into a contemporary phenomenon whose understanding and context is fragmented in the literature. Also, the internal value-generating processes between firms with diverse motives, and even institutional logic, make the case study approach a suitable method to elucidate these value processes. These backgrounds have the potential to provide a solid theoretical lens in the domain of collaborative value construct for new knowledge generation and theory building </w:t>
      </w:r>
      <w:r w:rsidRPr="009672FC">
        <w:rPr>
          <w:rFonts w:ascii="Garamond" w:hAnsi="Garamond"/>
        </w:rPr>
        <w:fldChar w:fldCharType="begin" w:fldLock="1"/>
      </w:r>
      <w:r w:rsidRPr="009672FC">
        <w:rPr>
          <w:rFonts w:ascii="Garamond" w:hAnsi="Garamond"/>
        </w:rPr>
        <w:instrText>ADDIN CSL_CITATION {"citationItems":[{"id":"ITEM-1","itemData":{"abstract":"This paper describes the process of inducting theory using case stud- 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 Development","author":[{"dropping-particle":"","family":"Eisenhardt","given":"Kathleen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Research","type":"article-journal","volume":"14"},"uris":["http://www.mendeley.com/documents/?uuid=82b606ee-da03-4aa2-b97e-fdc7aa6435de"]}],"mendeley":{"formattedCitation":"(Eisenhardt, 1989b)","plainTextFormattedCitation":"(Eisenhardt, 1989b)","previouslyFormattedCitation":"(Eisenhardt, 1989b)"},"properties":{"noteIndex":0},"schema":"https://github.com/citation-style-language/schema/raw/master/csl-citation.json"}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(Eisenhardt, 1989b)</w:t>
      </w:r>
      <w:r w:rsidRPr="009672FC">
        <w:rPr>
          <w:rFonts w:ascii="Garamond" w:hAnsi="Garamond"/>
        </w:rPr>
        <w:fldChar w:fldCharType="end"/>
      </w:r>
      <w:r w:rsidRPr="009672FC">
        <w:rPr>
          <w:rFonts w:ascii="Garamond" w:hAnsi="Garamond"/>
        </w:rPr>
        <w:t xml:space="preserve">. This approach of theory testing and the search for new theory (theory building) advance the tradition of “analytical generalization” of theory </w:t>
      </w:r>
      <w:r w:rsidRPr="009672FC">
        <w:rPr>
          <w:rFonts w:ascii="Garamond" w:hAnsi="Garamond"/>
        </w:rPr>
        <w:fldChar w:fldCharType="begin" w:fldLock="1"/>
      </w:r>
      <w:r w:rsidRPr="009672FC">
        <w:rPr>
          <w:rFonts w:ascii="Garamond" w:hAnsi="Garamond"/>
        </w:rPr>
        <w:instrText>ADDIN CSL_CITATION {"citationItems":[{"id":"ITEM-1","itemData":{"DOI":"10.1177/1356389013497081","ISSN":"13563890","abstract":"Validity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 The Author(s) 2013.","author":[{"dropping-particle":"","family":"Yin","given":"Robert K.","non-dropping-particle":"","parse-names":false,"suffix":""}],"container-title":"Evaluation","id":"ITEM-1","issue":"3","issued":{"date-parts":[["2013"]]},"page":"321-332","title":"Validity and generalization in future case study evaluations","type":"article-journal","volume":"19"},"uris":["http://www.mendeley.com/documents/?uuid=496afc1b-f287-4525-90f5-14cae29de876"]}],"mendeley":{"formattedCitation":"(Yin, 2013)","manualFormatting":"(Yin, 2013, pp.325-326)","plainTextFormattedCitation":"(Yin, 2013)","previouslyFormattedCitation":"(Yin,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2013, pp.325-326)</w:t>
      </w:r>
      <w:r w:rsidRPr="009672FC">
        <w:rPr>
          <w:rFonts w:ascii="Garamond" w:hAnsi="Garamond"/>
        </w:rPr>
        <w:fldChar w:fldCharType="end"/>
      </w:r>
      <w:r w:rsidRPr="009672FC">
        <w:rPr>
          <w:rFonts w:ascii="Garamond" w:hAnsi="Garamond"/>
        </w:rPr>
        <w:t>.</w:t>
      </w:r>
    </w:p>
    <w:p w14:paraId="13DE3BB0" w14:textId="77777777" w:rsidR="003D5DE8" w:rsidRPr="009672FC" w:rsidRDefault="007549AA" w:rsidP="00890FB2">
      <w:pPr>
        <w:spacing w:before="240" w:line="360" w:lineRule="auto"/>
        <w:jc w:val="both"/>
        <w:rPr>
          <w:rFonts w:ascii="Garamond" w:hAnsi="Garamond"/>
        </w:rPr>
      </w:pPr>
      <w:r w:rsidRPr="009672FC">
        <w:rPr>
          <w:rFonts w:ascii="Garamond" w:hAnsi="Garamond"/>
        </w:rPr>
        <w:t>The unit of analysis in this research is the “supply chain” or “the alliance” that characterizes firms involved in the production and supplies of Personal Protective Equipment as part of the COVID-19 crisis response. Employing qualitative interviews, enabled us to capture the specific alliance-level characteristics, and the subjective experiences and perception of entrepreneurs/managers about the cause-based collaborative value creation processes during the pandemic.</w:t>
      </w:r>
    </w:p>
    <w:p w14:paraId="4FA479A5" w14:textId="6AB85962" w:rsidR="003D5DE8" w:rsidRPr="009672FC" w:rsidRDefault="007549AA" w:rsidP="00890FB2">
      <w:pPr>
        <w:pStyle w:val="Title"/>
        <w:numPr>
          <w:ilvl w:val="2"/>
          <w:numId w:val="12"/>
        </w:numPr>
        <w:spacing w:before="240" w:line="360" w:lineRule="auto"/>
        <w:jc w:val="both"/>
        <w:outlineLvl w:val="2"/>
        <w:rPr>
          <w:rFonts w:ascii="Garamond" w:hAnsi="Garamond" w:cs="Times New Roman"/>
          <w:b/>
          <w:bCs/>
          <w:i/>
          <w:iCs/>
          <w:sz w:val="24"/>
          <w:szCs w:val="24"/>
        </w:rPr>
      </w:pPr>
      <w:bookmarkStart w:id="232" w:name="_Toc85708775"/>
      <w:bookmarkStart w:id="233" w:name="_Toc85709789"/>
      <w:r w:rsidRPr="009672FC">
        <w:rPr>
          <w:rFonts w:ascii="Garamond" w:hAnsi="Garamond" w:cs="Times New Roman"/>
          <w:b/>
          <w:bCs/>
          <w:i/>
          <w:iCs/>
          <w:sz w:val="24"/>
          <w:szCs w:val="24"/>
        </w:rPr>
        <w:t>Research Sample and Setting</w:t>
      </w:r>
      <w:bookmarkEnd w:id="232"/>
      <w:bookmarkEnd w:id="233"/>
    </w:p>
    <w:p w14:paraId="73DB9D4F" w14:textId="5E7E54A0" w:rsidR="003D5DE8" w:rsidRPr="009672FC" w:rsidRDefault="007549AA" w:rsidP="00890FB2">
      <w:pPr>
        <w:spacing w:line="360" w:lineRule="auto"/>
        <w:jc w:val="both"/>
        <w:rPr>
          <w:rFonts w:ascii="Garamond" w:hAnsi="Garamond"/>
          <w:i/>
          <w:iCs/>
        </w:rPr>
      </w:pPr>
      <w:r w:rsidRPr="009672FC">
        <w:rPr>
          <w:rFonts w:ascii="Garamond" w:hAnsi="Garamond"/>
        </w:rPr>
        <w:t xml:space="preserve">Our sample size comprises (four multinational SMEs) firms headquartered in northern Italy that make up the new form of alliance. Since the scope of the study is the alliance primarily cause-driven, rather than economic, thus indicate that only those firms that recognize this and decide to form part of the alliance can be included in the sample. This allows for homogeneity of the sample </w:t>
      </w:r>
      <w:r w:rsidRPr="009672FC">
        <w:rPr>
          <w:rFonts w:ascii="Garamond" w:hAnsi="Garamond"/>
        </w:rPr>
        <w:lastRenderedPageBreak/>
        <w:t>population and focus on understanding the “how” and “why” o</w:t>
      </w:r>
      <w:r w:rsidR="00813D37" w:rsidRPr="009672FC">
        <w:rPr>
          <w:rFonts w:ascii="Garamond" w:hAnsi="Garamond"/>
        </w:rPr>
        <w:t>f</w:t>
      </w:r>
      <w:r w:rsidRPr="009672FC">
        <w:rPr>
          <w:rFonts w:ascii="Garamond" w:hAnsi="Garamond"/>
        </w:rPr>
        <w:t xml:space="preserve"> the alliance process, culture, and set of social interactions </w:t>
      </w:r>
      <w:r w:rsidRPr="009672FC">
        <w:rPr>
          <w:rFonts w:ascii="Garamond" w:hAnsi="Garamond"/>
        </w:rPr>
        <w:fldChar w:fldCharType="begin" w:fldLock="1"/>
      </w:r>
      <w:r w:rsidRPr="009672FC">
        <w:rPr>
          <w:rFonts w:ascii="Garamond" w:hAnsi="Garamond"/>
        </w:rPr>
        <w:instrText>ADDIN CSL_CITATION {"citationItems":[{"id":"ITEM-1","itemData":{"DOI":"10.1016/j.ypmed.2012.07.003","ISSN":"00917435","PMID":"22800684","author":[{"dropping-particle":"","family":"Trotter","given":"Robert T.","non-dropping-particle":"","parse-names":false,"suffix":""}],"container-title":"Preventive Medicine","id":"ITEM-1","issue":"5","issued":{"date-parts":[["2012"]]},"page":"398-400","publisher":"Elsevier Inc.","title":"Qualitative research sample design and sample size: Resolving and unresolved issues and inferential imperatives","type":"article-journal","volume":"55"},"uris":["http://www.mendeley.com/documents/?uuid=22fc149f-015a-4771-b516-ccd53e8e043e"]}],"mendeley":{"formattedCitation":"(Trotter, 2012)","manualFormatting":"(Dworkin, 2012; Trotter, 2012)","plainTextFormattedCitation":"(Trotter, 2012)","previouslyFormattedCitation":"(Trotter,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t>
      </w:r>
      <w:r w:rsidRPr="009672FC">
        <w:rPr>
          <w:rFonts w:ascii="Garamond" w:hAnsi="Garamond"/>
          <w:noProof/>
        </w:rPr>
        <w:fldChar w:fldCharType="begin" w:fldLock="1"/>
      </w:r>
      <w:r w:rsidRPr="009672FC">
        <w:rPr>
          <w:rFonts w:ascii="Garamond" w:hAnsi="Garamond"/>
          <w:noProof/>
        </w:rPr>
        <w:instrText>ADDIN CSL_CITATION {"citationItems":[{"id":"ITEM-1","itemData":{"DOI":"10.1007/s10508-012-0016-6","ISSN":"00040002","PMID":"22968493","author":[{"dropping-particle":"","family":"Dworkin","given":"Shari L.","non-dropping-particle":"","parse-names":false,"suffix":""}],"container-title":"Archives of Sexual Behavior","id":"ITEM-1","issue":"6","issued":{"date-parts":[["2012"]]},"page":"1319-1320","title":"Sample size policy for qualitative studies using in-depth interviews","type":"article-journal","volume":"41"},"uris":["http://www.mendeley.com/documents/?uuid=0fc58209-f417-47d7-8025-d2c1acc63238"]}],"mendeley":{"formattedCitation":"(Dworkin, 2012)","manualFormatting":"Dworkin, 2012; ","plainTextFormattedCitation":"(Dworkin, 2012)","previouslyFormattedCitation":"(Dworkin, 2012)"},"properties":{"noteIndex":0},"schema":"https://github.com/citation-style-language/schema/raw/master/csl-citation.json"}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Dworkin, 2012; </w:t>
      </w:r>
      <w:r w:rsidRPr="009672FC">
        <w:rPr>
          <w:rFonts w:ascii="Garamond" w:hAnsi="Garamond"/>
          <w:noProof/>
        </w:rPr>
        <w:fldChar w:fldCharType="end"/>
      </w:r>
      <w:r w:rsidRPr="009672FC">
        <w:rPr>
          <w:rFonts w:ascii="Garamond" w:hAnsi="Garamond"/>
          <w:noProof/>
        </w:rPr>
        <w:t>Trotter, 2012)</w:t>
      </w:r>
      <w:r w:rsidRPr="009672FC">
        <w:rPr>
          <w:rFonts w:ascii="Garamond" w:hAnsi="Garamond"/>
        </w:rPr>
        <w:fldChar w:fldCharType="end"/>
      </w:r>
      <w:r w:rsidRPr="009672FC">
        <w:rPr>
          <w:rFonts w:ascii="Garamond" w:hAnsi="Garamond"/>
        </w:rPr>
        <w:t xml:space="preserve">. </w:t>
      </w:r>
      <w:r w:rsidR="00813D37" w:rsidRPr="009672FC">
        <w:rPr>
          <w:rFonts w:ascii="Garamond" w:hAnsi="Garamond"/>
        </w:rPr>
        <w:t>R</w:t>
      </w:r>
      <w:r w:rsidRPr="009672FC">
        <w:rPr>
          <w:rFonts w:ascii="Garamond" w:hAnsi="Garamond"/>
        </w:rPr>
        <w:t>esearch suggest</w:t>
      </w:r>
      <w:r w:rsidR="00813D37" w:rsidRPr="009672FC">
        <w:rPr>
          <w:rFonts w:ascii="Garamond" w:hAnsi="Garamond"/>
        </w:rPr>
        <w:t>s</w:t>
      </w:r>
      <w:r w:rsidRPr="009672FC">
        <w:rPr>
          <w:rFonts w:ascii="Garamond" w:hAnsi="Garamond"/>
        </w:rPr>
        <w:t xml:space="preserve"> that </w:t>
      </w:r>
      <w:r w:rsidR="00813D37" w:rsidRPr="009672FC">
        <w:rPr>
          <w:rFonts w:ascii="Garamond" w:hAnsi="Garamond"/>
        </w:rPr>
        <w:t xml:space="preserve">a </w:t>
      </w:r>
      <w:r w:rsidRPr="009672FC">
        <w:rPr>
          <w:rFonts w:ascii="Garamond" w:hAnsi="Garamond"/>
        </w:rPr>
        <w:t xml:space="preserve">small sample size for a single longitudinal case study, is sufficient- as it has the potential to provide a more informative, in-depth insight into the research phenomenon than a large sample </w:t>
      </w:r>
      <w:r w:rsidRPr="009672FC">
        <w:rPr>
          <w:rFonts w:ascii="Garamond" w:hAnsi="Garamond"/>
        </w:rPr>
        <w:fldChar w:fldCharType="begin" w:fldLock="1"/>
      </w:r>
      <w:r w:rsidRPr="009672FC">
        <w:rPr>
          <w:rFonts w:ascii="Garamond" w:hAnsi="Garamond"/>
        </w:rPr>
        <w:instrText>ADDIN CSL_CITATION {"citationItems":[{"id":"ITEM-1","itemData":{"DOI":"10.1108/QMR-06-2016-0053","ISSN":"13522752","abstract":"Purpose: Qualitative researchers have been criticised for not justifying sample size decisions in their research. This short paper addresses the issue of which sample sizes are appropriate and valid within different approaches to qualitative research. Design/methodology/approach: The sparse literature on sample sizes in qualitative research is reviewed and discussed. This examination is informed by the personal experience of the author in terms of assessing, as an editor, reviewer comments as they relate to sample size in qualitative research. Also, the discussion is informed by the author’s own experience of undertaking commercial and academic qualitative research over the last 31 years. Findings: In qualitative research, the determination of sample size is contextual and partially dependent upon the scientific paradigm under which investigation is taking place. For example, qualitative research which is oriented towards positivism, will require larger samples than in-depth qualitative research does, so that a representative picture of the whole population under review can be gained. Nonetheless, the paper also concludes that sample sizes involving one single case can be highly informative and meaningful as demonstrated in examples from management and medical research. Unique examples of research using a single sample or case but involving new areas or findings that are potentially highly relevant, can be worthy of publication. Theoretical saturation can also be useful as a guide in designing qualitative research, with practical research illustrating that samples of 12 may be cases where data saturation occurs among a relatively homogeneous population. Practical implications: Sample sizes as low as one can be justified. Researchers and reviewers may find the discussion in this paper to be a useful guide to determining and critiquing sample size in qualitative research. Originality/value: Sample size in qualitative research is always mentioned by reviewers of qualitative papers but discussion tends to be simplistic and relatively uninformed. The current paper draws attention to how sample sizes, at both ends of the size continuum, can be justified by researchers. This will also aid reviewers in their making of comments about the appropriateness of sample sizes in qualitative research.","author":[{"dropping-particle":"","family":"Boddy","given":"Clive Roland","non-dropping-particle":"","parse-names":false,"suffix":""}],"container-title":"Qualitative Market Research","id":"ITEM-1","issue":"4","issued":{"date-parts":[["2016"]]},"page":"426-432","title":"Sample size for qualitative research","type":"article-journal","volume":"19"},"uris":["http://www.mendeley.com/documents/?uuid=48a6fd14-926d-4104-99a2-be5b4ced1742"]}],"mendeley":{"formattedCitation":"(Boddy, 2016)","manualFormatting":"(Boddy, 2016;","plainTextFormattedCitation":"(Boddy, 2016)","previouslyFormattedCitation":"(Boddy,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(Boddy, 2016;</w:t>
      </w:r>
      <w:r w:rsidRPr="009672FC">
        <w:rPr>
          <w:rFonts w:ascii="Garamond" w:hAnsi="Garamond"/>
        </w:rPr>
        <w:fldChar w:fldCharType="end"/>
      </w:r>
      <w:r w:rsidRPr="009672FC">
        <w:rPr>
          <w:rFonts w:ascii="Garamond" w:hAnsi="Garamond"/>
        </w:rPr>
        <w:t xml:space="preserve">  </w:t>
      </w:r>
      <w:r w:rsidRPr="009672FC">
        <w:rPr>
          <w:rFonts w:ascii="Garamond" w:hAnsi="Garamond"/>
        </w:rPr>
        <w:fldChar w:fldCharType="begin" w:fldLock="1"/>
      </w:r>
      <w:r w:rsidRPr="009672FC">
        <w:rPr>
          <w:rFonts w:ascii="Garamond" w:hAnsi="Garamond"/>
        </w:rPr>
        <w:instrText>ADDIN CSL_CITATION {"citationItems":[{"id":"ITEM-1","itemData":{"DOI":"10.1016/j.ypmed.2012.07.003","ISSN":"00917435","PMID":"22800684","author":[{"dropping-particle":"","family":"Trotter","given":"Robert T.","non-dropping-particle":"","parse-names":false,"suffix":""}],"container-title":"Preventive Medicine","id":"ITEM-1","issue":"5","issued":{"date-parts":[["2012"]]},"page":"398-400","publisher":"Elsevier Inc.","title":"Qualitative research sample design and sample size: Resolving and unresolved issues and inferential imperatives","type":"article-journal","volume":"55"},"uris":["http://www.mendeley.com/documents/?uuid=22fc149f-015a-4771-b516-ccd53e8e043e"]}],"mendeley":{"formattedCitation":"(Trotter, 2012)","manualFormatting":"Trotter, 2012)","plainTextFormattedCitation":"(Trotter, 2012)","previouslyFormattedCitation":"(Trotter,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Trotter, 2012)</w:t>
      </w:r>
      <w:r w:rsidRPr="009672FC">
        <w:rPr>
          <w:rFonts w:ascii="Garamond" w:hAnsi="Garamond"/>
        </w:rPr>
        <w:fldChar w:fldCharType="end"/>
      </w:r>
      <w:r w:rsidRPr="009672FC">
        <w:rPr>
          <w:rFonts w:ascii="Garamond" w:hAnsi="Garamond"/>
        </w:rPr>
        <w:t xml:space="preserve">. Such </w:t>
      </w:r>
      <w:r w:rsidR="00813D37" w:rsidRPr="009672FC">
        <w:rPr>
          <w:rFonts w:ascii="Garamond" w:hAnsi="Garamond"/>
        </w:rPr>
        <w:t xml:space="preserve">a </w:t>
      </w:r>
      <w:r w:rsidRPr="009672FC">
        <w:rPr>
          <w:rFonts w:ascii="Garamond" w:hAnsi="Garamond"/>
        </w:rPr>
        <w:t xml:space="preserve">small sample size “permits the deep, case-oriented analysis, thus providing the </w:t>
      </w:r>
      <w:r w:rsidRPr="009672FC">
        <w:rPr>
          <w:rFonts w:ascii="Garamond" w:hAnsi="Garamond"/>
          <w:i/>
          <w:iCs/>
        </w:rPr>
        <w:t>raison-</w:t>
      </w:r>
      <w:proofErr w:type="spellStart"/>
      <w:r w:rsidRPr="009672FC">
        <w:rPr>
          <w:rFonts w:ascii="Garamond" w:hAnsi="Garamond"/>
          <w:i/>
          <w:iCs/>
        </w:rPr>
        <w:t>d’etre</w:t>
      </w:r>
      <w:proofErr w:type="spellEnd"/>
      <w:r w:rsidRPr="009672FC">
        <w:rPr>
          <w:rFonts w:ascii="Garamond" w:hAnsi="Garamond"/>
        </w:rPr>
        <w:t xml:space="preserve"> of qualitative inquiry” </w:t>
      </w:r>
      <w:r w:rsidRPr="009672FC">
        <w:rPr>
          <w:rFonts w:ascii="Garamond" w:hAnsi="Garamond"/>
        </w:rPr>
        <w:fldChar w:fldCharType="begin" w:fldLock="1"/>
      </w:r>
      <w:r w:rsidRPr="009672FC">
        <w:rPr>
          <w:rFonts w:ascii="Garamond" w:hAnsi="Garamond"/>
        </w:rPr>
        <w:instrText>ADDIN CSL_CITATION {"citationItems":[{"id":"ITEM-1","itemData":{"DOI":"10.1108/QMR-06-2016-0053","ISSN":"13522752","abstract":"Purpose: Qualitative researchers have been criticised for not justifying sample size decisions in their research. This short paper addresses the issue of which sample sizes are appropriate and valid within different approaches to qualitative research. Design/methodology/approach: The sparse literature on sample sizes in qualitative research is reviewed and discussed. This examination is informed by the personal experience of the author in terms of assessing, as an editor, reviewer comments as they relate to sample size in qualitative research. Also, the discussion is informed by the author’s own experience of undertaking commercial and academic qualitative research over the last 31 years. Findings: In qualitative research, the determination of sample size is contextual and partially dependent upon the scientific paradigm under which investigation is taking place. For example, qualitative research which is oriented towards positivism, will require larger samples than in-depth qualitative research does, so that a representative picture of the whole population under review can be gained. Nonetheless, the paper also concludes that sample sizes involving one single case can be highly informative and meaningful as demonstrated in examples from management and medical research. Unique examples of research using a single sample or case but involving new areas or findings that are potentially highly relevant, can be worthy of publication. Theoretical saturation can also be useful as a guide in designing qualitative research, with practical research illustrating that samples of 12 may be cases where data saturation occurs among a relatively homogeneous population. Practical implications: Sample sizes as low as one can be justified. Researchers and reviewers may find the discussion in this paper to be a useful guide to determining and critiquing sample size in qualitative research. Originality/value: Sample size in qualitative research is always mentioned by reviewers of qualitative papers but discussion tends to be simplistic and relatively uninformed. The current paper draws attention to how sample sizes, at both ends of the size continuum, can be justified by researchers. This will also aid reviewers in their making of comments about the appropriateness of sample sizes in qualitative research.","author":[{"dropping-particle":"","family":"Boddy","given":"Clive Roland","non-dropping-particle":"","parse-names":false,"suffix":""}],"container-title":"Qualitative Market Research","id":"ITEM-1","issue":"4","issued":{"date-parts":[["2016"]]},"page":"426-432","title":"Sample size for qualitative research","type":"article-journal","volume":"19"},"uris":["http://www.mendeley.com/documents/?uuid=48a6fd14-926d-4104-99a2-be5b4ced1742"]}],"mendeley":{"formattedCitation":"(Boddy, 2016)","manualFormatting":"(Boddy, 2016, pp. 429)","plainTextFormattedCitation":"(Boddy, 2016)","previouslyFormattedCitation":"(Boddy,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(Boddy, 2016, pp. 429)</w:t>
      </w:r>
      <w:r w:rsidRPr="009672FC">
        <w:rPr>
          <w:rFonts w:ascii="Garamond" w:hAnsi="Garamond"/>
        </w:rPr>
        <w:fldChar w:fldCharType="end"/>
      </w:r>
      <w:r w:rsidRPr="009672FC">
        <w:rPr>
          <w:rFonts w:ascii="Garamond" w:hAnsi="Garamond"/>
        </w:rPr>
        <w:t xml:space="preserve">. Since our focus is not concerned with </w:t>
      </w:r>
      <w:r w:rsidR="00813D37" w:rsidRPr="009672FC">
        <w:rPr>
          <w:rFonts w:ascii="Garamond" w:hAnsi="Garamond"/>
        </w:rPr>
        <w:t>generalizing</w:t>
      </w:r>
      <w:r w:rsidRPr="009672FC">
        <w:rPr>
          <w:rFonts w:ascii="Garamond" w:hAnsi="Garamond"/>
        </w:rPr>
        <w:t xml:space="preserve"> to a larger population of interest, but rather more inductive, allows the data generated to </w:t>
      </w:r>
      <w:proofErr w:type="spellStart"/>
      <w:r w:rsidRPr="009672FC">
        <w:rPr>
          <w:rFonts w:ascii="Garamond" w:hAnsi="Garamond"/>
        </w:rPr>
        <w:t>analyse</w:t>
      </w:r>
      <w:proofErr w:type="spellEnd"/>
      <w:r w:rsidRPr="009672FC">
        <w:rPr>
          <w:rFonts w:ascii="Garamond" w:hAnsi="Garamond"/>
        </w:rPr>
        <w:t xml:space="preserve"> the relationships, and the “live experiences “of research participants </w:t>
      </w:r>
      <w:r w:rsidRPr="009672FC">
        <w:rPr>
          <w:rFonts w:ascii="Garamond" w:hAnsi="Garamond"/>
        </w:rPr>
        <w:fldChar w:fldCharType="begin" w:fldLock="1"/>
      </w:r>
      <w:r w:rsidRPr="009672FC">
        <w:rPr>
          <w:rFonts w:ascii="Garamond" w:hAnsi="Garamond"/>
        </w:rPr>
        <w:instrText>ADDIN CSL_CITATION {"citationItems":[{"id":"ITEM-1","itemData":{"DOI":"10.1007/s10508-012-0016-6","ISSN":"00040002","PMID":"22968493","author":[{"dropping-particle":"","family":"Dworkin","given":"Shari L.","non-dropping-particle":"","parse-names":false,"suffix":""}],"container-title":"Archives of Sexual Behavior","id":"ITEM-1","issue":"6","issued":{"date-parts":[["2012"]]},"page":"1319-1320","title":"Sample size policy for qualitative studies using in-depth interviews","type":"article-journal","volume":"41"},"uris":["http://www.mendeley.com/documents/?uuid=0fc58209-f417-47d7-8025-d2c1acc63238"]}],"mendeley":{"formattedCitation":"(Dworkin, 2012)","manualFormatting":"(Dworkin, 2012, pp. 1319)","plainTextFormattedCitation":"(Dworkin, 2012)","previouslyFormattedCitation":"(Dworkin,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(Dworkin, 2012, pp. 1319)</w:t>
      </w:r>
      <w:r w:rsidRPr="009672FC">
        <w:rPr>
          <w:rFonts w:ascii="Garamond" w:hAnsi="Garamond"/>
        </w:rPr>
        <w:fldChar w:fldCharType="end"/>
      </w:r>
      <w:r w:rsidRPr="009672FC">
        <w:rPr>
          <w:rFonts w:ascii="Garamond" w:hAnsi="Garamond"/>
        </w:rPr>
        <w:t xml:space="preserve">.  </w:t>
      </w:r>
    </w:p>
    <w:p w14:paraId="4B2ECEE4" w14:textId="122398DE" w:rsidR="003D5DE8" w:rsidRPr="009672FC" w:rsidRDefault="007549AA" w:rsidP="00890FB2">
      <w:pPr>
        <w:spacing w:before="240" w:line="360" w:lineRule="auto"/>
        <w:jc w:val="both"/>
        <w:rPr>
          <w:rFonts w:ascii="Garamond" w:hAnsi="Garamond"/>
        </w:rPr>
      </w:pPr>
      <w:r w:rsidRPr="009672FC">
        <w:rPr>
          <w:rFonts w:ascii="Garamond" w:hAnsi="Garamond"/>
        </w:rPr>
        <w:t>Therefore, our study tries to examine an alliance of Italian companies engage</w:t>
      </w:r>
      <w:r w:rsidR="00813D37" w:rsidRPr="009672FC">
        <w:rPr>
          <w:rFonts w:ascii="Garamond" w:hAnsi="Garamond"/>
        </w:rPr>
        <w:t>d</w:t>
      </w:r>
      <w:r w:rsidRPr="009672FC">
        <w:rPr>
          <w:rFonts w:ascii="Garamond" w:hAnsi="Garamond"/>
        </w:rPr>
        <w:t xml:space="preserve"> in the production and supplies of personal protective equipment as part of the COVID-19 response efforts in the Northern region. Personal protective equipment (PPEs) are specialized equipment use</w:t>
      </w:r>
      <w:r w:rsidR="00813D37" w:rsidRPr="009672FC">
        <w:rPr>
          <w:rFonts w:ascii="Garamond" w:hAnsi="Garamond"/>
        </w:rPr>
        <w:t>d</w:t>
      </w:r>
      <w:r w:rsidRPr="009672FC">
        <w:rPr>
          <w:rFonts w:ascii="Garamond" w:hAnsi="Garamond"/>
        </w:rPr>
        <w:t xml:space="preserve"> as a source of protection for emergency and recovery workers during emergencies like diseases outbreaks such as the novel coronavirus</w:t>
      </w:r>
      <w:r w:rsidRPr="009672FC">
        <w:rPr>
          <w:rFonts w:ascii="Garamond" w:hAnsi="Garamond"/>
        </w:rPr>
        <w:footnoteReference w:id="11"/>
      </w:r>
      <w:r w:rsidRPr="009672FC">
        <w:rPr>
          <w:rFonts w:ascii="Garamond" w:hAnsi="Garamond"/>
        </w:rPr>
        <w:t>. PPEs are used to protect workers in these situations against physical, chemical, and biological hazards. Because the route of exposure from these hazards includes inhalation, dermal contact, ingestion or contact through mucous membranes</w:t>
      </w:r>
      <w:r w:rsidRPr="009672FC">
        <w:rPr>
          <w:rFonts w:ascii="Garamond" w:hAnsi="Garamond"/>
        </w:rPr>
        <w:footnoteReference w:id="12"/>
      </w:r>
      <w:r w:rsidRPr="009672FC">
        <w:rPr>
          <w:rFonts w:ascii="Garamond" w:hAnsi="Garamond"/>
        </w:rPr>
        <w:t>, thus depending on the crisis, PPE comes in the form of respirators, eye protection goggles, gloves, overalls, boots, etc. Specifically, during the Coronavirus crisis, these devices are life-saving equipment not only for medical and frontline health care workers, but it also helps coronavirus patients in many ways: to avoid further spread of the virus, to enable breathing for the patients, etc. The specialized nature of the equipment made it extremely difficult and expensive for large scale production and supplies of some sort of PPE</w:t>
      </w:r>
      <w:r w:rsidRPr="009672FC">
        <w:rPr>
          <w:rFonts w:ascii="Garamond" w:hAnsi="Garamond"/>
        </w:rPr>
        <w:footnoteReference w:id="13"/>
      </w:r>
      <w:r w:rsidRPr="009672FC">
        <w:rPr>
          <w:rFonts w:ascii="Garamond" w:hAnsi="Garamond"/>
        </w:rPr>
        <w:t xml:space="preserve">. </w:t>
      </w:r>
    </w:p>
    <w:p w14:paraId="5DC3EFF2" w14:textId="7F184194" w:rsidR="003D5DE8" w:rsidRPr="009672FC" w:rsidRDefault="007549AA" w:rsidP="00890FB2">
      <w:pPr>
        <w:spacing w:before="240" w:line="360" w:lineRule="auto"/>
        <w:jc w:val="both"/>
        <w:rPr>
          <w:rFonts w:ascii="Garamond" w:hAnsi="Garamond"/>
          <w:color w:val="000000"/>
        </w:rPr>
      </w:pPr>
      <w:r w:rsidRPr="009672FC">
        <w:rPr>
          <w:rFonts w:ascii="Garamond" w:hAnsi="Garamond"/>
        </w:rPr>
        <w:t xml:space="preserve">To improve the supplies of this essential equipment, a new form of inter-organizational alliance described as cause-based social entrepreneurship is emerging rapidly across the world. For instance, this case study is an alliance of Italian companies in the northern region. Throughout this research, we use </w:t>
      </w:r>
      <w:r w:rsidR="00813D37" w:rsidRPr="009672FC">
        <w:rPr>
          <w:rFonts w:ascii="Garamond" w:hAnsi="Garamond"/>
        </w:rPr>
        <w:t xml:space="preserve">a </w:t>
      </w:r>
      <w:r w:rsidRPr="009672FC">
        <w:rPr>
          <w:rFonts w:ascii="Garamond" w:hAnsi="Garamond"/>
        </w:rPr>
        <w:t xml:space="preserve">fictitious name to describe the firms involved in this alliance. These companies include the first two, Alpha and Beta, considered as the protagonists of the alliance. The other two </w:t>
      </w:r>
      <w:r w:rsidRPr="009672FC">
        <w:rPr>
          <w:rFonts w:ascii="Garamond" w:hAnsi="Garamond"/>
        </w:rPr>
        <w:lastRenderedPageBreak/>
        <w:t xml:space="preserve">secondary firms include Gamma and Omega. Beta is situated in the heart of </w:t>
      </w:r>
      <w:proofErr w:type="spellStart"/>
      <w:r w:rsidRPr="009672FC">
        <w:rPr>
          <w:rFonts w:ascii="Garamond" w:hAnsi="Garamond"/>
        </w:rPr>
        <w:t>Bassone</w:t>
      </w:r>
      <w:proofErr w:type="spellEnd"/>
      <w:r w:rsidRPr="009672FC">
        <w:rPr>
          <w:rFonts w:ascii="Garamond" w:hAnsi="Garamond"/>
        </w:rPr>
        <w:t xml:space="preserve"> while Alpha </w:t>
      </w:r>
      <w:r w:rsidR="00813D37" w:rsidRPr="009672FC">
        <w:rPr>
          <w:rFonts w:ascii="Garamond" w:hAnsi="Garamond"/>
        </w:rPr>
        <w:t xml:space="preserve">is </w:t>
      </w:r>
      <w:r w:rsidRPr="009672FC">
        <w:rPr>
          <w:rFonts w:ascii="Garamond" w:hAnsi="Garamond"/>
        </w:rPr>
        <w:t xml:space="preserve">in Belfiore city. </w:t>
      </w:r>
      <w:r w:rsidR="00813D37" w:rsidRPr="009672FC">
        <w:rPr>
          <w:rFonts w:ascii="Garamond" w:hAnsi="Garamond"/>
        </w:rPr>
        <w:t>Before</w:t>
      </w:r>
      <w:r w:rsidRPr="009672FC">
        <w:rPr>
          <w:rFonts w:ascii="Garamond" w:hAnsi="Garamond"/>
        </w:rPr>
        <w:t xml:space="preserve"> the COVID-19 pandemic, these two firms did not know each other. However, the aggregating role of the Confindustria Verona, made it possible for the two firms to come in contact, especially at a time when the need for face masks is intensifying as they became mandatory to use but difficult to find at pharmacies and other commercial outlets. </w:t>
      </w:r>
      <w:r w:rsidRPr="009672FC">
        <w:rPr>
          <w:rFonts w:ascii="Garamond" w:hAnsi="Garamond"/>
          <w:color w:val="000000"/>
        </w:rPr>
        <w:t xml:space="preserve">Alpha is the founding organizer of this collaborative case under study. The company has over thirty years of experience in the transformation and customization of all types of non-woven fabric, plastics, paper, felts, and wadding. The company employees about 498 staff members in its various Offices in America and Europe. According to the alliance document, </w:t>
      </w:r>
      <w:r w:rsidRPr="009672FC">
        <w:rPr>
          <w:rFonts w:ascii="Garamond" w:hAnsi="Garamond"/>
        </w:rPr>
        <w:t>Alpha’s role in the alliance was not to produce face masks but to certify products, and commerciali</w:t>
      </w:r>
      <w:r w:rsidR="00813D37" w:rsidRPr="009672FC">
        <w:rPr>
          <w:rFonts w:ascii="Garamond" w:hAnsi="Garamond"/>
        </w:rPr>
        <w:t>ze</w:t>
      </w:r>
      <w:r w:rsidRPr="009672FC">
        <w:rPr>
          <w:rFonts w:ascii="Garamond" w:hAnsi="Garamond"/>
        </w:rPr>
        <w:t xml:space="preserve"> the alliance products. This make</w:t>
      </w:r>
      <w:r w:rsidR="00813D37" w:rsidRPr="009672FC">
        <w:rPr>
          <w:rFonts w:ascii="Garamond" w:hAnsi="Garamond"/>
        </w:rPr>
        <w:t>s</w:t>
      </w:r>
      <w:r w:rsidRPr="009672FC">
        <w:rPr>
          <w:rFonts w:ascii="Garamond" w:hAnsi="Garamond"/>
        </w:rPr>
        <w:t xml:space="preserve"> the company responsible for the alliance, its placing on the market and the declaration of conformity</w:t>
      </w:r>
      <w:r w:rsidRPr="009672FC">
        <w:rPr>
          <w:rFonts w:ascii="Garamond" w:hAnsi="Garamond"/>
          <w:vertAlign w:val="superscript"/>
        </w:rPr>
        <w:footnoteReference w:id="14"/>
      </w:r>
      <w:r w:rsidRPr="009672FC">
        <w:rPr>
          <w:rFonts w:ascii="Garamond" w:hAnsi="Garamond"/>
          <w:color w:val="000000"/>
        </w:rPr>
        <w:t xml:space="preserve">. </w:t>
      </w:r>
      <w:r w:rsidRPr="009672FC">
        <w:rPr>
          <w:rFonts w:ascii="Garamond" w:hAnsi="Garamond"/>
        </w:rPr>
        <w:t xml:space="preserve">Beta, on the other hand, </w:t>
      </w:r>
      <w:r w:rsidRPr="009672FC">
        <w:rPr>
          <w:rFonts w:ascii="Garamond" w:hAnsi="Garamond"/>
          <w:color w:val="000000"/>
        </w:rPr>
        <w:t>engages in the production of an insulated temperature, a sustainable way to protect temperature-sensitive freight during transit. The company is interested in this project because of its Worldwide Manufacturing, as an industry leader of cold chain protection, offering a range of passive insulating products designed to reduce clients’ reliance on refrigerated units, enabling both cost-savings and environmental benefits without compromising the integrity of temperature-sensitive products</w:t>
      </w:r>
      <w:r w:rsidRPr="009672FC">
        <w:rPr>
          <w:rFonts w:ascii="Garamond" w:hAnsi="Garamond"/>
          <w:vertAlign w:val="superscript"/>
        </w:rPr>
        <w:footnoteReference w:id="15"/>
      </w:r>
      <w:r w:rsidRPr="009672FC">
        <w:rPr>
          <w:rFonts w:ascii="Garamond" w:hAnsi="Garamond"/>
          <w:color w:val="000000"/>
        </w:rPr>
        <w:t xml:space="preserve">. The company maintained a total of 348 staff members. The alliance document shows that </w:t>
      </w:r>
      <w:r w:rsidRPr="009672FC">
        <w:rPr>
          <w:rFonts w:ascii="Garamond" w:hAnsi="Garamond"/>
        </w:rPr>
        <w:t xml:space="preserve">Beta </w:t>
      </w:r>
      <w:r w:rsidRPr="009672FC">
        <w:rPr>
          <w:rFonts w:ascii="Garamond" w:hAnsi="Garamond"/>
          <w:color w:val="000000"/>
        </w:rPr>
        <w:t>has purchased a machine for the automatic production of the masks using specialized fabrics, thus contributing to the production of surgical masks</w:t>
      </w:r>
      <w:r w:rsidRPr="009672FC">
        <w:rPr>
          <w:rFonts w:ascii="Garamond" w:hAnsi="Garamond"/>
          <w:vertAlign w:val="superscript"/>
        </w:rPr>
        <w:footnoteReference w:id="16"/>
      </w:r>
      <w:r w:rsidRPr="009672FC">
        <w:rPr>
          <w:rFonts w:ascii="Garamond" w:hAnsi="Garamond"/>
          <w:color w:val="000000"/>
        </w:rPr>
        <w:t xml:space="preserve">. </w:t>
      </w:r>
      <w:r w:rsidRPr="009672FC">
        <w:rPr>
          <w:rFonts w:ascii="Garamond" w:hAnsi="Garamond"/>
        </w:rPr>
        <w:t xml:space="preserve">Omega has established a professional collaboration with Alpha and, subsequently with the joint alliance, for the marking of medical devices. The company is operating in the Trentino area, in </w:t>
      </w:r>
      <w:proofErr w:type="spellStart"/>
      <w:r w:rsidRPr="009672FC">
        <w:rPr>
          <w:rFonts w:ascii="Garamond" w:hAnsi="Garamond"/>
        </w:rPr>
        <w:t>Rovereto</w:t>
      </w:r>
      <w:proofErr w:type="spellEnd"/>
      <w:r w:rsidRPr="009672FC">
        <w:rPr>
          <w:rFonts w:ascii="Garamond" w:hAnsi="Garamond"/>
        </w:rPr>
        <w:t xml:space="preserve">. In fact, Omega had previously collaborated with Alpha for </w:t>
      </w:r>
      <w:r w:rsidR="00813D37" w:rsidRPr="009672FC">
        <w:rPr>
          <w:rFonts w:ascii="Garamond" w:hAnsi="Garamond"/>
        </w:rPr>
        <w:t xml:space="preserve">the </w:t>
      </w:r>
      <w:r w:rsidRPr="009672FC">
        <w:rPr>
          <w:rFonts w:ascii="Garamond" w:hAnsi="Garamond"/>
        </w:rPr>
        <w:t>marking of medical devices with the National Institute of Health the outcome of which was considered satisfactory, and thus contributed to forming this relationship. Gamma</w:t>
      </w:r>
      <w:r w:rsidRPr="009672FC">
        <w:rPr>
          <w:rFonts w:ascii="Garamond" w:hAnsi="Garamond"/>
          <w:i/>
          <w:iCs/>
        </w:rPr>
        <w:t xml:space="preserve"> </w:t>
      </w:r>
      <w:r w:rsidRPr="009672FC">
        <w:rPr>
          <w:rFonts w:ascii="Garamond" w:hAnsi="Garamond"/>
        </w:rPr>
        <w:t>is one of the two secondary firms involved with this project. Moreover, the alliance document noted that Gamma creates the three types of fabrics coupled with ultrasound to produce a single multi-layered fabric. This type of fabric has the characteristics to produce surgical masks, a core mandate of the new caused-based SE alliance.</w:t>
      </w:r>
      <w:r w:rsidRPr="009672FC">
        <w:rPr>
          <w:rFonts w:ascii="Garamond" w:hAnsi="Garamond"/>
          <w:i/>
          <w:iCs/>
        </w:rPr>
        <w:t xml:space="preserve"> </w:t>
      </w:r>
      <w:r w:rsidRPr="009672FC">
        <w:rPr>
          <w:rFonts w:ascii="Garamond" w:hAnsi="Garamond"/>
        </w:rPr>
        <w:t xml:space="preserve">Gamma has been operating for over thirty years providing its services to various </w:t>
      </w:r>
      <w:r w:rsidRPr="009672FC">
        <w:rPr>
          <w:rFonts w:ascii="Garamond" w:hAnsi="Garamond"/>
        </w:rPr>
        <w:lastRenderedPageBreak/>
        <w:t>sectors – personal care, hygiene, medical industry, furniture and design, farming, building and even the motor vehicle sector</w:t>
      </w:r>
      <w:r w:rsidRPr="009672FC">
        <w:rPr>
          <w:rFonts w:ascii="Garamond" w:hAnsi="Garamond"/>
          <w:vertAlign w:val="superscript"/>
        </w:rPr>
        <w:footnoteReference w:id="17"/>
      </w:r>
      <w:r w:rsidRPr="009672FC">
        <w:rPr>
          <w:rFonts w:ascii="Garamond" w:hAnsi="Garamond"/>
        </w:rPr>
        <w:t xml:space="preserve">. The company is considered as one of the main suppliers and customers of Alpha. Respondents from these firms also actively participated in the interviews and answered the same questions, in this way it was possible to have a general picture of </w:t>
      </w:r>
      <w:r w:rsidR="00813D37" w:rsidRPr="009672FC">
        <w:rPr>
          <w:rFonts w:ascii="Garamond" w:hAnsi="Garamond"/>
        </w:rPr>
        <w:t xml:space="preserve">the </w:t>
      </w:r>
      <w:r w:rsidRPr="009672FC">
        <w:rPr>
          <w:rFonts w:ascii="Garamond" w:hAnsi="Garamond"/>
        </w:rPr>
        <w:t xml:space="preserve">nature </w:t>
      </w:r>
      <w:r w:rsidR="00813D37" w:rsidRPr="009672FC">
        <w:rPr>
          <w:rFonts w:ascii="Garamond" w:hAnsi="Garamond"/>
        </w:rPr>
        <w:t xml:space="preserve">of </w:t>
      </w:r>
      <w:r w:rsidRPr="009672FC">
        <w:rPr>
          <w:rFonts w:ascii="Garamond" w:hAnsi="Garamond"/>
        </w:rPr>
        <w:t xml:space="preserve">the cause-related alliance, recognizing the divergent points of views, motivation, and challenges, which are relevant to this research.  </w:t>
      </w:r>
    </w:p>
    <w:p w14:paraId="40D8FF11" w14:textId="77777777" w:rsidR="003D5DE8" w:rsidRPr="009672FC" w:rsidRDefault="007549AA" w:rsidP="00890FB2">
      <w:pPr>
        <w:spacing w:before="240" w:line="360" w:lineRule="auto"/>
        <w:jc w:val="both"/>
        <w:rPr>
          <w:rFonts w:ascii="Garamond" w:hAnsi="Garamond"/>
        </w:rPr>
      </w:pPr>
      <w:r w:rsidRPr="009672FC">
        <w:rPr>
          <w:rFonts w:ascii="Garamond" w:hAnsi="Garamond"/>
        </w:rPr>
        <w:t>This new SE alliance of specialized manufacturers is a unique collaborative innovation network with high technology intensity and learning. Thus, research into this alliance offered an unusual research opportunity into an inter-firm cause-related alliance, quite different from the traditional inter-firm projects.</w:t>
      </w:r>
    </w:p>
    <w:p w14:paraId="5FBDF515" w14:textId="68219878" w:rsidR="003D5DE8" w:rsidRPr="009672FC" w:rsidRDefault="007549AA">
      <w:pPr>
        <w:pStyle w:val="Title"/>
        <w:numPr>
          <w:ilvl w:val="2"/>
          <w:numId w:val="12"/>
        </w:numPr>
        <w:spacing w:before="240" w:line="360" w:lineRule="auto"/>
        <w:jc w:val="both"/>
        <w:outlineLvl w:val="2"/>
        <w:rPr>
          <w:rFonts w:ascii="Garamond" w:hAnsi="Garamond" w:cs="Times New Roman"/>
          <w:b/>
          <w:bCs/>
          <w:sz w:val="24"/>
          <w:szCs w:val="24"/>
        </w:rPr>
      </w:pPr>
      <w:bookmarkStart w:id="234" w:name="_Toc85708776"/>
      <w:bookmarkStart w:id="235" w:name="_Toc85709790"/>
      <w:r w:rsidRPr="009672FC">
        <w:rPr>
          <w:rFonts w:ascii="Garamond" w:hAnsi="Garamond" w:cs="Times New Roman"/>
          <w:b/>
          <w:bCs/>
          <w:i/>
          <w:iCs/>
          <w:sz w:val="24"/>
          <w:szCs w:val="24"/>
        </w:rPr>
        <w:t>Data Collection</w:t>
      </w:r>
      <w:bookmarkEnd w:id="234"/>
      <w:bookmarkEnd w:id="235"/>
    </w:p>
    <w:p w14:paraId="36DBC4BB" w14:textId="77777777" w:rsidR="00813D37" w:rsidRPr="009672FC" w:rsidRDefault="007549AA">
      <w:pPr>
        <w:spacing w:line="360" w:lineRule="auto"/>
        <w:jc w:val="both"/>
        <w:rPr>
          <w:rFonts w:ascii="Garamond" w:hAnsi="Garamond"/>
        </w:rPr>
      </w:pPr>
      <w:r w:rsidRPr="009672FC">
        <w:rPr>
          <w:rFonts w:ascii="Garamond" w:hAnsi="Garamond"/>
        </w:rPr>
        <w:t xml:space="preserve">The longitudinal development of the case first starts with two rounds of personal interviews capturing data surrounding the nature of the cause-based SE alliance. Using </w:t>
      </w:r>
      <w:r w:rsidR="00813D37" w:rsidRPr="009672FC">
        <w:rPr>
          <w:rFonts w:ascii="Garamond" w:hAnsi="Garamond"/>
        </w:rPr>
        <w:t xml:space="preserve">the </w:t>
      </w:r>
      <w:r w:rsidRPr="009672FC">
        <w:rPr>
          <w:rFonts w:ascii="Garamond" w:hAnsi="Garamond"/>
        </w:rPr>
        <w:t>purposeful sampling technique</w:t>
      </w:r>
      <w:r w:rsidRPr="009672FC">
        <w:rPr>
          <w:rFonts w:ascii="Garamond" w:hAnsi="Garamond"/>
          <w:i/>
          <w:iCs/>
        </w:rPr>
        <w:t xml:space="preserve"> </w:t>
      </w:r>
      <w:r w:rsidRPr="009672FC">
        <w:rPr>
          <w:rFonts w:ascii="Garamond" w:hAnsi="Garamond"/>
        </w:rPr>
        <w:fldChar w:fldCharType="begin" w:fldLock="1"/>
      </w:r>
      <w:r w:rsidRPr="009672FC">
        <w:rPr>
          <w:rFonts w:ascii="Garamond" w:hAnsi="Garamond"/>
          <w:i/>
          <w:iCs/>
        </w:rPr>
        <w:instrText>ADDIN CSL_CITATION {"citationItems":[{"id":"ITEM-1","itemData":{"ISBN":"9781849203005","author":[{"dropping-particle":"","family":"Kumar","given":"Ranjit","non-dropping-particle":"","parse-names":false,"suffix":""}],"edition":"3rd Editio","id":"ITEM-1","issued":{"date-parts":[["2011"]]},"publisher":"SAGE Publications Ltd","publisher-place":"1 Oliver’s Yard,55 City Road London EC1Y 1SP","title":"Research Methodology: A step-by-step guide for beginners","type":"book"},"uris":["http://www.mendeley.com/documents/?uuid=013572a8-577e-4937-8c37-e1ff35c2aa47"]}],"mendeley":{"formattedCitation":"(R. Kumar, 2011)","manualFormatting":"(Kumar, 2011, p. 189; Eisenhardt, 1989; Yin, 2013)","plainTextFormattedCitation":"(R. Kumar, 2011)","previouslyFormattedCitation":"(R. Kumar, 2011)"},"properties":{"noteIndex":0},"schema":"https://github.com/citation-style-language/schema/raw/master/csl-citation.json"}</w:instrText>
      </w:r>
      <w:r w:rsidRPr="009672FC">
        <w:rPr>
          <w:rFonts w:ascii="Garamond" w:hAnsi="Garamond"/>
          <w:i/>
          <w:iCs/>
        </w:rPr>
        <w:fldChar w:fldCharType="separate"/>
      </w:r>
      <w:r w:rsidRPr="009672FC">
        <w:rPr>
          <w:rFonts w:ascii="Garamond" w:hAnsi="Garamond"/>
          <w:iCs/>
          <w:noProof/>
        </w:rPr>
        <w:t xml:space="preserve">(Kumar, 2011, p. 189; </w:t>
      </w:r>
      <w:r w:rsidRPr="009672FC">
        <w:rPr>
          <w:rFonts w:ascii="Garamond" w:hAnsi="Garamond"/>
          <w:noProof/>
        </w:rPr>
        <w:fldChar w:fldCharType="begin" w:fldLock="1"/>
      </w:r>
      <w:r w:rsidRPr="009672FC">
        <w:rPr>
          <w:rFonts w:ascii="Garamond" w:hAnsi="Garamond"/>
          <w:iCs/>
          <w:noProof/>
        </w:rPr>
        <w:instrText>ADDIN CSL_CITATION {"citationItems":[{"id":"ITEM-1","itemData":{"abstract":"This paper describes the process of inducting theory using case stud- 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 Development","author":[{"dropping-particle":"","family":"Eisenhardt","given":"Kathleen M","non-dropping-particle":"","parse-names":false,"suffix":""}],"container-title":"The Academy of Management Review","id":"ITEM-1","issue":"4","issued":{"date-parts":[["1989"]]},"page":"532-550","title":"Building Theories from Case Study Research","type":"article-journal","volume":"14"},"uris":["http://www.mendeley.com/documents/?uuid=82b606ee-da03-4aa2-b97e-fdc7aa6435de"]}],"mendeley":{"formattedCitation":"(Eisenhardt, 1989b)","manualFormatting":"Eisenhardt, 1989;","plainTextFormattedCitation":"(Eisenhardt, 1989b)","previouslyFormattedCitation":"(Eisenhardt, 1989b)"},"properties":{"noteIndex":0},"schema":"https://github.com/citation-style-language/schema/raw/master/csl-citation.json"}</w:instrText>
      </w:r>
      <w:r w:rsidRPr="009672FC">
        <w:rPr>
          <w:rFonts w:ascii="Garamond" w:hAnsi="Garamond"/>
          <w:iCs/>
          <w:noProof/>
        </w:rPr>
        <w:fldChar w:fldCharType="separate"/>
      </w:r>
      <w:r w:rsidRPr="009672FC">
        <w:rPr>
          <w:rFonts w:ascii="Garamond" w:hAnsi="Garamond"/>
          <w:noProof/>
        </w:rPr>
        <w:t>Eisenhardt, 1989;</w:t>
      </w:r>
      <w:r w:rsidRPr="009672FC">
        <w:rPr>
          <w:rFonts w:ascii="Garamond" w:hAnsi="Garamond"/>
          <w:iCs/>
          <w:noProof/>
        </w:rPr>
        <w:fldChar w:fldCharType="end"/>
      </w:r>
      <w:r w:rsidRPr="009672FC">
        <w:rPr>
          <w:rFonts w:ascii="Garamond" w:hAnsi="Garamond"/>
          <w:noProof/>
        </w:rPr>
        <w:t xml:space="preserve"> </w:t>
      </w:r>
      <w:r w:rsidRPr="009672FC">
        <w:rPr>
          <w:rFonts w:ascii="Garamond" w:hAnsi="Garamond"/>
          <w:noProof/>
        </w:rPr>
        <w:fldChar w:fldCharType="begin" w:fldLock="1"/>
      </w:r>
      <w:r w:rsidRPr="009672FC">
        <w:rPr>
          <w:rFonts w:ascii="Garamond" w:hAnsi="Garamond"/>
          <w:noProof/>
        </w:rPr>
        <w:instrText>ADDIN CSL_CITATION {"citationItems":[{"id":"ITEM-1","itemData":{"DOI":"10.1177/1356389013497081","ISSN":"13563890","abstract":"Validity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 The Author(s) 2013.","author":[{"dropping-particle":"","family":"Yin","given":"Robert K.","non-dropping-particle":"","parse-names":false,"suffix":""}],"container-title":"Evaluation","id":"ITEM-1","issue":"3","issued":{"date-parts":[["2013"]]},"page":"321-332","title":"Validity and generalization in future case study evaluations","type":"article-journal","volume":"19"},"uris":["http://www.mendeley.com/documents/?uuid=496afc1b-f287-4525-90f5-14cae29de876"]}],"mendeley":{"formattedCitation":"(Yin, 2013)","manualFormatting":"Yin, 2013)","plainTextFormattedCitation":"(Yin, 2013)","previouslyFormattedCitation":"(Yin, 2013)"},"properties":{"noteIndex":0},"schema":"https://github.com/citation-style-language/schema/raw/master/csl-citation.json"}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Yin, 2013)</w:t>
      </w:r>
      <w:r w:rsidRPr="009672FC">
        <w:rPr>
          <w:rFonts w:ascii="Garamond" w:hAnsi="Garamond"/>
          <w:noProof/>
        </w:rPr>
        <w:fldChar w:fldCharType="end"/>
      </w:r>
      <w:r w:rsidRPr="009672FC">
        <w:rPr>
          <w:rFonts w:ascii="Garamond" w:hAnsi="Garamond"/>
          <w:i/>
          <w:iCs/>
        </w:rPr>
        <w:fldChar w:fldCharType="end"/>
      </w:r>
      <w:r w:rsidRPr="009672FC">
        <w:rPr>
          <w:rFonts w:ascii="Garamond" w:hAnsi="Garamond"/>
          <w:i/>
          <w:iCs/>
        </w:rPr>
        <w:t xml:space="preserve">, </w:t>
      </w:r>
      <w:r w:rsidRPr="009672FC">
        <w:rPr>
          <w:rFonts w:ascii="Garamond" w:hAnsi="Garamond"/>
        </w:rPr>
        <w:t xml:space="preserve">a semi-structured interview was the primary data collection method </w:t>
      </w:r>
      <w:r w:rsidRPr="009672FC">
        <w:rPr>
          <w:rFonts w:ascii="Garamond" w:hAnsi="Garamond"/>
        </w:rPr>
        <w:fldChar w:fldCharType="begin" w:fldLock="1"/>
      </w:r>
      <w:r w:rsidRPr="009672FC">
        <w:rPr>
          <w:rFonts w:ascii="Garamond" w:hAnsi="Garamond"/>
        </w:rPr>
        <w:instrText>ADDIN CSL_CITATION {"citationItems":[{"id":"ITEM-1","itemData":{"ISBN":"9781506336169","abstract":"Recognized as one of the most cited methodology books in the social sciences, the Sixth Edition of Robert K. Yin's bestselling text provides a complete portal to the world of case study research. With the integration of 11 applications in this edition, the book gives readers access to exemplary case studies drawn from a wide variety of academic and applied fields. Ultimately, Case Study Research and Applications will guide students in the successful design and use of the case study research method. New to this Edition Includes 11 in-depth applications that show how researchers have implemented case study methods successfully. Increases reference to relativist and constructivist approaches to case study research, as well as how case studies can be part of mixed methods projects. Places greater emphasis on using plausible rival explanations to bolster case study quality. Discusses synthesizing findings across case studies in a multiple-case study in more detail Adds an expanded list of 15 fields that have text or texts devoted to case study research. Sharpens discussion of distinguishing research from non-research case studies. The author brings to light at least three remaining gaps to be filled in the future: how rival explanations can become more routinely integrated into all case study research; the difference between case-based and variable-based approaches to designing and analyzing case studies; and the relationship between case study research and qualitative research.","author":[{"dropping-particle":"","family":"Yin","given":"Robert K.","non-dropping-particle":"","parse-names":false,"suffix":""}],"container-title":"SAGE Publications. (6TH Eds.)","id":"ITEM-1","issued":{"date-parts":[["2018"]]},"number-of-pages":"414","title":"Case Study Research and Applications. Design and Methods","type":"book"},"uris":["http://www.mendeley.com/documents/?uuid=b03283cc-ac1e-43b8-bae7-f6eda152b662"]}],"mendeley":{"formattedCitation":"(Yin, 2018)","plainTextFormattedCitation":"(Yin, 2018)","previouslyFormattedCitation":"(Yin,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(Yin, 2018)</w:t>
      </w:r>
      <w:r w:rsidRPr="009672FC">
        <w:rPr>
          <w:rFonts w:ascii="Garamond" w:hAnsi="Garamond"/>
        </w:rPr>
        <w:fldChar w:fldCharType="end"/>
      </w:r>
      <w:r w:rsidRPr="009672FC">
        <w:rPr>
          <w:rFonts w:ascii="Garamond" w:hAnsi="Garamond"/>
        </w:rPr>
        <w:t xml:space="preserve">. The interviews were conducted by </w:t>
      </w:r>
      <w:r w:rsidR="00813D37" w:rsidRPr="009672FC">
        <w:rPr>
          <w:rFonts w:ascii="Garamond" w:hAnsi="Garamond"/>
        </w:rPr>
        <w:t xml:space="preserve">the </w:t>
      </w:r>
      <w:r w:rsidRPr="009672FC">
        <w:rPr>
          <w:rFonts w:ascii="Garamond" w:hAnsi="Garamond"/>
        </w:rPr>
        <w:t>first and second authors. While the second author administered the interviews, the first author took notes and transcriptions of the interview sessions. We conduct the first round of interviews from the 2</w:t>
      </w:r>
      <w:r w:rsidRPr="009672FC">
        <w:rPr>
          <w:rFonts w:ascii="Garamond" w:hAnsi="Garamond"/>
          <w:vertAlign w:val="superscript"/>
        </w:rPr>
        <w:t>nd</w:t>
      </w:r>
      <w:r w:rsidRPr="009672FC">
        <w:rPr>
          <w:rFonts w:ascii="Garamond" w:hAnsi="Garamond"/>
        </w:rPr>
        <w:t xml:space="preserve"> of June 2020 drawing empirical data from the top managers (including the entrepreneurs, CEO, export manager, and a project consultant) as primary informants of this study. This approach offers our research</w:t>
      </w:r>
      <w:r w:rsidR="00813D37" w:rsidRPr="009672FC">
        <w:rPr>
          <w:rFonts w:ascii="Garamond" w:hAnsi="Garamond"/>
        </w:rPr>
        <w:t>-</w:t>
      </w:r>
      <w:r w:rsidRPr="009672FC">
        <w:rPr>
          <w:rFonts w:ascii="Garamond" w:hAnsi="Garamond"/>
        </w:rPr>
        <w:t xml:space="preserve">rich data as these informants are considered to have acquired relevant knowledge about the alliance. These interview sessions provoked discussions on the alliance process, partners’ motivation and challenges encountered. An interview guide was first sent to all respondents </w:t>
      </w:r>
      <w:r w:rsidR="00813D37" w:rsidRPr="009672FC">
        <w:rPr>
          <w:rFonts w:ascii="Garamond" w:hAnsi="Garamond"/>
        </w:rPr>
        <w:t>before</w:t>
      </w:r>
      <w:r w:rsidRPr="009672FC">
        <w:rPr>
          <w:rFonts w:ascii="Garamond" w:hAnsi="Garamond"/>
        </w:rPr>
        <w:t xml:space="preserve"> each interview session. This allowed respondents to get familiar with the interview questions beforehand, giving them the chance to respond to the questions adequately with fewer surprises and anxiety </w:t>
      </w:r>
      <w:r w:rsidRPr="009672FC">
        <w:rPr>
          <w:rFonts w:ascii="Garamond" w:hAnsi="Garamond"/>
        </w:rPr>
        <w:fldChar w:fldCharType="begin" w:fldLock="1"/>
      </w:r>
      <w:r w:rsidRPr="009672FC">
        <w:rPr>
          <w:rFonts w:ascii="Garamond" w:hAnsi="Garamond"/>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et al., 2019)","plainTextFormattedCitation":"(Rashid et al., 2019)","previouslyFormattedCitation":"(Rashid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(Rashid et al., 2019)</w:t>
      </w:r>
      <w:r w:rsidRPr="009672FC">
        <w:rPr>
          <w:rFonts w:ascii="Garamond" w:hAnsi="Garamond"/>
        </w:rPr>
        <w:fldChar w:fldCharType="end"/>
      </w:r>
      <w:r w:rsidRPr="009672FC">
        <w:rPr>
          <w:rFonts w:ascii="Garamond" w:hAnsi="Garamond"/>
        </w:rPr>
        <w:t xml:space="preserve">. </w:t>
      </w:r>
    </w:p>
    <w:p w14:paraId="5246F6DB" w14:textId="5952DBA8" w:rsidR="00813D37" w:rsidRPr="009672FC" w:rsidRDefault="00813D37" w:rsidP="00813D37">
      <w:pPr>
        <w:spacing w:before="240" w:line="360" w:lineRule="auto"/>
        <w:jc w:val="both"/>
        <w:rPr>
          <w:rFonts w:ascii="Garamond" w:hAnsi="Garamond"/>
        </w:rPr>
      </w:pPr>
      <w:r w:rsidRPr="009672FC">
        <w:rPr>
          <w:rFonts w:ascii="Garamond" w:hAnsi="Garamond"/>
        </w:rPr>
        <w:t xml:space="preserve">In observance of the social distancing measures and the general quarantine restrictions imposed by the COVID-19 emergency across Italy, the first rounds of interviews were conducted through </w:t>
      </w:r>
      <w:r w:rsidRPr="009672FC">
        <w:rPr>
          <w:rFonts w:ascii="Garamond" w:hAnsi="Garamond"/>
        </w:rPr>
        <w:lastRenderedPageBreak/>
        <w:t>telephone and digital communication tools including Zoom and Skype. Moreover, the second round of interviews (9 months later) was conducted on the 17</w:t>
      </w:r>
      <w:r w:rsidRPr="009672FC">
        <w:rPr>
          <w:rFonts w:ascii="Garamond" w:hAnsi="Garamond"/>
          <w:vertAlign w:val="superscript"/>
        </w:rPr>
        <w:t>th</w:t>
      </w:r>
      <w:r w:rsidRPr="009672FC">
        <w:rPr>
          <w:rFonts w:ascii="Garamond" w:hAnsi="Garamond"/>
        </w:rPr>
        <w:t xml:space="preserve"> of September 2020, as a follow-up to the alliance process, evaluating the progress of the cause-based alliance, and the ensuing challenges encountered. The consent of respondents was sought for audio recording and transcription of interview sessions. Each interview lasts for an average of one hour, thirty minutes.</w:t>
      </w:r>
    </w:p>
    <w:p w14:paraId="6E3FEAC5" w14:textId="4BCE7430" w:rsidR="00EB5D6B" w:rsidRPr="00CE753B" w:rsidRDefault="00EB5D6B" w:rsidP="00CE753B">
      <w:pPr>
        <w:pStyle w:val="Caption"/>
        <w:spacing w:after="0"/>
        <w:jc w:val="center"/>
        <w:rPr>
          <w:rFonts w:ascii="Garamond" w:hAnsi="Garamond"/>
          <w:sz w:val="22"/>
          <w:szCs w:val="22"/>
        </w:rPr>
      </w:pPr>
      <w:bookmarkStart w:id="236" w:name="_Toc85711320"/>
      <w:r w:rsidRPr="00CE753B">
        <w:rPr>
          <w:rFonts w:ascii="Garamond" w:hAnsi="Garamond"/>
          <w:sz w:val="22"/>
          <w:szCs w:val="22"/>
        </w:rPr>
        <w:t xml:space="preserve">Table </w:t>
      </w:r>
      <w:r w:rsidR="00C10BC3" w:rsidRPr="00CE753B">
        <w:rPr>
          <w:rFonts w:ascii="Garamond" w:hAnsi="Garamond"/>
          <w:sz w:val="22"/>
          <w:szCs w:val="22"/>
        </w:rPr>
        <w:fldChar w:fldCharType="begin"/>
      </w:r>
      <w:r w:rsidR="00C10BC3" w:rsidRPr="00CE753B">
        <w:rPr>
          <w:rFonts w:ascii="Garamond" w:hAnsi="Garamond"/>
          <w:sz w:val="22"/>
          <w:szCs w:val="22"/>
        </w:rPr>
        <w:instrText xml:space="preserve"> SEQ Table \* ARABIC </w:instrText>
      </w:r>
      <w:r w:rsidR="00C10BC3" w:rsidRPr="00CE753B">
        <w:rPr>
          <w:rFonts w:ascii="Garamond" w:hAnsi="Garamond"/>
          <w:sz w:val="22"/>
          <w:szCs w:val="22"/>
        </w:rPr>
        <w:fldChar w:fldCharType="separate"/>
      </w:r>
      <w:r w:rsidR="001C1648">
        <w:rPr>
          <w:rFonts w:ascii="Garamond" w:hAnsi="Garamond"/>
          <w:noProof/>
          <w:sz w:val="22"/>
          <w:szCs w:val="22"/>
        </w:rPr>
        <w:t>13</w:t>
      </w:r>
      <w:r w:rsidR="00C10BC3" w:rsidRPr="00CE753B">
        <w:rPr>
          <w:rFonts w:ascii="Garamond" w:hAnsi="Garamond"/>
          <w:noProof/>
          <w:sz w:val="22"/>
          <w:szCs w:val="22"/>
        </w:rPr>
        <w:fldChar w:fldCharType="end"/>
      </w:r>
      <w:r w:rsidRPr="00CE753B">
        <w:rPr>
          <w:rFonts w:ascii="Garamond" w:hAnsi="Garamond"/>
          <w:sz w:val="22"/>
          <w:szCs w:val="22"/>
        </w:rPr>
        <w:t>. Data collection</w:t>
      </w:r>
      <w:bookmarkEnd w:id="236"/>
    </w:p>
    <w:tbl>
      <w:tblPr>
        <w:tblStyle w:val="TableGrid"/>
        <w:tblW w:w="7938" w:type="dxa"/>
        <w:jc w:val="center"/>
        <w:tblLayout w:type="fixed"/>
        <w:tblLook w:val="04A0" w:firstRow="1" w:lastRow="0" w:firstColumn="1" w:lastColumn="0" w:noHBand="0" w:noVBand="1"/>
      </w:tblPr>
      <w:tblGrid>
        <w:gridCol w:w="2976"/>
        <w:gridCol w:w="1286"/>
        <w:gridCol w:w="3676"/>
      </w:tblGrid>
      <w:tr w:rsidR="003D5DE8" w:rsidRPr="009672FC" w14:paraId="6839808C" w14:textId="77777777">
        <w:trPr>
          <w:jc w:val="center"/>
        </w:trPr>
        <w:tc>
          <w:tcPr>
            <w:tcW w:w="2976" w:type="dxa"/>
            <w:tcBorders>
              <w:left w:val="nil"/>
              <w:right w:val="nil"/>
            </w:tcBorders>
          </w:tcPr>
          <w:p w14:paraId="5CEF32BE" w14:textId="77777777" w:rsidR="003D5DE8" w:rsidRPr="009672FC" w:rsidRDefault="007549AA" w:rsidP="00890FB2">
            <w:pPr>
              <w:spacing w:line="276" w:lineRule="auto"/>
              <w:jc w:val="both"/>
              <w:rPr>
                <w:rFonts w:ascii="Garamond" w:hAnsi="Garamond"/>
                <w:lang w:val="en-GB"/>
              </w:rPr>
            </w:pPr>
            <w:r w:rsidRPr="009672FC">
              <w:rPr>
                <w:rFonts w:ascii="Garamond" w:hAnsi="Garamond"/>
                <w:b/>
                <w:bCs/>
              </w:rPr>
              <w:t>Collected Data</w:t>
            </w:r>
          </w:p>
        </w:tc>
        <w:tc>
          <w:tcPr>
            <w:tcW w:w="1286" w:type="dxa"/>
            <w:tcBorders>
              <w:left w:val="nil"/>
              <w:right w:val="nil"/>
            </w:tcBorders>
          </w:tcPr>
          <w:p w14:paraId="5F7A7ECF" w14:textId="77777777" w:rsidR="003D5DE8" w:rsidRPr="009672FC" w:rsidRDefault="003D5DE8" w:rsidP="00890FB2">
            <w:pPr>
              <w:spacing w:line="276" w:lineRule="auto"/>
              <w:jc w:val="both"/>
              <w:rPr>
                <w:rFonts w:ascii="Garamond" w:hAnsi="Garamond"/>
                <w:b/>
                <w:bCs/>
              </w:rPr>
            </w:pPr>
          </w:p>
        </w:tc>
        <w:tc>
          <w:tcPr>
            <w:tcW w:w="3676" w:type="dxa"/>
            <w:tcBorders>
              <w:left w:val="nil"/>
              <w:right w:val="nil"/>
            </w:tcBorders>
          </w:tcPr>
          <w:p w14:paraId="795FB897" w14:textId="77777777" w:rsidR="003D5DE8" w:rsidRPr="009672FC" w:rsidRDefault="007549AA" w:rsidP="00890FB2">
            <w:pPr>
              <w:spacing w:line="276" w:lineRule="auto"/>
              <w:jc w:val="both"/>
              <w:rPr>
                <w:rFonts w:ascii="Garamond" w:hAnsi="Garamond"/>
                <w:lang w:val="en-GB"/>
              </w:rPr>
            </w:pPr>
            <w:r w:rsidRPr="009672FC">
              <w:rPr>
                <w:rFonts w:ascii="Garamond" w:hAnsi="Garamond"/>
                <w:b/>
                <w:bCs/>
              </w:rPr>
              <w:t>Collected Data</w:t>
            </w:r>
          </w:p>
        </w:tc>
      </w:tr>
      <w:tr w:rsidR="003D5DE8" w:rsidRPr="009672FC" w14:paraId="2BC75F64" w14:textId="77777777">
        <w:trPr>
          <w:jc w:val="center"/>
        </w:trPr>
        <w:tc>
          <w:tcPr>
            <w:tcW w:w="2976" w:type="dxa"/>
            <w:tcBorders>
              <w:left w:val="nil"/>
              <w:right w:val="nil"/>
            </w:tcBorders>
          </w:tcPr>
          <w:p w14:paraId="01057944" w14:textId="77777777" w:rsidR="003D5DE8" w:rsidRPr="009672FC" w:rsidRDefault="007549AA" w:rsidP="00890FB2">
            <w:pPr>
              <w:spacing w:line="276" w:lineRule="auto"/>
              <w:jc w:val="both"/>
              <w:rPr>
                <w:rFonts w:ascii="Garamond" w:hAnsi="Garamond"/>
              </w:rPr>
            </w:pPr>
            <w:r w:rsidRPr="009672FC">
              <w:rPr>
                <w:rFonts w:ascii="Garamond" w:hAnsi="Garamond"/>
              </w:rPr>
              <w:t xml:space="preserve">Interviews </w:t>
            </w:r>
          </w:p>
        </w:tc>
        <w:tc>
          <w:tcPr>
            <w:tcW w:w="1286" w:type="dxa"/>
            <w:tcBorders>
              <w:left w:val="nil"/>
              <w:right w:val="nil"/>
            </w:tcBorders>
          </w:tcPr>
          <w:p w14:paraId="4A09E996" w14:textId="77777777" w:rsidR="003D5DE8" w:rsidRPr="009672FC" w:rsidRDefault="007549AA" w:rsidP="00890FB2">
            <w:pPr>
              <w:spacing w:line="276" w:lineRule="auto"/>
              <w:jc w:val="both"/>
              <w:rPr>
                <w:rFonts w:ascii="Garamond" w:hAnsi="Garamond"/>
              </w:rPr>
            </w:pPr>
            <w:r w:rsidRPr="009672FC">
              <w:rPr>
                <w:rFonts w:ascii="Garamond" w:hAnsi="Garamond"/>
              </w:rPr>
              <w:t>5 Personal interviews</w:t>
            </w:r>
          </w:p>
          <w:p w14:paraId="79530F0F" w14:textId="77777777" w:rsidR="003D5DE8" w:rsidRPr="009672FC" w:rsidRDefault="003D5DE8" w:rsidP="00890FB2">
            <w:pPr>
              <w:spacing w:line="276" w:lineRule="auto"/>
              <w:jc w:val="both"/>
              <w:rPr>
                <w:rFonts w:ascii="Garamond" w:hAnsi="Garamond"/>
              </w:rPr>
            </w:pPr>
          </w:p>
          <w:p w14:paraId="0275A984" w14:textId="77777777" w:rsidR="003D5DE8" w:rsidRPr="009672FC" w:rsidRDefault="003D5DE8" w:rsidP="00890FB2">
            <w:pPr>
              <w:spacing w:line="276" w:lineRule="auto"/>
              <w:jc w:val="both"/>
              <w:rPr>
                <w:rFonts w:ascii="Garamond" w:hAnsi="Garamond"/>
              </w:rPr>
            </w:pPr>
          </w:p>
          <w:p w14:paraId="76F4D231" w14:textId="77777777" w:rsidR="003D5DE8" w:rsidRPr="009672FC" w:rsidRDefault="003D5DE8" w:rsidP="00890FB2">
            <w:pPr>
              <w:spacing w:line="276" w:lineRule="auto"/>
              <w:jc w:val="both"/>
              <w:rPr>
                <w:rFonts w:ascii="Garamond" w:hAnsi="Garamond"/>
              </w:rPr>
            </w:pPr>
          </w:p>
          <w:p w14:paraId="29308635" w14:textId="77777777" w:rsidR="003D5DE8" w:rsidRPr="009672FC" w:rsidRDefault="007549AA" w:rsidP="00890FB2">
            <w:pPr>
              <w:spacing w:line="276" w:lineRule="auto"/>
              <w:jc w:val="both"/>
              <w:rPr>
                <w:rFonts w:ascii="Garamond" w:hAnsi="Garamond"/>
              </w:rPr>
            </w:pPr>
            <w:r w:rsidRPr="009672FC">
              <w:rPr>
                <w:rFonts w:ascii="Garamond" w:hAnsi="Garamond"/>
              </w:rPr>
              <w:t>3 Follow-up interviews</w:t>
            </w:r>
          </w:p>
        </w:tc>
        <w:tc>
          <w:tcPr>
            <w:tcW w:w="3676" w:type="dxa"/>
            <w:tcBorders>
              <w:left w:val="nil"/>
              <w:right w:val="nil"/>
            </w:tcBorders>
          </w:tcPr>
          <w:p w14:paraId="45997918" w14:textId="77777777" w:rsidR="003D5DE8" w:rsidRPr="009672FC" w:rsidRDefault="007549AA" w:rsidP="00890FB2">
            <w:pPr>
              <w:spacing w:line="276" w:lineRule="auto"/>
              <w:jc w:val="both"/>
              <w:rPr>
                <w:rFonts w:ascii="Garamond" w:hAnsi="Garamond"/>
                <w:lang w:val="en-GB"/>
              </w:rPr>
            </w:pPr>
            <w:r w:rsidRPr="009672FC">
              <w:rPr>
                <w:rFonts w:ascii="Garamond" w:hAnsi="Garamond"/>
              </w:rPr>
              <w:t>The first round of interviews took place via digital communication platforms such as Zoom and Skype. Four semi-structured personal interviews involving entrepreneurs, Commercial director, and Managing director of the four main network companies. The motivations and how the cause-based SE network is being organized were discussed. Three follow-up interviews with the two main protagonists of the network were done and during this phase, and discussions were centered on the progress made, and challenges encountered in the cause-based SE network. All interviews were digitally recorded and then transcribed.</w:t>
            </w:r>
          </w:p>
        </w:tc>
      </w:tr>
      <w:tr w:rsidR="003D5DE8" w:rsidRPr="009672FC" w14:paraId="67AEB039" w14:textId="77777777">
        <w:trPr>
          <w:jc w:val="center"/>
        </w:trPr>
        <w:tc>
          <w:tcPr>
            <w:tcW w:w="2976" w:type="dxa"/>
            <w:tcBorders>
              <w:left w:val="nil"/>
              <w:right w:val="nil"/>
            </w:tcBorders>
          </w:tcPr>
          <w:p w14:paraId="1AA358B8" w14:textId="77777777" w:rsidR="003D5DE8" w:rsidRPr="009672FC" w:rsidRDefault="007549AA" w:rsidP="00890FB2">
            <w:pPr>
              <w:spacing w:line="276" w:lineRule="auto"/>
              <w:jc w:val="both"/>
              <w:rPr>
                <w:rFonts w:ascii="Garamond" w:hAnsi="Garamond"/>
              </w:rPr>
            </w:pPr>
            <w:r w:rsidRPr="009672FC">
              <w:rPr>
                <w:rFonts w:ascii="Garamond" w:hAnsi="Garamond"/>
              </w:rPr>
              <w:t>Internal documents</w:t>
            </w:r>
          </w:p>
        </w:tc>
        <w:tc>
          <w:tcPr>
            <w:tcW w:w="1286" w:type="dxa"/>
            <w:tcBorders>
              <w:left w:val="nil"/>
              <w:right w:val="nil"/>
            </w:tcBorders>
          </w:tcPr>
          <w:p w14:paraId="078F5913" w14:textId="77777777" w:rsidR="003D5DE8" w:rsidRPr="009672FC" w:rsidRDefault="007549AA" w:rsidP="00890FB2">
            <w:pPr>
              <w:spacing w:line="276" w:lineRule="auto"/>
              <w:jc w:val="both"/>
              <w:rPr>
                <w:rFonts w:ascii="Garamond" w:hAnsi="Garamond"/>
              </w:rPr>
            </w:pPr>
            <w:r w:rsidRPr="009672FC">
              <w:rPr>
                <w:rFonts w:ascii="Garamond" w:hAnsi="Garamond"/>
              </w:rPr>
              <w:t>9-page documents</w:t>
            </w:r>
          </w:p>
        </w:tc>
        <w:tc>
          <w:tcPr>
            <w:tcW w:w="3676" w:type="dxa"/>
            <w:tcBorders>
              <w:left w:val="nil"/>
              <w:right w:val="nil"/>
            </w:tcBorders>
          </w:tcPr>
          <w:p w14:paraId="2158D34B" w14:textId="77777777" w:rsidR="003D5DE8" w:rsidRPr="009672FC" w:rsidRDefault="007549AA" w:rsidP="00890FB2">
            <w:pPr>
              <w:spacing w:line="276" w:lineRule="auto"/>
              <w:jc w:val="both"/>
              <w:rPr>
                <w:rFonts w:ascii="Garamond" w:hAnsi="Garamond"/>
                <w:lang w:val="en-GB"/>
              </w:rPr>
            </w:pPr>
            <w:r w:rsidRPr="009672FC">
              <w:rPr>
                <w:rFonts w:ascii="Garamond" w:hAnsi="Garamond"/>
              </w:rPr>
              <w:t>Documents relating to the alliance formalization, and the unique roles of companies were observed. The researcher had access to these internal documents providing further insights into the operationalization of the SE alliance activities.</w:t>
            </w:r>
          </w:p>
        </w:tc>
      </w:tr>
      <w:tr w:rsidR="003D5DE8" w:rsidRPr="009672FC" w14:paraId="27FCB565" w14:textId="77777777">
        <w:trPr>
          <w:jc w:val="center"/>
        </w:trPr>
        <w:tc>
          <w:tcPr>
            <w:tcW w:w="2976" w:type="dxa"/>
            <w:tcBorders>
              <w:left w:val="nil"/>
              <w:right w:val="nil"/>
            </w:tcBorders>
          </w:tcPr>
          <w:p w14:paraId="33AB5B97" w14:textId="77777777" w:rsidR="003D5DE8" w:rsidRPr="009672FC" w:rsidRDefault="007549AA" w:rsidP="00890FB2">
            <w:pPr>
              <w:spacing w:line="276" w:lineRule="auto"/>
              <w:jc w:val="both"/>
              <w:rPr>
                <w:rFonts w:ascii="Garamond" w:hAnsi="Garamond"/>
              </w:rPr>
            </w:pPr>
            <w:r w:rsidRPr="009672FC">
              <w:rPr>
                <w:rFonts w:ascii="Garamond" w:hAnsi="Garamond"/>
              </w:rPr>
              <w:t>Data Collected Online</w:t>
            </w:r>
          </w:p>
        </w:tc>
        <w:tc>
          <w:tcPr>
            <w:tcW w:w="1286" w:type="dxa"/>
            <w:tcBorders>
              <w:left w:val="nil"/>
              <w:right w:val="nil"/>
            </w:tcBorders>
          </w:tcPr>
          <w:p w14:paraId="4FE58460" w14:textId="77777777" w:rsidR="003D5DE8" w:rsidRPr="009672FC" w:rsidRDefault="003D5DE8" w:rsidP="00890FB2">
            <w:pPr>
              <w:spacing w:line="276" w:lineRule="auto"/>
              <w:jc w:val="both"/>
              <w:rPr>
                <w:rFonts w:ascii="Garamond" w:hAnsi="Garamond"/>
              </w:rPr>
            </w:pPr>
          </w:p>
        </w:tc>
        <w:tc>
          <w:tcPr>
            <w:tcW w:w="3676" w:type="dxa"/>
            <w:tcBorders>
              <w:left w:val="nil"/>
              <w:right w:val="nil"/>
            </w:tcBorders>
          </w:tcPr>
          <w:p w14:paraId="33142C85" w14:textId="77777777" w:rsidR="003D5DE8" w:rsidRPr="009672FC" w:rsidRDefault="007549AA" w:rsidP="00890FB2">
            <w:pPr>
              <w:spacing w:line="276" w:lineRule="auto"/>
              <w:jc w:val="both"/>
              <w:rPr>
                <w:rFonts w:ascii="Garamond" w:hAnsi="Garamond"/>
                <w:lang w:val="en-GB"/>
              </w:rPr>
            </w:pPr>
            <w:r w:rsidRPr="009672FC">
              <w:rPr>
                <w:rFonts w:ascii="Garamond" w:hAnsi="Garamond"/>
              </w:rPr>
              <w:t xml:space="preserve">Information about the alliance firms, and the cause-based SE alliance were collected from the official websites/ social media sites of the alliance firms. </w:t>
            </w:r>
          </w:p>
        </w:tc>
      </w:tr>
      <w:tr w:rsidR="003D5DE8" w:rsidRPr="009672FC" w14:paraId="37D6CFAA" w14:textId="77777777">
        <w:trPr>
          <w:jc w:val="center"/>
        </w:trPr>
        <w:tc>
          <w:tcPr>
            <w:tcW w:w="2976" w:type="dxa"/>
            <w:tcBorders>
              <w:left w:val="nil"/>
              <w:right w:val="nil"/>
            </w:tcBorders>
          </w:tcPr>
          <w:p w14:paraId="24C7BDAF" w14:textId="77777777" w:rsidR="003D5DE8" w:rsidRPr="009672FC" w:rsidRDefault="007549AA" w:rsidP="00890FB2">
            <w:pPr>
              <w:spacing w:line="276" w:lineRule="auto"/>
              <w:jc w:val="both"/>
              <w:rPr>
                <w:rFonts w:ascii="Garamond" w:hAnsi="Garamond"/>
              </w:rPr>
            </w:pPr>
            <w:r w:rsidRPr="009672FC">
              <w:rPr>
                <w:rFonts w:ascii="Garamond" w:hAnsi="Garamond"/>
              </w:rPr>
              <w:t>Direct Observation</w:t>
            </w:r>
          </w:p>
        </w:tc>
        <w:tc>
          <w:tcPr>
            <w:tcW w:w="1286" w:type="dxa"/>
            <w:tcBorders>
              <w:left w:val="nil"/>
              <w:right w:val="nil"/>
            </w:tcBorders>
          </w:tcPr>
          <w:p w14:paraId="1DC49BD2" w14:textId="77777777" w:rsidR="003D5DE8" w:rsidRPr="009672FC" w:rsidRDefault="003D5DE8" w:rsidP="00890FB2">
            <w:pPr>
              <w:spacing w:line="276" w:lineRule="auto"/>
              <w:jc w:val="both"/>
              <w:rPr>
                <w:rFonts w:ascii="Garamond" w:hAnsi="Garamond"/>
              </w:rPr>
            </w:pPr>
          </w:p>
        </w:tc>
        <w:tc>
          <w:tcPr>
            <w:tcW w:w="3676" w:type="dxa"/>
            <w:tcBorders>
              <w:left w:val="nil"/>
              <w:right w:val="nil"/>
            </w:tcBorders>
          </w:tcPr>
          <w:p w14:paraId="1A9A9870" w14:textId="5356D2E0" w:rsidR="003D5DE8" w:rsidRPr="009672FC" w:rsidRDefault="007549AA" w:rsidP="00890FB2">
            <w:pPr>
              <w:spacing w:line="276" w:lineRule="auto"/>
              <w:jc w:val="both"/>
              <w:rPr>
                <w:rFonts w:ascii="Garamond" w:hAnsi="Garamond"/>
              </w:rPr>
            </w:pPr>
            <w:r w:rsidRPr="009672FC">
              <w:rPr>
                <w:rFonts w:ascii="Garamond" w:hAnsi="Garamond"/>
              </w:rPr>
              <w:t xml:space="preserve">The researchers had the chance to familiarize themselves with the operations of the SE network through a visit to the </w:t>
            </w:r>
            <w:r w:rsidR="00813D37" w:rsidRPr="009672FC">
              <w:rPr>
                <w:rFonts w:ascii="Garamond" w:hAnsi="Garamond"/>
              </w:rPr>
              <w:t>A</w:t>
            </w:r>
            <w:r w:rsidRPr="009672FC">
              <w:rPr>
                <w:rFonts w:ascii="Garamond" w:hAnsi="Garamond"/>
              </w:rPr>
              <w:t>lliance offices, where the production of the PPEs take place.</w:t>
            </w:r>
          </w:p>
        </w:tc>
      </w:tr>
    </w:tbl>
    <w:p w14:paraId="46E97178" w14:textId="77777777" w:rsidR="003D5DE8" w:rsidRPr="009672FC" w:rsidRDefault="003D5DE8">
      <w:pPr>
        <w:spacing w:line="276" w:lineRule="auto"/>
        <w:ind w:firstLine="360"/>
        <w:jc w:val="both"/>
        <w:rPr>
          <w:rFonts w:ascii="Garamond" w:hAnsi="Garamond"/>
          <w:lang w:val="en-GB" w:eastAsia="en-US"/>
        </w:rPr>
      </w:pPr>
    </w:p>
    <w:p w14:paraId="5B248AD6" w14:textId="77777777" w:rsidR="003D5DE8" w:rsidRPr="009672FC" w:rsidRDefault="007549AA" w:rsidP="00890FB2">
      <w:pPr>
        <w:spacing w:before="240" w:line="360" w:lineRule="auto"/>
        <w:jc w:val="both"/>
        <w:rPr>
          <w:rFonts w:ascii="Garamond" w:hAnsi="Garamond"/>
        </w:rPr>
      </w:pPr>
      <w:r w:rsidRPr="009672FC">
        <w:rPr>
          <w:rFonts w:ascii="Garamond" w:hAnsi="Garamond"/>
        </w:rPr>
        <w:lastRenderedPageBreak/>
        <w:t>Aside from personal interviews, internal documents on the network formation and implementation were also consulted. Moreover, data from online sources, data from the media, and notes from direct observations constitute critical data sources for this study (in Table 11).</w:t>
      </w:r>
    </w:p>
    <w:p w14:paraId="23EF0B69" w14:textId="3E1D0E23" w:rsidR="003D5DE8" w:rsidRPr="009672FC" w:rsidRDefault="007549AA">
      <w:pPr>
        <w:pStyle w:val="Title"/>
        <w:numPr>
          <w:ilvl w:val="1"/>
          <w:numId w:val="12"/>
        </w:numPr>
        <w:spacing w:before="240" w:line="360" w:lineRule="auto"/>
        <w:jc w:val="both"/>
        <w:outlineLvl w:val="1"/>
        <w:rPr>
          <w:rFonts w:ascii="Garamond" w:hAnsi="Garamond" w:cs="Times New Roman"/>
          <w:b/>
          <w:bCs/>
          <w:sz w:val="24"/>
          <w:szCs w:val="24"/>
        </w:rPr>
      </w:pPr>
      <w:r w:rsidRPr="009672FC">
        <w:rPr>
          <w:rFonts w:ascii="Garamond" w:hAnsi="Garamond" w:cs="Times New Roman"/>
          <w:b/>
          <w:bCs/>
        </w:rPr>
        <w:t xml:space="preserve"> </w:t>
      </w:r>
      <w:bookmarkStart w:id="237" w:name="_Toc85708777"/>
      <w:bookmarkStart w:id="238" w:name="_Toc85709791"/>
      <w:r w:rsidRPr="009672FC">
        <w:rPr>
          <w:rFonts w:ascii="Garamond" w:hAnsi="Garamond" w:cs="Times New Roman"/>
          <w:b/>
          <w:bCs/>
          <w:sz w:val="24"/>
          <w:szCs w:val="24"/>
        </w:rPr>
        <w:t>Data Analysis</w:t>
      </w:r>
      <w:bookmarkEnd w:id="237"/>
      <w:bookmarkEnd w:id="238"/>
    </w:p>
    <w:p w14:paraId="2495828E" w14:textId="2C3288EA" w:rsidR="003D5DE8" w:rsidRPr="009672FC" w:rsidRDefault="007549AA" w:rsidP="00890FB2">
      <w:pPr>
        <w:pStyle w:val="Title"/>
        <w:numPr>
          <w:ilvl w:val="2"/>
          <w:numId w:val="12"/>
        </w:numPr>
        <w:tabs>
          <w:tab w:val="left" w:pos="810"/>
        </w:tabs>
        <w:spacing w:before="240" w:line="360" w:lineRule="auto"/>
        <w:jc w:val="both"/>
        <w:outlineLvl w:val="2"/>
        <w:rPr>
          <w:rFonts w:ascii="Garamond" w:hAnsi="Garamond" w:cs="Times New Roman"/>
          <w:b/>
          <w:bCs/>
          <w:i/>
          <w:iCs/>
          <w:sz w:val="24"/>
          <w:szCs w:val="24"/>
        </w:rPr>
      </w:pPr>
      <w:bookmarkStart w:id="239" w:name="_Toc85708778"/>
      <w:bookmarkStart w:id="240" w:name="_Toc85709792"/>
      <w:r w:rsidRPr="009672FC">
        <w:rPr>
          <w:rFonts w:ascii="Garamond" w:hAnsi="Garamond" w:cs="Times New Roman"/>
          <w:b/>
          <w:bCs/>
          <w:i/>
          <w:iCs/>
          <w:sz w:val="24"/>
          <w:szCs w:val="24"/>
        </w:rPr>
        <w:t>Analysis and Procedure</w:t>
      </w:r>
      <w:bookmarkEnd w:id="239"/>
      <w:bookmarkEnd w:id="240"/>
    </w:p>
    <w:p w14:paraId="16BE3909" w14:textId="55FB3552" w:rsidR="003D5DE8" w:rsidRPr="009672FC" w:rsidRDefault="007549AA">
      <w:pPr>
        <w:tabs>
          <w:tab w:val="left" w:pos="810"/>
        </w:tabs>
        <w:spacing w:line="360" w:lineRule="auto"/>
        <w:jc w:val="both"/>
        <w:rPr>
          <w:rFonts w:ascii="Garamond" w:hAnsi="Garamond"/>
        </w:rPr>
      </w:pPr>
      <w:r w:rsidRPr="009672FC">
        <w:rPr>
          <w:rFonts w:ascii="Garamond" w:hAnsi="Garamond"/>
        </w:rPr>
        <w:t xml:space="preserve">Data analysis follows an iterative approach. The first stage of data analysis is the transcription of interview data. The analytical process follows the work of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2006)","manualFormatting":"Fereday and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and Muir-Cochrane (2006)</w:t>
      </w:r>
      <w:r w:rsidRPr="009672FC">
        <w:rPr>
          <w:rFonts w:ascii="Garamond" w:hAnsi="Garamond"/>
        </w:rPr>
        <w:fldChar w:fldCharType="end"/>
      </w:r>
      <w:r w:rsidRPr="009672FC">
        <w:rPr>
          <w:rFonts w:ascii="Garamond" w:hAnsi="Garamond"/>
        </w:rPr>
        <w:t xml:space="preserve"> using six steps </w:t>
      </w:r>
      <w:r w:rsidRPr="009672FC">
        <w:rPr>
          <w:rFonts w:ascii="Garamond" w:hAnsi="Garamond"/>
          <w:color w:val="000000"/>
        </w:rPr>
        <w:t xml:space="preserve">(see Figure 8): </w:t>
      </w:r>
      <w:r w:rsidRPr="009672FC">
        <w:rPr>
          <w:rFonts w:ascii="Garamond" w:hAnsi="Garamond"/>
        </w:rPr>
        <w:t xml:space="preserve">These codes were developed a priori, helping to provide systematic guidance on the analysis of the empirical data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&amp; Muir-Cochrane, 2006)</w:t>
      </w:r>
      <w:r w:rsidRPr="009672FC">
        <w:rPr>
          <w:rFonts w:ascii="Garamond" w:hAnsi="Garamond"/>
        </w:rPr>
        <w:fldChar w:fldCharType="end"/>
      </w:r>
      <w:r w:rsidRPr="009672FC">
        <w:rPr>
          <w:rFonts w:ascii="Garamond" w:hAnsi="Garamond"/>
        </w:rPr>
        <w:t xml:space="preserve">. In the first stage, we independently read the interview transcript and coded the data in an open manner </w:t>
      </w:r>
      <w:r w:rsidRPr="009672FC">
        <w:rPr>
          <w:rFonts w:ascii="Garamond" w:hAnsi="Garamond"/>
        </w:rPr>
        <w:fldChar w:fldCharType="begin" w:fldLock="1"/>
      </w:r>
      <w:r w:rsidRPr="009672FC">
        <w:rPr>
          <w:rFonts w:ascii="Garamond" w:hAnsi="Garamond"/>
        </w:rPr>
        <w:instrText>ADDIN CSL_CITATION {"citationItems":[{"id":"ITEM-1","itemData":{"DOI":"10.1177/1609406919862424","author":[{"dropping-particle":"","family":"Rashid","given":"Yasir","non-dropping-particle":"","parse-names":false,"suffix":""},{"dropping-particle":"","family":"Rashid","given":"Ammar","non-dropping-particle":"","parse-names":false,"suffix":""},{"dropping-particle":"","family":"Warraich","given":"Muhammad Akib","non-dropping-particle":"","parse-names":false,"suffix":""},{"dropping-particle":"","family":"Sameen Sabir","given":"Sana","non-dropping-particle":"","parse-names":false,"suffix":""},{"dropping-particle":"","family":"Waseem","given":"Ansar","non-dropping-particle":"","parse-names":false,"suffix":""}],"container-title":"International Journal of Qualitative Methods","id":"ITEM-1","issued":{"date-parts":[["2019"]]},"page":"1-13","title":"Case Study Method : A Step-by-Step Guide for Business Researchers","type":"article-journal","volume":"18"},"uris":["http://www.mendeley.com/documents/?uuid=2229eb7e-075a-45cb-b72e-7bebaee417a2"]}],"mendeley":{"formattedCitation":"(Rashid et al., 2019)","plainTextFormattedCitation":"(Rashid et al., 2019)","previouslyFormattedCitation":"(Rashid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(Rashid et al., 2019)</w:t>
      </w:r>
      <w:r w:rsidRPr="009672FC">
        <w:rPr>
          <w:rFonts w:ascii="Garamond" w:hAnsi="Garamond"/>
        </w:rPr>
        <w:fldChar w:fldCharType="end"/>
      </w:r>
      <w:r w:rsidRPr="009672FC">
        <w:rPr>
          <w:rFonts w:ascii="Garamond" w:hAnsi="Garamond"/>
        </w:rPr>
        <w:t xml:space="preserve"> in response to how firms maximize collaborative value creation processes, and the challenges that emerge in the course of the alliance. Based on these, a list of codes was developed comprising terms based on research questions and theoretical concepts (“value definition,” “value creation,” “value balance,” “value renewal” and “challenges”) in a SE alliance. These terms were developed in line with the study objectives, aims, and problem statement. In the </w:t>
      </w:r>
      <w:proofErr w:type="spellStart"/>
      <w:r w:rsidRPr="009672FC">
        <w:rPr>
          <w:rFonts w:ascii="Garamond" w:hAnsi="Garamond"/>
        </w:rPr>
        <w:t>emperical</w:t>
      </w:r>
      <w:proofErr w:type="spellEnd"/>
      <w:r w:rsidRPr="009672FC">
        <w:rPr>
          <w:rFonts w:ascii="Garamond" w:hAnsi="Garamond"/>
        </w:rPr>
        <w:t xml:space="preserve"> data, we sort out the statements involving the specified codes in the empirical data. </w:t>
      </w:r>
    </w:p>
    <w:p w14:paraId="719FC442" w14:textId="6F942B44" w:rsidR="00EB5D6B" w:rsidRDefault="00890FB2" w:rsidP="00890FB2">
      <w:pPr>
        <w:tabs>
          <w:tab w:val="left" w:pos="810"/>
        </w:tabs>
        <w:spacing w:before="240" w:line="360" w:lineRule="auto"/>
        <w:jc w:val="both"/>
        <w:rPr>
          <w:rFonts w:ascii="Garamond" w:hAnsi="Garamond"/>
        </w:rPr>
      </w:pPr>
      <w:r w:rsidRPr="009672FC">
        <w:rPr>
          <w:rFonts w:ascii="Garamond" w:hAnsi="Garamond"/>
        </w:rPr>
        <w:t xml:space="preserve">The second step involved testing the reliability of the identified code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&amp; Muir-Cochrane, 2006)</w:t>
      </w:r>
      <w:r w:rsidRPr="009672FC">
        <w:rPr>
          <w:rFonts w:ascii="Garamond" w:hAnsi="Garamond"/>
        </w:rPr>
        <w:fldChar w:fldCharType="end"/>
      </w:r>
      <w:r w:rsidRPr="009672FC">
        <w:rPr>
          <w:rFonts w:ascii="Garamond" w:hAnsi="Garamond"/>
        </w:rPr>
        <w:t xml:space="preserve">. To increase reliability and validity </w:t>
      </w:r>
      <w:r w:rsidRPr="009672FC">
        <w:rPr>
          <w:rFonts w:ascii="Garamond" w:hAnsi="Garamond"/>
        </w:rPr>
        <w:fldChar w:fldCharType="begin" w:fldLock="1"/>
      </w:r>
      <w:r w:rsidRPr="009672FC">
        <w:rPr>
          <w:rFonts w:ascii="Garamond" w:hAnsi="Garamond"/>
        </w:rPr>
        <w:instrText>ADDIN CSL_CITATION {"citationItems":[{"id":"ITEM-1","itemData":{"author":[{"dropping-particle":"","family":"Rowley","given":"Jennifer","non-dropping-particle":"","parse-names":false,"suffix":""}],"container-title":"Management Research News","id":"ITEM-1","issued":{"date-parts":[["2000"]]},"page":"16-27","title":"Using Case Studies in Research","type":"article-journal","volume":"25"},"uris":["http://www.mendeley.com/documents/?uuid=88f744f7-f513-4238-a806-e79b31ffd0dd"]}],"mendeley":{"formattedCitation":"(Rowley, 2000)","plainTextFormattedCitation":"(Rowley, 2000)","previouslyFormattedCitation":"(Rowley,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(Rowley, 2000)</w:t>
      </w:r>
      <w:r w:rsidRPr="009672FC">
        <w:rPr>
          <w:rFonts w:ascii="Garamond" w:hAnsi="Garamond"/>
        </w:rPr>
        <w:fldChar w:fldCharType="end"/>
      </w:r>
      <w:r w:rsidRPr="009672FC">
        <w:rPr>
          <w:rFonts w:ascii="Garamond" w:hAnsi="Garamond"/>
        </w:rPr>
        <w:t xml:space="preserve">, we follow </w:t>
      </w:r>
      <w:r w:rsidRPr="009672FC">
        <w:rPr>
          <w:rFonts w:ascii="Garamond" w:hAnsi="Garamond"/>
        </w:rPr>
        <w:fldChar w:fldCharType="begin" w:fldLock="1"/>
      </w:r>
      <w:r w:rsidRPr="009672FC">
        <w:rPr>
          <w:rFonts w:ascii="Garamond" w:hAnsi="Garamond"/>
        </w:rPr>
        <w:instrText>ADDIN CSL_CITATION {"citationItems":[{"id":"ITEM-1","itemData":{"DOI":"10.1108/IJEBR-04-2020-0214","ISSN":"13552554","abstract":"Purpose: Within a very short period of time, the worldwide pandemic triggered by the novel coronavirus has not only claimed numerous lives but also caused severe limitations to daily private as well as business life. Just about every company has been affected in one way or another. This first empirical study on the effects of the COVID-19 crisis on family firms allows initial conclusions to be drawn about family firm crisis management. Design/methodology/approach: Exploratory qualitative research design based on 27 semi-structured interviews with key informants of family firms of all sizes in five Western European countries that are in different stages of the crisis. Findings: The COVID-19 crisis represents a new type and quality of challenge for companies. These companies are applying measures that can be assigned to three different strategies to adapt to the crisis in the short term and emerge from it stronger in the long run. Our findings show how companies in all industries and of all sizes adapt their business models to changing environmental conditions within a short period of time. Finally, the findings also show that the crisis is bringing about a significant yet unintended cultural change. On the one hand, a stronger solidarity and cohesion within the company was observed, while on the other hand, the crisis has led to a tentative digitalization. Originality/value: To the knowledge of the authors, this is the first empirical study in the management realm on the impacts of COVID-19 on (family) firms. It provides cross-national evidence of family firms' current reactions to the crisis.","author":[{"dropping-particle":"","family":"Kraus","given":"Sascha","non-dropping-particle":"","parse-names":false,"suffix":""},{"dropping-particle":"","family":"Clauss","given":"Thomas","non-dropping-particle":"","parse-names":false,"suffix":""},{"dropping-particle":"","family":"Breier","given":"Matthias","non-dropping-particle":"","parse-names":false,"suffix":""},{"dropping-particle":"","family":"Gast","given":"Johanna","non-dropping-particle":"","parse-names":false,"suffix":""},{"dropping-particle":"","family":"Zardini","given":"Alessandro","non-dropping-particle":"","parse-names":false,"suffix":""},{"dropping-particle":"","family":"Tiberius","given":"Victor","non-dropping-particle":"","parse-names":false,"suffix":""}],"container-title":"International Journal of Entrepreneurial Behaviour and Research","id":"ITEM-1","issued":{"date-parts":[["2020"]]},"title":"The economics of COVID-19: initial empirical evidence on how family firms in five European countries cope with the corona crisis","type":"article-journal"},"uris":["http://www.mendeley.com/documents/?uuid=2bfb91cd-b748-4760-b87b-191b65ea31e9"]}],"mendeley":{"formattedCitation":"(Kraus, Clauss, et al., 2020)","manualFormatting":"Kraus et al. (2020)","plainTextFormattedCitation":"(Kraus, Clauss, et al., 2020)","previouslyFormattedCitation":"(Kraus, Clauss, et al.,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Kraus </w:t>
      </w:r>
      <w:r w:rsidRPr="009672FC">
        <w:rPr>
          <w:rFonts w:ascii="Garamond" w:hAnsi="Garamond"/>
          <w:i/>
          <w:noProof/>
        </w:rPr>
        <w:t>et al.</w:t>
      </w:r>
      <w:r w:rsidRPr="009672FC">
        <w:rPr>
          <w:rFonts w:ascii="Garamond" w:hAnsi="Garamond"/>
          <w:noProof/>
        </w:rPr>
        <w:t xml:space="preserve"> (2020)</w:t>
      </w:r>
      <w:r w:rsidRPr="009672FC">
        <w:rPr>
          <w:rFonts w:ascii="Garamond" w:hAnsi="Garamond"/>
        </w:rPr>
        <w:fldChar w:fldCharType="end"/>
      </w:r>
      <w:r w:rsidRPr="009672FC">
        <w:rPr>
          <w:rFonts w:ascii="Garamond" w:hAnsi="Garamond"/>
        </w:rPr>
        <w:t xml:space="preserve"> by reading and coding independently, discuss</w:t>
      </w:r>
      <w:r w:rsidR="00813D37" w:rsidRPr="009672FC">
        <w:rPr>
          <w:rFonts w:ascii="Garamond" w:hAnsi="Garamond"/>
        </w:rPr>
        <w:t>ing</w:t>
      </w:r>
      <w:r w:rsidRPr="009672FC">
        <w:rPr>
          <w:rFonts w:ascii="Garamond" w:hAnsi="Garamond"/>
        </w:rPr>
        <w:t xml:space="preserve"> and compar</w:t>
      </w:r>
      <w:r w:rsidR="00813D37" w:rsidRPr="009672FC">
        <w:rPr>
          <w:rFonts w:ascii="Garamond" w:hAnsi="Garamond"/>
        </w:rPr>
        <w:t>ing</w:t>
      </w:r>
      <w:r w:rsidRPr="009672FC">
        <w:rPr>
          <w:rFonts w:ascii="Garamond" w:hAnsi="Garamond"/>
        </w:rPr>
        <w:t xml:space="preserve"> our codes iteratively before we consolidate them into the main themes. Moreover, the reliability of the codes was checked using the expert review of codes by a specialist in the field of SE research. A cross-check of the empirical data (interview transcript) against the field summary was explored, thus allowing us to verify correct entries. The outcome of these reviews enables the refinement of the codes according to the identified codes.</w:t>
      </w:r>
    </w:p>
    <w:p w14:paraId="224CD201" w14:textId="0AF1BADA" w:rsidR="00CE753B" w:rsidRPr="00CE753B" w:rsidRDefault="00CE753B" w:rsidP="00890FB2">
      <w:pPr>
        <w:tabs>
          <w:tab w:val="left" w:pos="810"/>
        </w:tabs>
        <w:spacing w:before="240" w:line="360" w:lineRule="auto"/>
        <w:jc w:val="both"/>
        <w:rPr>
          <w:rFonts w:ascii="Garamond" w:hAnsi="Garamond"/>
        </w:rPr>
      </w:pPr>
      <w:r w:rsidRPr="009672FC">
        <w:rPr>
          <w:rFonts w:ascii="Garamond" w:hAnsi="Garamond"/>
        </w:rPr>
        <w:t>The third step summarizes data and identifies initial codes. By this process, the empirical data (transcript) is read thoroughly, the interviews are listened to carefully, and eventually summarized. The empirical data (transcripts, direct observations, direct interviews, internal documents) are used to deduce the key points (as related to specified codes) in response to the research questions in this study.</w:t>
      </w:r>
    </w:p>
    <w:p w14:paraId="1A9ED1A2" w14:textId="1B859115" w:rsidR="003D5DE8" w:rsidRPr="00CE753B" w:rsidRDefault="00EB5D6B" w:rsidP="00EB5D6B">
      <w:pPr>
        <w:pStyle w:val="Caption"/>
        <w:jc w:val="center"/>
        <w:rPr>
          <w:rFonts w:ascii="Garamond" w:hAnsi="Garamond"/>
          <w:sz w:val="22"/>
          <w:szCs w:val="22"/>
        </w:rPr>
      </w:pPr>
      <w:bookmarkStart w:id="241" w:name="_Toc85710585"/>
      <w:r w:rsidRPr="00CE753B">
        <w:rPr>
          <w:rFonts w:ascii="Garamond" w:hAnsi="Garamond"/>
          <w:sz w:val="22"/>
          <w:szCs w:val="22"/>
        </w:rPr>
        <w:lastRenderedPageBreak/>
        <w:t xml:space="preserve">Figure </w:t>
      </w:r>
      <w:r w:rsidR="00C10BC3" w:rsidRPr="00CE753B">
        <w:rPr>
          <w:rFonts w:ascii="Garamond" w:hAnsi="Garamond"/>
          <w:sz w:val="22"/>
          <w:szCs w:val="22"/>
        </w:rPr>
        <w:fldChar w:fldCharType="begin"/>
      </w:r>
      <w:r w:rsidR="00C10BC3" w:rsidRPr="00CE753B">
        <w:rPr>
          <w:rFonts w:ascii="Garamond" w:hAnsi="Garamond"/>
          <w:sz w:val="22"/>
          <w:szCs w:val="22"/>
        </w:rPr>
        <w:instrText xml:space="preserve"> SEQ Figure \* ARABIC </w:instrText>
      </w:r>
      <w:r w:rsidR="00C10BC3" w:rsidRPr="00CE753B">
        <w:rPr>
          <w:rFonts w:ascii="Garamond" w:hAnsi="Garamond"/>
          <w:sz w:val="22"/>
          <w:szCs w:val="22"/>
        </w:rPr>
        <w:fldChar w:fldCharType="separate"/>
      </w:r>
      <w:r w:rsidR="001C1648">
        <w:rPr>
          <w:rFonts w:ascii="Garamond" w:hAnsi="Garamond"/>
          <w:noProof/>
          <w:sz w:val="22"/>
          <w:szCs w:val="22"/>
        </w:rPr>
        <w:t>10</w:t>
      </w:r>
      <w:r w:rsidR="00C10BC3" w:rsidRPr="00CE753B">
        <w:rPr>
          <w:rFonts w:ascii="Garamond" w:hAnsi="Garamond"/>
          <w:noProof/>
          <w:sz w:val="22"/>
          <w:szCs w:val="22"/>
        </w:rPr>
        <w:fldChar w:fldCharType="end"/>
      </w:r>
      <w:r w:rsidRPr="00CE753B">
        <w:rPr>
          <w:rFonts w:ascii="Garamond" w:hAnsi="Garamond"/>
          <w:sz w:val="22"/>
          <w:szCs w:val="22"/>
        </w:rPr>
        <w:t>. Diagrammatic representation of the stages undertaken to code the empirical data</w:t>
      </w:r>
      <w:bookmarkEnd w:id="241"/>
    </w:p>
    <w:p w14:paraId="59DCF2A4" w14:textId="77777777" w:rsidR="003D5DE8" w:rsidRPr="009672FC" w:rsidRDefault="003D5DE8">
      <w:pPr>
        <w:tabs>
          <w:tab w:val="left" w:pos="360"/>
        </w:tabs>
        <w:jc w:val="both"/>
        <w:rPr>
          <w:rFonts w:ascii="Garamond" w:hAnsi="Garamond"/>
        </w:rPr>
      </w:pPr>
    </w:p>
    <w:p w14:paraId="4243A751" w14:textId="6C92A432" w:rsidR="003D5DE8" w:rsidRPr="009672FC" w:rsidRDefault="007549AA" w:rsidP="00890FB2">
      <w:pPr>
        <w:tabs>
          <w:tab w:val="left" w:pos="360"/>
        </w:tabs>
        <w:jc w:val="center"/>
        <w:rPr>
          <w:rFonts w:ascii="Garamond" w:hAnsi="Garamond"/>
        </w:rPr>
      </w:pPr>
      <w:r w:rsidRPr="009672FC">
        <w:rPr>
          <w:rFonts w:ascii="Garamond" w:hAnsi="Garamond"/>
          <w:noProof/>
          <w:lang w:eastAsia="en-US"/>
        </w:rPr>
        <w:drawing>
          <wp:inline distT="0" distB="0" distL="0" distR="0" wp14:anchorId="2C322772" wp14:editId="1B201AA1">
            <wp:extent cx="4076065" cy="3872865"/>
            <wp:effectExtent l="0" t="0" r="0" b="0"/>
            <wp:docPr id="1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 descr="Diagram&#10;&#10;Description automatically generated"/>
                    <pic:cNvPicPr>
                      <a:picLocks noChangeAspect="1" noChangeArrowheads="1"/>
                    </pic:cNvPicPr>
                  </pic:nvPicPr>
                  <pic:blipFill>
                    <a:blip r:embed="rId37"/>
                    <a:stretch>
                      <a:fillRect/>
                    </a:stretch>
                  </pic:blipFill>
                  <pic:spPr bwMode="auto">
                    <a:xfrm>
                      <a:off x="0" y="0"/>
                      <a:ext cx="4076065" cy="3872865"/>
                    </a:xfrm>
                    <a:prstGeom prst="rect">
                      <a:avLst/>
                    </a:prstGeom>
                  </pic:spPr>
                </pic:pic>
              </a:graphicData>
            </a:graphic>
          </wp:inline>
        </w:drawing>
      </w:r>
    </w:p>
    <w:p w14:paraId="3876AEDC" w14:textId="5A031942" w:rsidR="003D5DE8" w:rsidRPr="009672FC" w:rsidRDefault="007549AA" w:rsidP="00890FB2">
      <w:pPr>
        <w:spacing w:before="240" w:line="360" w:lineRule="auto"/>
        <w:jc w:val="both"/>
        <w:rPr>
          <w:rFonts w:ascii="Garamond" w:hAnsi="Garamond"/>
          <w:lang w:val="en-GB"/>
        </w:rPr>
      </w:pPr>
      <w:r w:rsidRPr="009672FC">
        <w:rPr>
          <w:rFonts w:ascii="Garamond" w:hAnsi="Garamond"/>
        </w:rPr>
        <w:t xml:space="preserve">The fourth stage involved the use of a codebook, uploaded into the ATLAS.ti software with the intent of analyzing meaningful relationships or associations between codes and themes. The coded texts were sorted, and the codes retrieved were organized according to clustered themes across all data sources. Furthermore, we used an inductive approach, leveraging from the existing theoretical lens. The inductive codes were subsequently included in the predetermined code in the codebook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&amp; Muir-Cochrane, 2006)</w:t>
      </w:r>
      <w:r w:rsidRPr="009672FC">
        <w:rPr>
          <w:rFonts w:ascii="Garamond" w:hAnsi="Garamond"/>
        </w:rPr>
        <w:fldChar w:fldCharType="end"/>
      </w:r>
      <w:r w:rsidRPr="009672FC">
        <w:rPr>
          <w:rFonts w:ascii="Garamond" w:hAnsi="Garamond"/>
        </w:rPr>
        <w:t xml:space="preserve">. The fifth step, connecting codes is the process of discovering themes and patterns in the data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&amp; Muir-Cochrane, 2006)</w:t>
      </w:r>
      <w:r w:rsidRPr="009672FC">
        <w:rPr>
          <w:rFonts w:ascii="Garamond" w:hAnsi="Garamond"/>
        </w:rPr>
        <w:fldChar w:fldCharType="end"/>
      </w:r>
      <w:r w:rsidRPr="009672FC">
        <w:rPr>
          <w:rFonts w:ascii="Garamond" w:hAnsi="Garamond"/>
        </w:rPr>
        <w:t xml:space="preserve">. The final codes were duly corroborated, forming the key themes of this study. In fact, during this process, several codes were merged into a single code, making an important part of the general themes of the study. Each code was further clustered under the headings /themes that relate to the research questions. Similarities and differences across various data sources begin to emerge at different stages in response to questions in the study.  The final step involves clustering the themes that were initially identified from the coded texts. </w:t>
      </w:r>
      <w:r w:rsidRPr="009672FC">
        <w:rPr>
          <w:rFonts w:ascii="Garamond" w:hAnsi="Garamond"/>
        </w:rPr>
        <w:fldChar w:fldCharType="begin" w:fldLock="1"/>
      </w:r>
      <w:r w:rsidRPr="009672FC">
        <w:rPr>
          <w:rFonts w:ascii="Garamond" w:hAnsi="Garamond"/>
        </w:rPr>
        <w:instrText>ADDIN CSL_CITATION {"citationItems":[{"id":"ITEM-1","itemData":{"DOI":"10.1177/160940690600500107","ISSN":"1609-4069","abstract":"In this article, the authors describe how they used a hybrid process of inductive and deductive thematic analysis to interpret raw data in a doctoral study on the role of performance feedback in the self-assessment of nursing practice. The methodological approach integrated data-driven codes with theory-driven ones based on the tenets of social phenomenology. The authors present a detailed exemplar of the staged process of data coding and identification of themes. This process demonstrates how analysis of the raw data from interview transcripts and organizational documents progressed toward the identification of overarching themes that captured the phenomenon of performance feedback as described by participants in the study.","author":[{"dropping-particle":"","family":"Fereday","given":"Jennifer","non-dropping-particle":"","parse-names":false,"suffix":""},{"dropping-particle":"","family":"Muir-Cochrane","given":"Eimear","non-dropping-particle":"","parse-names":false,"suffix":""}],"container-title":"International Journal of Qualitative Methods","id":"ITEM-1","issue":"1","issued":{"date-parts":[["2006"]]},"page":"80-92","title":"Demonstrating Rigor Using Thematic Analysis: A Hybrid Approach of Inductive and Deductive Coding and Theme Development","type":"article-journal","volume":"5"},"uris":["http://www.mendeley.com/documents/?uuid=17a6ae57-e1f1-41f8-97e0-cdfa7d8fc85f"]}],"mendeley":{"formattedCitation":"(Fereday &amp; Muir-Cochrane, 2006)","manualFormatting":"Fereday and Muir-Cochrane (2006)","plainTextFormattedCitation":"(Fereday &amp; Muir-Cochrane, 2006)","previouslyFormattedCitation":"(Fereday &amp; Muir-Cochrane,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Fereday and Muir-Cochrane (2006)</w:t>
      </w:r>
      <w:r w:rsidRPr="009672FC">
        <w:rPr>
          <w:rFonts w:ascii="Garamond" w:hAnsi="Garamond"/>
        </w:rPr>
        <w:fldChar w:fldCharType="end"/>
      </w:r>
      <w:r w:rsidRPr="009672FC">
        <w:rPr>
          <w:rFonts w:ascii="Garamond" w:hAnsi="Garamond"/>
        </w:rPr>
        <w:t xml:space="preserve"> described this process as “corroborating”, confirming that clustered themes are representative of the initial data analysis </w:t>
      </w:r>
      <w:r w:rsidRPr="009672FC">
        <w:rPr>
          <w:rFonts w:ascii="Garamond" w:hAnsi="Garamond"/>
        </w:rPr>
        <w:lastRenderedPageBreak/>
        <w:t>and assigned codes from the codebook. This stage followed an interpretive phase of the empirical data, observing the explanatory framework that is consistent with the proposed codes and themes. Based on this approach, the overarching themes that capture the phenomenon were further clustered and assigned simplified phrases describing the meaning that underpinned the themes.</w:t>
      </w:r>
    </w:p>
    <w:p w14:paraId="3C1EFEFF" w14:textId="77777777" w:rsidR="003D5DE8" w:rsidRPr="009672FC" w:rsidRDefault="007549AA" w:rsidP="00890FB2">
      <w:pPr>
        <w:spacing w:before="240" w:line="360" w:lineRule="auto"/>
        <w:jc w:val="both"/>
        <w:rPr>
          <w:rFonts w:ascii="Garamond" w:hAnsi="Garamond"/>
        </w:rPr>
      </w:pPr>
      <w:r w:rsidRPr="009672FC">
        <w:rPr>
          <w:rFonts w:ascii="Garamond" w:hAnsi="Garamond"/>
        </w:rPr>
        <w:t xml:space="preserve">The ensuing section discussed the research questions, first, the analysis of results based on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2000a)","manualFormatting":"Austin's (2000)","plainTextFormattedCitation":"(J.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Austin's (2000)</w:t>
      </w:r>
      <w:r w:rsidRPr="009672FC">
        <w:rPr>
          <w:rFonts w:ascii="Garamond" w:hAnsi="Garamond"/>
        </w:rPr>
        <w:fldChar w:fldCharType="end"/>
      </w:r>
      <w:r w:rsidRPr="009672FC">
        <w:rPr>
          <w:rFonts w:ascii="Garamond" w:hAnsi="Garamond"/>
        </w:rPr>
        <w:t xml:space="preserve"> four collaborative value construct (CVC): definition of value, value creation, value balance, and value renewal, and finally, the discussion of the findings based on the challenges of cause-based SE network.</w:t>
      </w:r>
    </w:p>
    <w:p w14:paraId="0C2944A5" w14:textId="7ED56172" w:rsidR="003D5DE8" w:rsidRPr="009672FC" w:rsidRDefault="007549AA">
      <w:pPr>
        <w:pStyle w:val="Title"/>
        <w:numPr>
          <w:ilvl w:val="1"/>
          <w:numId w:val="13"/>
        </w:numPr>
        <w:spacing w:before="240" w:line="360" w:lineRule="auto"/>
        <w:jc w:val="both"/>
        <w:outlineLvl w:val="1"/>
        <w:rPr>
          <w:rFonts w:ascii="Garamond" w:hAnsi="Garamond" w:cs="Times New Roman"/>
          <w:b/>
          <w:bCs/>
          <w:sz w:val="24"/>
          <w:szCs w:val="24"/>
        </w:rPr>
      </w:pPr>
      <w:r w:rsidRPr="009672FC">
        <w:rPr>
          <w:rFonts w:ascii="Garamond" w:hAnsi="Garamond" w:cs="Times New Roman"/>
          <w:b/>
          <w:bCs/>
        </w:rPr>
        <w:t xml:space="preserve"> </w:t>
      </w:r>
      <w:bookmarkStart w:id="242" w:name="_Toc85708779"/>
      <w:bookmarkStart w:id="243" w:name="_Toc85709793"/>
      <w:r w:rsidRPr="009672FC">
        <w:rPr>
          <w:rFonts w:ascii="Garamond" w:hAnsi="Garamond" w:cs="Times New Roman"/>
          <w:b/>
          <w:bCs/>
          <w:sz w:val="24"/>
          <w:szCs w:val="24"/>
        </w:rPr>
        <w:t>Discussion</w:t>
      </w:r>
      <w:bookmarkEnd w:id="242"/>
      <w:bookmarkEnd w:id="243"/>
      <w:r w:rsidRPr="009672FC">
        <w:rPr>
          <w:rFonts w:ascii="Garamond" w:hAnsi="Garamond" w:cs="Times New Roman"/>
          <w:b/>
          <w:bCs/>
          <w:sz w:val="24"/>
          <w:szCs w:val="24"/>
        </w:rPr>
        <w:t xml:space="preserve"> </w:t>
      </w:r>
    </w:p>
    <w:p w14:paraId="263B36C6" w14:textId="669BE20D" w:rsidR="003D5DE8" w:rsidRPr="009672FC" w:rsidRDefault="007549AA">
      <w:pPr>
        <w:pStyle w:val="Title"/>
        <w:numPr>
          <w:ilvl w:val="2"/>
          <w:numId w:val="13"/>
        </w:numPr>
        <w:tabs>
          <w:tab w:val="left" w:pos="360"/>
        </w:tabs>
        <w:spacing w:line="360" w:lineRule="auto"/>
        <w:ind w:right="-18"/>
        <w:jc w:val="both"/>
        <w:outlineLvl w:val="2"/>
        <w:rPr>
          <w:rFonts w:ascii="Garamond" w:hAnsi="Garamond" w:cs="Times New Roman"/>
          <w:b/>
          <w:bCs/>
          <w:i/>
          <w:iCs/>
          <w:sz w:val="24"/>
          <w:szCs w:val="24"/>
        </w:rPr>
      </w:pPr>
      <w:bookmarkStart w:id="244" w:name="_Toc85708780"/>
      <w:bookmarkStart w:id="245" w:name="_Toc85709794"/>
      <w:r w:rsidRPr="009672FC">
        <w:rPr>
          <w:rFonts w:ascii="Garamond" w:hAnsi="Garamond" w:cs="Times New Roman"/>
          <w:b/>
          <w:bCs/>
          <w:i/>
          <w:iCs/>
          <w:sz w:val="24"/>
          <w:szCs w:val="24"/>
        </w:rPr>
        <w:t>The Value Definition in Cause-Based SE Network</w:t>
      </w:r>
      <w:bookmarkEnd w:id="244"/>
      <w:bookmarkEnd w:id="245"/>
    </w:p>
    <w:p w14:paraId="48B112AF" w14:textId="77777777" w:rsidR="003D5DE8" w:rsidRPr="009672FC" w:rsidRDefault="007549AA">
      <w:pPr>
        <w:tabs>
          <w:tab w:val="left" w:pos="360"/>
        </w:tabs>
        <w:spacing w:line="360" w:lineRule="auto"/>
        <w:ind w:right="-18"/>
        <w:jc w:val="both"/>
        <w:rPr>
          <w:rFonts w:ascii="Garamond" w:hAnsi="Garamond"/>
        </w:rPr>
      </w:pPr>
      <w:r w:rsidRPr="009672FC">
        <w:rPr>
          <w:rFonts w:ascii="Garamond" w:hAnsi="Garamond"/>
        </w:rPr>
        <w:t>At the height of the global Coronavirus pandemic (around March 2020), the global stock of PPEs was almost in scarcity, and the number of fatalities from Italy continued to mount higher than the rest of other European countries. At such a time of uncertainty, the entrepreneurship orientation of business operators begins to emerge as to how the business community could help curb the spread of the virus and fatalities? In fact, our data finds that the entrepreneur of one of the main protagonists of the network consulted with the Confindustria of Verona for a potential partnership to engage in the production and supply of masks for the health workers and other frontline employees. At this, stage, this was aimed to contribute to the social cause of the pandemic, with no economic gain sought. This was recognized by the actors at the time, according to our data. Specifically, the entrepreneur of the Alpha company described how the common value of this collaboration was defined: “definition of value was possible through Confindustria, which allowed the meeting between the two protagonist companies all of which had the opposite problems: Alpha had the skills and raw materials, Beta, on the other hand, possessed the technology and the machinery needed for the production of masks, and Gamma has easy access to global market channels. Moreover, the respondent added that</w:t>
      </w:r>
      <w:r w:rsidRPr="009672FC">
        <w:rPr>
          <w:rFonts w:ascii="Garamond" w:hAnsi="Garamond"/>
          <w:i/>
          <w:iCs/>
        </w:rPr>
        <w:t xml:space="preserve"> </w:t>
      </w:r>
      <w:r w:rsidRPr="009672FC">
        <w:rPr>
          <w:rFonts w:ascii="Garamond" w:hAnsi="Garamond"/>
        </w:rPr>
        <w:t xml:space="preserve">“…for the production quantity and duration of the contract, we have not given ourselves a ceiling, today we have a production capacity of about 2,000,000 pieces of masks per month, so the goal is to </w:t>
      </w:r>
      <w:proofErr w:type="spellStart"/>
      <w:r w:rsidRPr="009672FC">
        <w:rPr>
          <w:rFonts w:ascii="Garamond" w:hAnsi="Garamond"/>
        </w:rPr>
        <w:t>to</w:t>
      </w:r>
      <w:proofErr w:type="spellEnd"/>
      <w:r w:rsidRPr="009672FC">
        <w:rPr>
          <w:rFonts w:ascii="Garamond" w:hAnsi="Garamond"/>
        </w:rPr>
        <w:t xml:space="preserve"> get to saturate the production, but since it is not our main activity we do not want to do it at any cost and any condition. It was something born for social purposes. The duration of our agreement is two years because we have considered </w:t>
      </w:r>
      <w:r w:rsidRPr="009672FC">
        <w:rPr>
          <w:rFonts w:ascii="Garamond" w:hAnsi="Garamond"/>
        </w:rPr>
        <w:lastRenderedPageBreak/>
        <w:t xml:space="preserve">both the minimum time to see the results and for the investments made by both” as stated by the entrepreneur of Alpha company. </w:t>
      </w:r>
    </w:p>
    <w:p w14:paraId="4C26ABB9" w14:textId="01FCC145" w:rsidR="003D5DE8" w:rsidRPr="009672FC" w:rsidRDefault="007549AA" w:rsidP="00890FB2">
      <w:pPr>
        <w:tabs>
          <w:tab w:val="left" w:pos="360"/>
        </w:tabs>
        <w:spacing w:before="240" w:line="360" w:lineRule="auto"/>
        <w:ind w:right="-18"/>
        <w:jc w:val="both"/>
        <w:rPr>
          <w:rFonts w:ascii="Garamond" w:hAnsi="Garamond"/>
        </w:rPr>
      </w:pPr>
      <w:r w:rsidRPr="009672FC">
        <w:rPr>
          <w:rFonts w:ascii="Garamond" w:hAnsi="Garamond"/>
        </w:rPr>
        <w:t>Value definition in this case enables actors to define expectations, benefits of the relationship to each actor, and more saliently, to the society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w:t>
      </w:r>
      <w:r w:rsidRPr="009672FC">
        <w:rPr>
          <w:rFonts w:ascii="Garamond" w:hAnsi="Garamond"/>
        </w:rPr>
        <w:fldChar w:fldCharType="end"/>
      </w:r>
      <w:r w:rsidRPr="009672FC">
        <w:rPr>
          <w:rFonts w:ascii="Garamond" w:hAnsi="Garamond"/>
        </w:rPr>
        <w:t xml:space="preserve">. Through that partners develop “shared vision” </w:t>
      </w:r>
      <w:r w:rsidRPr="009672FC">
        <w:rPr>
          <w:rFonts w:ascii="Garamond" w:hAnsi="Garamond"/>
        </w:rPr>
        <w:fldChar w:fldCharType="begin" w:fldLock="1"/>
      </w:r>
      <w:r w:rsidRPr="009672FC">
        <w:rPr>
          <w:rFonts w:ascii="Garamond" w:hAnsi="Garamond"/>
        </w:rPr>
        <w:instrText>ADDIN CSL_CITATION {"citationItems":[{"id":"ITEM-1","itemData":{"ISBN":"0787952206","ISSN":"09569944","abstract":"The article presents the author's views on the collaboration between university and industry in Great Britain. Great Britain now has some of the most advanced links between university and industry to be found anywhere in the world. Over the last 10 years, university/industry links have been revolutionised and the potential for innovation and growth in companies and world-class research from universities is rapidly becoming apparent. But these changes need to be celebrated more publicly and examples of best practice brought to the attention of people in industry and academe, who may still be nervous.","author":[{"dropping-particle":"","family":"Austin","given":"James E.","non-dropping-particle":"","parse-names":false,"suffix":""}],"container-title":"Manufacturing Engineer","id":"ITEM-1","issued":{"date-parts":[["2000"]]},"page":"6","title":"The Collaboration Challenge: How Nonprofits and Businesses Succeed Through Strategic Alliances","type":"article-journal","volume":"83"},"uris":["http://www.mendeley.com/documents/?uuid=9fa5e4da-eba2-4ad9-b41a-452701fe985f"]}],"mendeley":{"formattedCitation":"(J. E. Austin, 2000b)","manualFormatting":"(Gregory, 2004, p.75)","plainTextFormattedCitation":"(J. E. Austin, 2000b)","previouslyFormattedCitation":"(J. E. Austin, 2000b)"},"properties":{"noteIndex":0},"schema":"https://github.com/citation-style-language/schema/raw/master/csl-citation.json"}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(Gregory, 2004, p.75)</w:t>
      </w:r>
      <w:r w:rsidRPr="009672FC">
        <w:rPr>
          <w:rFonts w:ascii="Garamond" w:hAnsi="Garamond"/>
        </w:rPr>
        <w:fldChar w:fldCharType="end"/>
      </w:r>
      <w:r w:rsidRPr="009672FC">
        <w:rPr>
          <w:rFonts w:ascii="Garamond" w:hAnsi="Garamond"/>
        </w:rPr>
        <w:t xml:space="preserve"> and identify each other’s expectations and perceptions. According to </w:t>
      </w:r>
      <w:r w:rsidRPr="009672FC">
        <w:rPr>
          <w:rFonts w:ascii="Garamond" w:hAnsi="Garamond"/>
        </w:rPr>
        <w:fldChar w:fldCharType="begin" w:fldLock="1"/>
      </w:r>
      <w:r w:rsidRPr="009672FC">
        <w:rPr>
          <w:rFonts w:ascii="Garamond" w:hAnsi="Garamond"/>
        </w:rPr>
        <w:instrText>ADDIN CSL_CITATION {"citationItems":[{"id":"ITEM-1","itemData":{"DOI":"10.1016/j.emj.2018.07.007","ISSN":"02632373","abstract":"The interactional, interdependent, and dynamic nature of value co-creation has made value management in business relationships a particularly challenging issue for both academicians and practitioners. In addition, studies on this topic have mostly focused on managing value co-creation in isolation from the wider relational context without completely capturing the influence of other value processes on value co-creation. This paper examines the broader picture of value co-creation management by providing a model based on interlinked value processes, namely, value communication, value appropriation, value measurement, and value representation. We adopted a qualitative approach based on 86 interviews with managers of both customer and supplier companies, which operated in different industries. Results showed that the management of value co-creation implies considering complex patterns of interconnections with other value processes. In particular, the study will shed light on the centrality of value appropriation to co-create value and on the importance of value representation to coordinate ideas and enable future co-creation opportunities.","author":[{"dropping-particle":"","family":"Corsaro","given":"Daniela","non-dropping-particle":"","parse-names":false,"suffix":""}],"container-title":"European Management Journal","id":"ITEM-1","issue":"1","issued":{"date-parts":[["2019"]]},"page":"99-116","publisher":"Elsevier Ltd","title":"Capturing the broader picture of value co-creation management","type":"article-journal","volume":"37"},"uris":["http://www.mendeley.com/documents/?uuid=29953ba5-8d42-4d30-ac07-abb0c00328f1"]}],"mendeley":{"formattedCitation":"(Corsaro, 2019)","manualFormatting":"Corsaro (2019, p. 101)","plainTextFormattedCitation":"(Corsaro, 2019)","previouslyFormattedCitation":"(Corsaro,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Corsaro (2019, p. 101)</w:t>
      </w:r>
      <w:r w:rsidRPr="009672FC">
        <w:rPr>
          <w:rFonts w:ascii="Garamond" w:hAnsi="Garamond"/>
        </w:rPr>
        <w:fldChar w:fldCharType="end"/>
      </w:r>
      <w:r w:rsidRPr="009672FC">
        <w:rPr>
          <w:rFonts w:ascii="Garamond" w:hAnsi="Garamond"/>
        </w:rPr>
        <w:t xml:space="preserve">, value representation is key to “how a partner translates its ideas of value into something that can be easily observed by others, and its meaning shared among them.” Moreover, </w:t>
      </w:r>
      <w:r w:rsidRPr="009672FC">
        <w:rPr>
          <w:rFonts w:ascii="Garamond" w:hAnsi="Garamond"/>
        </w:rPr>
        <w:fldChar w:fldCharType="begin" w:fldLock="1"/>
      </w:r>
      <w:r w:rsidRPr="009672FC">
        <w:rPr>
          <w:rFonts w:ascii="Garamond" w:hAnsi="Garamond"/>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and Seitanidi (2012a)</w:t>
      </w:r>
      <w:r w:rsidRPr="009672FC">
        <w:rPr>
          <w:rFonts w:ascii="Garamond" w:hAnsi="Garamond"/>
        </w:rPr>
        <w:fldChar w:fldCharType="end"/>
      </w:r>
      <w:r w:rsidRPr="009672FC">
        <w:rPr>
          <w:rFonts w:ascii="Garamond" w:hAnsi="Garamond"/>
        </w:rPr>
        <w:t xml:space="preserve"> point that alliance partners rely on value definition for greater guidance and strategic alignment necessary for a shared vision and mutual corporation, also enabling partners to weigh the trade-offs across types of values and beneficiaries a priori </w:t>
      </w:r>
      <w:r w:rsidRPr="009672FC">
        <w:rPr>
          <w:rFonts w:ascii="Garamond" w:hAnsi="Garamond"/>
        </w:rPr>
        <w:fldChar w:fldCharType="begin" w:fldLock="1"/>
      </w:r>
      <w:r w:rsidRPr="009672FC">
        <w:rPr>
          <w:rFonts w:ascii="Garamond" w:hAnsi="Garamond"/>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2012b)","manualFormatting":"(Austin &amp; Seitanidi, 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&amp; Seitanidi, 2012b)</w:t>
      </w:r>
      <w:r w:rsidRPr="009672FC">
        <w:rPr>
          <w:rFonts w:ascii="Garamond" w:hAnsi="Garamond"/>
        </w:rPr>
        <w:fldChar w:fldCharType="end"/>
      </w:r>
      <w:r w:rsidRPr="009672FC">
        <w:rPr>
          <w:rFonts w:ascii="Garamond" w:hAnsi="Garamond"/>
        </w:rPr>
        <w:t xml:space="preserve"> including an assessment of the resource requirements (both financial and human), products/services, technology and expertise position of actors.</w:t>
      </w:r>
    </w:p>
    <w:p w14:paraId="0296C47C" w14:textId="3E616E75" w:rsidR="003D5DE8" w:rsidRPr="009672FC" w:rsidRDefault="007549AA" w:rsidP="00890FB2">
      <w:pPr>
        <w:tabs>
          <w:tab w:val="left" w:pos="360"/>
        </w:tabs>
        <w:spacing w:before="240" w:line="360" w:lineRule="auto"/>
        <w:ind w:right="-18"/>
        <w:jc w:val="both"/>
        <w:rPr>
          <w:rFonts w:ascii="Garamond" w:hAnsi="Garamond"/>
          <w:b/>
          <w:bCs/>
        </w:rPr>
      </w:pPr>
      <w:r w:rsidRPr="009672FC">
        <w:rPr>
          <w:rFonts w:ascii="Garamond" w:hAnsi="Garamond"/>
        </w:rPr>
        <w:t>Similarly, the clarity of the common objective could be found in these findings, as echoed by the Managing Director of Beta: “In any case, we will see in the first two years of the partnership that we have given ourselves, we are already evaluating other ideas, other paths that can go forward. I considered thi</w:t>
      </w:r>
      <w:r w:rsidR="00EB5D6B" w:rsidRPr="009672FC">
        <w:rPr>
          <w:rFonts w:ascii="Garamond" w:hAnsi="Garamond"/>
        </w:rPr>
        <w:t xml:space="preserve">s issue of masks for a social </w:t>
      </w:r>
      <w:r w:rsidRPr="009672FC">
        <w:rPr>
          <w:rFonts w:ascii="Garamond" w:hAnsi="Garamond"/>
        </w:rPr>
        <w:t xml:space="preserve">reason." Such understanding of the common value, enables organizational alignments (of the opportunities, people, capital and context) to the social cause, as critical to social entrepreneurial capabilities </w:t>
      </w:r>
      <w:r w:rsidRPr="009672FC">
        <w:rPr>
          <w:rFonts w:ascii="Garamond" w:hAnsi="Garamond"/>
        </w:rPr>
        <w:fldChar w:fldCharType="begin" w:fldLock="1"/>
      </w:r>
      <w:r w:rsidRPr="009672FC">
        <w:rPr>
          <w:rFonts w:ascii="Garamond" w:hAnsi="Garamond"/>
        </w:rPr>
        <w:instrText>ADDIN CSL_CITATION {"citationItems":[{"id":"ITEM-1","itemData":{"DOI":"10.1111/j.1540-6520.2009.00354.x","ISBN":"0275989860","author":[{"dropping-particle":"","family":"Austin","given":"James","non-dropping-particle":"","parse-names":false,"suffix":""},{"dropping-particle":"","family":"Stevenson","given":"Howard","non-dropping-particle":"","parse-names":false,"suffix":""},{"dropping-particle":"","family":"Wei-Skillern","given":"Jane","non-dropping-particle":"","parse-names":false,"suffix":""}],"container-title":"Entrepreneurship theory and practice","id":"ITEM-1","issue":"1","issued":{"date-parts":[["2006"]]},"page":"1-22","title":"Social and Commercial Entrepreneurship: Same, Different, or Both?","type":"article-journal","volume":"30"},"uris":["http://www.mendeley.com/documents/?uuid=06bea3d3-e3f0-41d2-89e3-a274ac1a1607"]}],"mendeley":{"formattedCitation":"(J. Austin et al., 2006)","manualFormatting":"(Austin et al., 2006)","plainTextFormattedCitation":"(J. Austin et al., 2006)","previouslyFormattedCitation":"(J. Austin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et al., 2006)</w:t>
      </w:r>
      <w:r w:rsidRPr="009672FC">
        <w:rPr>
          <w:rFonts w:ascii="Garamond" w:hAnsi="Garamond"/>
        </w:rPr>
        <w:fldChar w:fldCharType="end"/>
      </w:r>
      <w:r w:rsidRPr="009672FC">
        <w:rPr>
          <w:rFonts w:ascii="Garamond" w:hAnsi="Garamond"/>
        </w:rPr>
        <w:t>. Our findings suggest that clarity of common value in a cause-based network enable actors to commit to project goals and objectives. In fact, scholars add that the absence of clarity on the value definition has the potential to cause misdirection, misunderstanding and conflict of interest, thus disrupting the value generation activities.</w:t>
      </w:r>
    </w:p>
    <w:p w14:paraId="6CFC6837" w14:textId="61B3760A" w:rsidR="003D5DE8" w:rsidRPr="009672FC" w:rsidRDefault="007549AA">
      <w:pPr>
        <w:pStyle w:val="Title"/>
        <w:numPr>
          <w:ilvl w:val="2"/>
          <w:numId w:val="13"/>
        </w:numPr>
        <w:tabs>
          <w:tab w:val="left" w:pos="360"/>
        </w:tabs>
        <w:spacing w:before="240" w:line="360" w:lineRule="auto"/>
        <w:ind w:right="432"/>
        <w:jc w:val="both"/>
        <w:outlineLvl w:val="2"/>
        <w:rPr>
          <w:rFonts w:ascii="Garamond" w:hAnsi="Garamond" w:cs="Times New Roman"/>
          <w:b/>
          <w:bCs/>
          <w:i/>
          <w:iCs/>
          <w:sz w:val="24"/>
          <w:szCs w:val="24"/>
        </w:rPr>
      </w:pPr>
      <w:bookmarkStart w:id="246" w:name="_Toc85708781"/>
      <w:bookmarkStart w:id="247" w:name="_Toc85709795"/>
      <w:r w:rsidRPr="009672FC">
        <w:rPr>
          <w:rFonts w:ascii="Garamond" w:hAnsi="Garamond" w:cs="Times New Roman"/>
          <w:b/>
          <w:bCs/>
          <w:i/>
          <w:iCs/>
          <w:sz w:val="24"/>
          <w:szCs w:val="24"/>
        </w:rPr>
        <w:t>The Value Creation Process in Cause-Based SE Network</w:t>
      </w:r>
      <w:bookmarkEnd w:id="246"/>
      <w:bookmarkEnd w:id="247"/>
    </w:p>
    <w:p w14:paraId="2A36F567" w14:textId="6C188568" w:rsidR="003D5DE8" w:rsidRPr="009672FC" w:rsidRDefault="007549AA" w:rsidP="00890FB2">
      <w:pPr>
        <w:pStyle w:val="MDPI71FootNotes"/>
        <w:numPr>
          <w:ilvl w:val="0"/>
          <w:numId w:val="0"/>
        </w:numPr>
        <w:spacing w:line="360" w:lineRule="auto"/>
        <w:rPr>
          <w:rFonts w:ascii="Garamond" w:hAnsi="Garamond"/>
          <w:sz w:val="24"/>
          <w:szCs w:val="24"/>
          <w:lang w:val="en-GB"/>
        </w:rPr>
      </w:pPr>
      <w:r w:rsidRPr="009672FC">
        <w:rPr>
          <w:rFonts w:ascii="Garamond" w:hAnsi="Garamond"/>
          <w:sz w:val="24"/>
          <w:szCs w:val="24"/>
        </w:rPr>
        <w:t xml:space="preserve">In the current case, there is evidence of collective value creation in terms of how resources are used, and how specified tasks, are carried out for the generation of something economically and socially better. For instance, the CEO of Beta notes that “The co-creation of value with Alpha is daily because we collaborate very closely; when we need something, they intervene and vice versa.” Since these two firms have some idiosyncrasies, with their core business different from the objectives of addressing the pandemic (creating masks) individually, inter-firm cohesion and </w:t>
      </w:r>
      <w:r w:rsidRPr="009672FC">
        <w:rPr>
          <w:rFonts w:ascii="Garamond" w:hAnsi="Garamond"/>
          <w:sz w:val="24"/>
          <w:szCs w:val="24"/>
        </w:rPr>
        <w:lastRenderedPageBreak/>
        <w:t xml:space="preserve">interdependence signal the right attitude of the actors towards the social cause. Thus, resource integration is at the heart of the collaborative value creation process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 Austin and Seitanidi, 2012b;","plainTextFormattedCitation":"(J.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(Austin and Seitanidi, 2012a; </w:t>
      </w:r>
      <w:r w:rsidRPr="009672FC">
        <w:rPr>
          <w:rFonts w:ascii="Garamond" w:hAnsi="Garamond"/>
          <w:noProof/>
          <w:sz w:val="24"/>
          <w:szCs w:val="24"/>
        </w:rPr>
        <w:fldChar w:fldCharType="begin" w:fldLock="1"/>
      </w:r>
      <w:r w:rsidRPr="009672FC">
        <w:rPr>
          <w:rFonts w:ascii="Garamond" w:hAnsi="Garamond"/>
          <w:noProof/>
          <w:sz w:val="24"/>
          <w:szCs w:val="24"/>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2012b)","manualFormatting":"Austin and Seitanidi, 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Austin and Seitanidi, 2012b;</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{"citationItems":[{"id":"ITEM-1","itemData":{"DOI":"10.1002/(SICI)1097-0266(199905)20:5&lt;467::AID-SMJ38&gt;3.0.CO;2-J","ISSN":"01432095","abstract":"A structural model of business relationship development in a business network context is formulated and tested on data from the European International Marketing and Purchasing (IMP) project. The empirical analysis demonstrates a causal chain from business network connection through mutual commitment and mutual dependence to value creation in the relationship. The results show that mutuality in business network relationships is critical in developing interfirin systems of workflow interdependence that promote the creation of value. This also implies that, through their interaction in business network relationships, firms in business markets organize and share an unbounded structure of interdependent activities, enabling them to achieve greater value than would be the case if they did not engage in relationship development. Copyright © 1999 John Wiley &amp; Sons, Ltd.","author":[{"dropping-particle":"","family":"Holm","given":"Desirée Blankenburg","non-dropping-particle":"","parse-names":false,"suffix":""},{"dropping-particle":"","family":"Eriksson","given":"Kent","non-dropping-particle":"","parse-names":false,"suffix":""},{"dropping-particle":"","family":"Johanson","given":"Jan","non-dropping-particle":"","parse-names":false,"suffix":""}],"container-title":"Strategic Management Journal","id":"ITEM-1","issue":"5","issued":{"date-parts":[["1999"]]},"page":"467-486","title":"Creating value through mutual commitment to business network relationships","type":"article-journal","volume":"20"},"uris":["http://www.mendeley.com/documents/?uuid=c00f63ff-465e-4c81-a204-08e7634bf016"]}],"mendeley":{"formattedCitation":"(Holm et al., 1999)","manualFormatting":" Holm et al., 1999;","plainTextFormattedCitation":"(Holm et al., 1999)","previouslyFormattedCitation":"(Holm et al., 1999)"},"properties":{"noteIndex":0},"schema":"https://github.com/citation-style-language/schema/raw/master/csl-citation.json"}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Holm et al., 1999;</w:t>
      </w:r>
      <w:r w:rsidRPr="009672FC">
        <w:rPr>
          <w:rFonts w:ascii="Garamond" w:hAnsi="Garamond"/>
          <w:sz w:val="24"/>
          <w:szCs w:val="24"/>
        </w:rPr>
        <w:fldChar w:fldCharType="end"/>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{"citationItems":[{"id":"ITEM-1","itemData":{"DOI":"10.1016/j.jbusres.2010.01.004","ISSN":"01482963","abstract":"Business relationships provide means for creating and appropriating superior value in the marketplace. To date, research pertains almost exclusively to the value after relationship creation and sharing among exchange partners. Consequently, the interaction between value creation and value appropriation remains relatively unknown in collaborative relationships. Drawing on equity theory, this study proposes a conceptual model that positions value creation and value appropriation as focal variables within the nomological net of business relationships. Data collected from industrial customer-supplier projects reveal that value appropriation is the strongest driver of project satisfaction. Customer firms perceive value creation as positive only if they appropriate a larger slice of the bigger value pie. Information exchange moderates customer firms' evaluations of value creation and appropriation efforts. In contrast to the highly competitive nature at the project level, embedding the supplier project in an ongoing sourcing relationship reveals cooperative elements in the customer-supplier interaction. Greater relational satisfaction favors less aggressive value appropriation efforts. These insights help bridge the gap between managerial metrics that focus on successful value appropriation and academic models that attend to variables that capture the quality of ongoing relationships. © 2010 Elsevier Inc.","author":[{"dropping-particle":"","family":"Wagner","given":"Stephan M.","non-dropping-particle":"","parse-names":false,"suffix":""},{"dropping-particle":"","family":"Eggert","given":"Andreas","non-dropping-particle":"","parse-names":false,"suffix":""},{"dropping-particle":"","family":"Lindemann","given":"Eckhard","non-dropping-particle":"","parse-names":false,"suffix":""}],"container-title":"Journal of Business Research","id":"ITEM-1","issue":"8","issued":{"date-parts":[["2010"]]},"page":"840-848","publisher":"Elsevier Inc.","title":"Creating and appropriating value in collaborative relationships","type":"article-journal","volume":"63"},"uris":["http://www.mendeley.com/documents/?uuid=f50357c6-9bf9-437c-9b35-57517b5cd34c"]}],"mendeley":{"formattedCitation":"(Wagner et al., 2010)","manualFormatting":" Wagner et al., 2010)","plainTextFormattedCitation":"(Wagner et al., 2010)","previouslyFormattedCitation":"(Wagner et al., 2010)"},"properties":{"noteIndex":0},"schema":"https://github.com/citation-style-language/schema/raw/master/csl-citation.json"}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 Wagner et al., 2010)</w:t>
      </w:r>
      <w:r w:rsidRPr="009672FC">
        <w:rPr>
          <w:rFonts w:ascii="Garamond" w:hAnsi="Garamond"/>
          <w:sz w:val="24"/>
          <w:szCs w:val="24"/>
        </w:rPr>
        <w:fldChar w:fldCharType="end"/>
      </w:r>
      <w:r w:rsidRPr="009672FC">
        <w:rPr>
          <w:rFonts w:ascii="Garamond" w:hAnsi="Garamond"/>
          <w:sz w:val="24"/>
          <w:szCs w:val="24"/>
        </w:rPr>
        <w:t>.  Thus “scrutinizing each other’s resources and capabilities” from which the firms determine which and how the value can be created is an essential activity of value creation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 p.78)","plainTextFormattedCitation":"(J. E. Austin, 2000a)","previouslyFormattedCitation":"(J. E. Austin, 2000a)"},"properties":{"noteIndex":0},"schema":"https://github.com/citation-style-language/schema/raw/master/csl-citation.json"}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Austin, 2000; p.78)</w:t>
      </w:r>
      <w:r w:rsidRPr="009672FC">
        <w:rPr>
          <w:rFonts w:ascii="Garamond" w:hAnsi="Garamond"/>
          <w:sz w:val="24"/>
          <w:szCs w:val="24"/>
        </w:rPr>
        <w:fldChar w:fldCharType="end"/>
      </w:r>
      <w:r w:rsidRPr="009672FC">
        <w:rPr>
          <w:rFonts w:ascii="Garamond" w:hAnsi="Garamond"/>
          <w:sz w:val="24"/>
          <w:szCs w:val="24"/>
        </w:rPr>
        <w:t>. Our data suggest that Alpha provides mainly, the raw materials and skills, Gamma, on the other hand</w:t>
      </w:r>
      <w:r w:rsidR="00813D37" w:rsidRPr="009672FC">
        <w:rPr>
          <w:rFonts w:ascii="Garamond" w:hAnsi="Garamond"/>
          <w:sz w:val="24"/>
          <w:szCs w:val="24"/>
        </w:rPr>
        <w:t>,</w:t>
      </w:r>
      <w:r w:rsidRPr="009672FC">
        <w:rPr>
          <w:rFonts w:ascii="Garamond" w:hAnsi="Garamond"/>
          <w:sz w:val="24"/>
          <w:szCs w:val="24"/>
        </w:rPr>
        <w:t xml:space="preserve"> offers the technology and machines, and Omega provides the commercial activities and distribution of the masks. Thus, resources and tasks were assigned accordingly. </w:t>
      </w:r>
    </w:p>
    <w:p w14:paraId="76B4909E" w14:textId="77777777" w:rsidR="00890FB2" w:rsidRPr="009672FC" w:rsidRDefault="007549AA" w:rsidP="00813D37">
      <w:pPr>
        <w:spacing w:before="240"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{"citationItems":[{"id":"ITEM-1","itemData":{"DOI":"10.1177/030630700302900201","ISSN":"0306-3070","abstract":"This study presents a value-based perspective for understanding strategic alliance. Three key ideas are discussed, which lead to some practical implications. First, value creation is the key for understanding alliance activities. It is argued that alliance value creation boils down to the original definition of value that covers three aspects: unit sales, unit price, and unit cost. To create value, alliances must affect at least one of the three aspects. Thus, this paper returns to the original meaning of value creation that has been under-emphasized. It looks into how value may be created. For alliance managers, the implication is that they need to identify how an alliance may effect changes in these three areas. Without such changes, the alliance would have little to contribute to the firm. Second, the value perspective suggests that, in the alliance context, collaborative advantage is about both increasing one's added value and reducing the added value of one's competitors. Finally, this paper employs an influential strategy model to explore value creation in alliance. The value net suggests that a firm is embedded in a net composed of various players. To be successful, a firm needs to form relationships with these players, while the players may form similar relationships among themselves as well.","author":[{"dropping-particle":"","family":"Teng","given":"Bing-Sheng","non-dropping-particle":"","parse-names":false,"suffix":""}],"container-title":"Journal of General Management","id":"ITEM-1","issue":"2","issued":{"date-parts":[["2003"]]},"page":"1-22","title":"Collaborative Advantage of Strategic Alliances: Value Creation in the Value Net","type":"article-journal","volume":"29"},"uris":["http://www.mendeley.com/documents/?uuid=f9c40ed2-fdde-4b11-ae75-e44d0c1c67c2"]}],"mendeley":{"formattedCitation":"(Teng, 2003)","manualFormatting":"Teng (2003)","plainTextFormattedCitation":"(Teng, 2003)","previouslyFormattedCitation":"(Teng, 2003)"},"properties":{"noteIndex":0},"schema":"https://github.com/citation-style-language/schema/raw/master/csl-citation.json"}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Teng (2003)</w:t>
      </w:r>
      <w:r w:rsidRPr="009672FC">
        <w:rPr>
          <w:rFonts w:ascii="Garamond" w:hAnsi="Garamond"/>
        </w:rPr>
        <w:fldChar w:fldCharType="end"/>
      </w:r>
      <w:r w:rsidRPr="009672FC">
        <w:rPr>
          <w:rFonts w:ascii="Garamond" w:hAnsi="Garamond"/>
        </w:rPr>
        <w:t xml:space="preserve"> describes such a value creation process as a basis to generate a collaborative advantage or synergy used to affect a firm's own added value or its competitors' added value. In fact, aside from the technical resources, machines and equipment, distinctive skills are of great importance in this partnership. Entrepreneur of Alpha asserts that: “…as a last resort we have the skills and knowledge that made us distinctive and eligible, it is the reason why so many companies are still not certificated …for meeting the laboratory tests." Under such an environment, mutual trust of partners is critical to value creation, enabling openness and exchange of resources and technical know-how between partners (</w:t>
      </w:r>
      <w:r w:rsidRPr="009672FC">
        <w:rPr>
          <w:rFonts w:ascii="Garamond" w:hAnsi="Garamond"/>
        </w:rPr>
        <w:fldChar w:fldCharType="begin" w:fldLock="1"/>
      </w:r>
      <w:r w:rsidRPr="009672FC">
        <w:rPr>
          <w:rFonts w:ascii="Garamond" w:hAnsi="Garamond"/>
        </w:rPr>
        <w:instrText>ADDIN CSL_CITATION {"citationItems":[{"id":"ITEM-1","itemData":{"DOI":"10.1016/j.indmarman.2011.11.008","ISSN":"00198501","abstract":"This paper examines the collaborative process of value co-creation in the context of knowledge intensive business services. Through 120 qualitative interviews with suppliers and buyers of knowledge intensive services, the extensive exploratory study analyzes the activities, roles and resources of buyers and suppliers in the reciprocal value co-creation process, and their implications for the resulting value-in-use. The paper draws on the literature on value creation, solutions and professional services marketing, and service-dominant logic. It provides a framework depicting value co-creation that occurs through a dyadic problem solving process, comprising activities such as diagnosing needs, designing and producing solutions, organizing the process and resources, managing value conflicts, and implementing the solution. The framework serves as a managerial tool to determine critical resources and roles for suppliers and customers, facilitate joint activities, and optimize resource utilization. Insights from this research are broadly applicable to the contexts of knowledge intensive and solutions business. © 2011 Elsevier Inc.","author":[{"dropping-particle":"","family":"Aarikka-Stenroos","given":"Leena","non-dropping-particle":"","parse-names":false,"suffix":""},{"dropping-particle":"","family":"Jaakkola","given":"Elina","non-dropping-particle":"","parse-names":false,"suffix":""}],"container-title":"Industrial Marketing Management","id":"ITEM-1","issue":"1","issued":{"date-parts":[["2012"]]},"page":"15-26","publisher":"Elsevier Inc.","title":"Value co-creation in knowledge intensive business services: A dyadic perspective on the joint problem solving process","type":"article-journal","volume":"41"},"uris":["http://www.mendeley.com/documents/?uuid=c1af0c74-1d9a-4960-8d65-058946887f4f"]}],"mendeley":{"formattedCitation":"(Aarikka-Stenroos &amp; Jaakkola, 2012)","manualFormatting":"Aarikka-Stenroos and Jaakkola, 2012)","plainTextFormattedCitation":"(Aarikka-Stenroos &amp; Jaakkola, 2012)","previouslyFormattedCitation":"(Aarikka-Stenroos &amp; Jaakkola, 2012)"},"properties":{"noteIndex":0},"schema":"https://github.com/citation-style-language/schema/raw/master/csl-citation.json"}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Aarikka-Stenroos and Jaakkola, 2012)</w:t>
      </w:r>
      <w:r w:rsidRPr="009672FC">
        <w:rPr>
          <w:rFonts w:ascii="Garamond" w:hAnsi="Garamond"/>
        </w:rPr>
        <w:fldChar w:fldCharType="end"/>
      </w:r>
      <w:r w:rsidRPr="009672FC">
        <w:rPr>
          <w:rFonts w:ascii="Garamond" w:hAnsi="Garamond"/>
        </w:rPr>
        <w:t>. Thus, effective communication activities, which allows for dialogues and collective sense-making, is necessary for value creation in a business relationship (</w:t>
      </w:r>
      <w:r w:rsidRPr="009672FC">
        <w:rPr>
          <w:rFonts w:ascii="Garamond" w:hAnsi="Garamond"/>
        </w:rPr>
        <w:fldChar w:fldCharType="begin" w:fldLock="1"/>
      </w:r>
      <w:r w:rsidRPr="009672FC">
        <w:rPr>
          <w:rFonts w:ascii="Garamond" w:hAnsi="Garamond"/>
        </w:rPr>
        <w:instrText>ADDIN CSL_CITATION {"citationItems":[{"id":"ITEM-1","itemData":{"DOI":"10.1016/j.emj.2018.07.007","ISSN":"02632373","abstract":"The interactional, interdependent, and dynamic nature of value co-creation has made value management in business relationships a particularly challenging issue for both academicians and practitioners. In addition, studies on this topic have mostly focused on managing value co-creation in isolation from the wider relational context without completely capturing the influence of other value processes on value co-creation. This paper examines the broader picture of value co-creation management by providing a model based on interlinked value processes, namely, value communication, value appropriation, value measurement, and value representation. We adopted a qualitative approach based on 86 interviews with managers of both customer and supplier companies, which operated in different industries. Results showed that the management of value co-creation implies considering complex patterns of interconnections with other value processes. In particular, the study will shed light on the centrality of value appropriation to co-create value and on the importance of value representation to coordinate ideas and enable future co-creation opportunities.","author":[{"dropping-particle":"","family":"Corsaro","given":"Daniela","non-dropping-particle":"","parse-names":false,"suffix":""}],"container-title":"European Management Journal","id":"ITEM-1","issue":"1","issued":{"date-parts":[["2019"]]},"page":"99-116","publisher":"Elsevier Ltd","title":"Capturing the broader picture of value co-creation management","type":"article-journal","volume":"37"},"uris":["http://www.mendeley.com/documents/?uuid=29953ba5-8d42-4d30-ac07-abb0c00328f1"]}],"mendeley":{"formattedCitation":"(Corsaro, 2019)","manualFormatting":"Corsaro, 2019)","plainTextFormattedCitation":"(Corsaro, 2019)","previouslyFormattedCitation":"(Corsaro,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Corsaro, 2019)</w:t>
      </w:r>
      <w:r w:rsidRPr="009672FC">
        <w:rPr>
          <w:rFonts w:ascii="Garamond" w:hAnsi="Garamond"/>
        </w:rPr>
        <w:fldChar w:fldCharType="end"/>
      </w:r>
      <w:r w:rsidRPr="009672FC">
        <w:rPr>
          <w:rFonts w:ascii="Garamond" w:hAnsi="Garamond"/>
        </w:rPr>
        <w:t>. Value creation practices were observed in the question: how the production of facemask is possible within the alliance of firms:</w:t>
      </w:r>
    </w:p>
    <w:p w14:paraId="25A3CADA" w14:textId="65B713A4" w:rsidR="00890FB2" w:rsidRPr="009672FC" w:rsidRDefault="007549AA" w:rsidP="00890FB2">
      <w:pPr>
        <w:pStyle w:val="ListParagraph"/>
        <w:numPr>
          <w:ilvl w:val="0"/>
          <w:numId w:val="17"/>
        </w:numPr>
        <w:spacing w:line="360" w:lineRule="auto"/>
        <w:jc w:val="both"/>
        <w:rPr>
          <w:rFonts w:ascii="Garamond" w:hAnsi="Garamond" w:cs="Times New Roman"/>
        </w:rPr>
      </w:pPr>
      <w:r w:rsidRPr="009672FC">
        <w:rPr>
          <w:rFonts w:ascii="Garamond" w:hAnsi="Garamond" w:cs="Times New Roman"/>
        </w:rPr>
        <w:t xml:space="preserve">Gamma, although not formally part of the alliance, is the company that deals with the production of rolls of non-woven clothing material size 3,2x1,2 meters in diameter weighing 3 - 4 tons; it only plays </w:t>
      </w:r>
      <w:r w:rsidR="00813D37" w:rsidRPr="009672FC">
        <w:rPr>
          <w:rFonts w:ascii="Garamond" w:hAnsi="Garamond" w:cs="Times New Roman"/>
        </w:rPr>
        <w:t>the</w:t>
      </w:r>
      <w:r w:rsidRPr="009672FC">
        <w:rPr>
          <w:rFonts w:ascii="Garamond" w:hAnsi="Garamond" w:cs="Times New Roman"/>
        </w:rPr>
        <w:t xml:space="preserve"> role of supplier for Alpha.</w:t>
      </w:r>
    </w:p>
    <w:p w14:paraId="40EA504A" w14:textId="77777777" w:rsidR="00890FB2" w:rsidRPr="009672FC" w:rsidRDefault="007549AA" w:rsidP="00890FB2">
      <w:pPr>
        <w:pStyle w:val="ListParagraph"/>
        <w:numPr>
          <w:ilvl w:val="0"/>
          <w:numId w:val="17"/>
        </w:numPr>
        <w:spacing w:before="240" w:line="360" w:lineRule="auto"/>
        <w:jc w:val="both"/>
        <w:rPr>
          <w:rFonts w:ascii="Garamond" w:hAnsi="Garamond" w:cs="Times New Roman"/>
        </w:rPr>
      </w:pPr>
      <w:r w:rsidRPr="009672FC">
        <w:rPr>
          <w:rFonts w:ascii="Garamond" w:hAnsi="Garamond" w:cs="Times New Roman"/>
        </w:rPr>
        <w:t>Alpha takes the raw material and through some functions such as cutting and the rewinding for further processing; moreover, it brings thirty years of experience working with these materials. In fact, it is ready to continue to evolve and improve the quality of its products more and more.</w:t>
      </w:r>
    </w:p>
    <w:p w14:paraId="27E4FFAA" w14:textId="2729033E" w:rsidR="003D5DE8" w:rsidRPr="009672FC" w:rsidRDefault="007549AA" w:rsidP="00890FB2">
      <w:pPr>
        <w:pStyle w:val="ListParagraph"/>
        <w:numPr>
          <w:ilvl w:val="0"/>
          <w:numId w:val="17"/>
        </w:numPr>
        <w:spacing w:before="240" w:line="360" w:lineRule="auto"/>
        <w:jc w:val="both"/>
        <w:rPr>
          <w:rFonts w:ascii="Garamond" w:hAnsi="Garamond" w:cs="Times New Roman"/>
        </w:rPr>
      </w:pPr>
      <w:r w:rsidRPr="009672FC">
        <w:rPr>
          <w:rFonts w:ascii="Garamond" w:hAnsi="Garamond" w:cs="Times New Roman"/>
        </w:rPr>
        <w:t xml:space="preserve">Beta, as we have already seen, had no experience with materials but bought the machinery, as mentioned by the CEO: “we observe the changes in </w:t>
      </w:r>
      <w:r w:rsidR="00813D37" w:rsidRPr="009672FC">
        <w:rPr>
          <w:rFonts w:ascii="Garamond" w:hAnsi="Garamond" w:cs="Times New Roman"/>
        </w:rPr>
        <w:t xml:space="preserve">the </w:t>
      </w:r>
      <w:r w:rsidRPr="009672FC">
        <w:rPr>
          <w:rFonts w:ascii="Garamond" w:hAnsi="Garamond" w:cs="Times New Roman"/>
        </w:rPr>
        <w:t>production flow and the procedures are very important, but it is not always easy to maintain compliance. We have know-how related to production processes and on this</w:t>
      </w:r>
      <w:r w:rsidR="00813D37" w:rsidRPr="009672FC">
        <w:rPr>
          <w:rFonts w:ascii="Garamond" w:hAnsi="Garamond" w:cs="Times New Roman"/>
        </w:rPr>
        <w:t>,</w:t>
      </w:r>
      <w:r w:rsidRPr="009672FC">
        <w:rPr>
          <w:rFonts w:ascii="Garamond" w:hAnsi="Garamond" w:cs="Times New Roman"/>
        </w:rPr>
        <w:t xml:space="preserve"> we are always ready because we </w:t>
      </w:r>
      <w:r w:rsidRPr="009672FC">
        <w:rPr>
          <w:rFonts w:ascii="Garamond" w:hAnsi="Garamond" w:cs="Times New Roman"/>
        </w:rPr>
        <w:lastRenderedPageBreak/>
        <w:t>are born as pure manufacturers.” This makes the company contribute to the alliance not only for the provision of the machinery but also the ability to manage the flows.</w:t>
      </w:r>
    </w:p>
    <w:p w14:paraId="1730EDC2" w14:textId="77777777" w:rsidR="003D5DE8" w:rsidRPr="009672FC" w:rsidRDefault="007549AA" w:rsidP="00890FB2">
      <w:pPr>
        <w:spacing w:before="240" w:line="360" w:lineRule="auto"/>
        <w:jc w:val="both"/>
        <w:rPr>
          <w:rFonts w:ascii="Garamond" w:hAnsi="Garamond"/>
          <w:b/>
          <w:bCs/>
        </w:rPr>
      </w:pPr>
      <w:r w:rsidRPr="009672FC">
        <w:rPr>
          <w:rFonts w:ascii="Garamond" w:hAnsi="Garamond"/>
        </w:rPr>
        <w:t>Based on these relationships, actors enjoy the exchange of three types of resources that are critical to value creation: general resource transfer, core competence exchange, and joint value creation.</w:t>
      </w:r>
    </w:p>
    <w:p w14:paraId="4B1DEC84" w14:textId="216C898B" w:rsidR="003D5DE8" w:rsidRPr="009672FC" w:rsidRDefault="007549AA">
      <w:pPr>
        <w:pStyle w:val="Title"/>
        <w:numPr>
          <w:ilvl w:val="2"/>
          <w:numId w:val="13"/>
        </w:numPr>
        <w:tabs>
          <w:tab w:val="left" w:pos="360"/>
        </w:tabs>
        <w:spacing w:before="240" w:line="360" w:lineRule="auto"/>
        <w:ind w:right="432"/>
        <w:jc w:val="both"/>
        <w:outlineLvl w:val="2"/>
        <w:rPr>
          <w:rFonts w:ascii="Garamond" w:hAnsi="Garamond" w:cs="Times New Roman"/>
          <w:b/>
          <w:bCs/>
          <w:i/>
          <w:iCs/>
          <w:sz w:val="24"/>
          <w:szCs w:val="24"/>
        </w:rPr>
      </w:pPr>
      <w:bookmarkStart w:id="248" w:name="_Toc85708782"/>
      <w:bookmarkStart w:id="249" w:name="_Toc85709796"/>
      <w:r w:rsidRPr="009672FC">
        <w:rPr>
          <w:rFonts w:ascii="Garamond" w:hAnsi="Garamond" w:cs="Times New Roman"/>
          <w:b/>
          <w:bCs/>
          <w:i/>
          <w:iCs/>
          <w:sz w:val="24"/>
          <w:szCs w:val="24"/>
        </w:rPr>
        <w:t>The Process of Value Balance in Cause-Based SE Network</w:t>
      </w:r>
      <w:bookmarkEnd w:id="248"/>
      <w:bookmarkEnd w:id="249"/>
    </w:p>
    <w:p w14:paraId="560750E7" w14:textId="6B6E1AD7" w:rsidR="003D5DE8" w:rsidRPr="009672FC" w:rsidRDefault="007549AA">
      <w:pPr>
        <w:tabs>
          <w:tab w:val="left" w:pos="360"/>
        </w:tabs>
        <w:spacing w:line="360" w:lineRule="auto"/>
        <w:ind w:right="-18"/>
        <w:jc w:val="both"/>
        <w:rPr>
          <w:rFonts w:ascii="Garamond" w:hAnsi="Garamond"/>
        </w:rPr>
      </w:pPr>
      <w:r w:rsidRPr="009672FC">
        <w:rPr>
          <w:rFonts w:ascii="Garamond" w:hAnsi="Garamond"/>
        </w:rPr>
        <w:t>Just like any other form of alliances, actors seeking to advance mutual commitment to the social cause must create a system that promotes fairness and distributive justice. For instance, v</w:t>
      </w:r>
      <w:r w:rsidRPr="009672FC">
        <w:rPr>
          <w:rFonts w:ascii="Garamond" w:hAnsi="Garamond"/>
          <w:i/>
          <w:iCs/>
        </w:rPr>
        <w:t xml:space="preserve">alue balance </w:t>
      </w:r>
      <w:r w:rsidRPr="009672FC">
        <w:rPr>
          <w:rFonts w:ascii="Garamond" w:hAnsi="Garamond"/>
        </w:rPr>
        <w:t xml:space="preserve">in a collaborative relationship is based on a stronger and enduring balanced exchange of value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2000a)","plainTextFormattedCitation":"(J.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2000a)</w:t>
      </w:r>
      <w:r w:rsidRPr="009672FC">
        <w:rPr>
          <w:rFonts w:ascii="Garamond" w:hAnsi="Garamond"/>
        </w:rPr>
        <w:fldChar w:fldCharType="end"/>
      </w:r>
      <w:r w:rsidRPr="009672FC">
        <w:rPr>
          <w:rFonts w:ascii="Garamond" w:hAnsi="Garamond"/>
        </w:rPr>
        <w:t xml:space="preserve">, where actors develop more equitable working relations and high reciprocal relationships and interaction. Our data suggest the presence of value balance between actors, as lamented by the CEO of Beta“…from the very beginning, we have agreed that the returns from this investment shall be split equally between the two protagonist companies, 50/50, noting this is the only way we feel the best solution can be achieved, and the costs related to production, trading, and waste are shared equally by the two companies.” </w:t>
      </w:r>
    </w:p>
    <w:p w14:paraId="76BDD95F" w14:textId="77777777" w:rsidR="00890FB2" w:rsidRPr="009672FC" w:rsidRDefault="007549AA" w:rsidP="00890FB2">
      <w:pPr>
        <w:tabs>
          <w:tab w:val="left" w:pos="360"/>
        </w:tabs>
        <w:spacing w:before="240" w:line="360" w:lineRule="auto"/>
        <w:ind w:right="-18"/>
        <w:jc w:val="both"/>
        <w:rPr>
          <w:rFonts w:ascii="Garamond" w:hAnsi="Garamond"/>
        </w:rPr>
      </w:pPr>
      <w:r w:rsidRPr="009672FC">
        <w:rPr>
          <w:rFonts w:ascii="Garamond" w:hAnsi="Garamond"/>
        </w:rPr>
        <w:t xml:space="preserve">Moreover, other actors in the alliance were duly rewarded for each service rendered, for example, Alpha is fully paid for the commercial services involving certification, and sales of machinery. Also, an accounting system, using a more transparent excel sheet, which was made available through a </w:t>
      </w:r>
      <w:r w:rsidRPr="009672FC">
        <w:rPr>
          <w:rFonts w:ascii="Garamond" w:hAnsi="Garamond"/>
          <w:i/>
          <w:iCs/>
        </w:rPr>
        <w:t xml:space="preserve">OneDrive </w:t>
      </w:r>
      <w:r w:rsidRPr="009672FC">
        <w:rPr>
          <w:rFonts w:ascii="Garamond" w:hAnsi="Garamond"/>
        </w:rPr>
        <w:t>online, was developed to record all the costs of the investments for adequate value appropriation, according to the alliance document. By this system, actors could see each item and its associated expenditure and revenue in real-time. This implies that actors are committed to fostering value appropriation, a practice that promotes mutual trust and reduced opportunism (</w:t>
      </w:r>
      <w:r w:rsidRPr="009672FC">
        <w:rPr>
          <w:rFonts w:ascii="Garamond" w:hAnsi="Garamond"/>
        </w:rPr>
        <w:fldChar w:fldCharType="begin" w:fldLock="1"/>
      </w:r>
      <w:r w:rsidRPr="009672FC">
        <w:rPr>
          <w:rFonts w:ascii="Garamond" w:hAnsi="Garamond"/>
        </w:rPr>
        <w:instrText>ADDIN CSL_CITATION {"citationItems":[{"id":"ITEM-1","itemData":{"DOI":"10.1016/j.emj.2018.07.007","ISSN":"02632373","abstract":"The interactional, interdependent, and dynamic nature of value co-creation has made value management in business relationships a particularly challenging issue for both academicians and practitioners. In addition, studies on this topic have mostly focused on managing value co-creation in isolation from the wider relational context without completely capturing the influence of other value processes on value co-creation. This paper examines the broader picture of value co-creation management by providing a model based on interlinked value processes, namely, value communication, value appropriation, value measurement, and value representation. We adopted a qualitative approach based on 86 interviews with managers of both customer and supplier companies, which operated in different industries. Results showed that the management of value co-creation implies considering complex patterns of interconnections with other value processes. In particular, the study will shed light on the centrality of value appropriation to co-create value and on the importance of value representation to coordinate ideas and enable future co-creation opportunities.","author":[{"dropping-particle":"","family":"Corsaro","given":"Daniela","non-dropping-particle":"","parse-names":false,"suffix":""}],"container-title":"European Management Journal","id":"ITEM-1","issue":"1","issued":{"date-parts":[["2019"]]},"page":"99-116","publisher":"Elsevier Ltd","title":"Capturing the broader picture of value co-creation management","type":"article-journal","volume":"37"},"uris":["http://www.mendeley.com/documents/?uuid=29953ba5-8d42-4d30-ac07-abb0c00328f1"]}],"mendeley":{"formattedCitation":"(Corsaro, 2019)","manualFormatting":"Corsaro, 2019)","plainTextFormattedCitation":"(Corsaro, 2019)","previouslyFormattedCitation":"(Corsaro,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Corsaro, 2019)</w:t>
      </w:r>
      <w:r w:rsidRPr="009672FC">
        <w:rPr>
          <w:rFonts w:ascii="Garamond" w:hAnsi="Garamond"/>
        </w:rPr>
        <w:fldChar w:fldCharType="end"/>
      </w:r>
      <w:r w:rsidRPr="009672FC">
        <w:rPr>
          <w:rFonts w:ascii="Garamond" w:hAnsi="Garamond"/>
        </w:rPr>
        <w:t xml:space="preserve">. </w:t>
      </w:r>
    </w:p>
    <w:p w14:paraId="2C01EB11" w14:textId="5C990E13" w:rsidR="003D5DE8" w:rsidRPr="009672FC" w:rsidRDefault="007549AA" w:rsidP="00890FB2">
      <w:pPr>
        <w:tabs>
          <w:tab w:val="left" w:pos="360"/>
        </w:tabs>
        <w:spacing w:before="240" w:line="360" w:lineRule="auto"/>
        <w:ind w:right="-18"/>
        <w:jc w:val="both"/>
        <w:rPr>
          <w:rFonts w:ascii="Garamond" w:hAnsi="Garamond"/>
        </w:rPr>
      </w:pPr>
      <w:r w:rsidRPr="009672FC">
        <w:rPr>
          <w:rFonts w:ascii="Garamond" w:hAnsi="Garamond"/>
        </w:rPr>
        <w:t>As the partnership emerges, the value appropriation systems have the potential to reduce a situation of tension between the partners due to misalignment of objectives (</w:t>
      </w:r>
      <w:r w:rsidRPr="009672FC">
        <w:rPr>
          <w:rFonts w:ascii="Garamond" w:hAnsi="Garamond"/>
        </w:rPr>
        <w:fldChar w:fldCharType="begin" w:fldLock="1"/>
      </w:r>
      <w:r w:rsidRPr="009672FC">
        <w:rPr>
          <w:rFonts w:ascii="Garamond" w:hAnsi="Garamond"/>
        </w:rPr>
        <w:instrText>ADDIN CSL_CITATION {"citationItems":[{"id":"ITEM-1","itemData":{"DOI":"10.1016/j.jbusres.2010.01.004","ISSN":"01482963","abstract":"Business relationships provide means for creating and appropriating superior value in the marketplace. To date, research pertains almost exclusively to the value after relationship creation and sharing among exchange partners. Consequently, the interaction between value creation and value appropriation remains relatively unknown in collaborative relationships. Drawing on equity theory, this study proposes a conceptual model that positions value creation and value appropriation as focal variables within the nomological net of business relationships. Data collected from industrial customer-supplier projects reveal that value appropriation is the strongest driver of project satisfaction. Customer firms perceive value creation as positive only if they appropriate a larger slice of the bigger value pie. Information exchange moderates customer firms' evaluations of value creation and appropriation efforts. In contrast to the highly competitive nature at the project level, embedding the supplier project in an ongoing sourcing relationship reveals cooperative elements in the customer-supplier interaction. Greater relational satisfaction favors less aggressive value appropriation efforts. These insights help bridge the gap between managerial metrics that focus on successful value appropriation and academic models that attend to variables that capture the quality of ongoing relationships. © 2010 Elsevier Inc.","author":[{"dropping-particle":"","family":"Wagner","given":"Stephan M.","non-dropping-particle":"","parse-names":false,"suffix":""},{"dropping-particle":"","family":"Eggert","given":"Andreas","non-dropping-particle":"","parse-names":false,"suffix":""},{"dropping-particle":"","family":"Lindemann","given":"Eckhard","non-dropping-particle":"","parse-names":false,"suffix":""}],"container-title":"Journal of Business Research","id":"ITEM-1","issue":"8","issued":{"date-parts":[["2010"]]},"page":"840-848","publisher":"Elsevier Inc.","title":"Creating and appropriating value in collaborative relationships","type":"article-journal","volume":"63"},"uris":["http://www.mendeley.com/documents/?uuid=f50357c6-9bf9-437c-9b35-57517b5cd34c"]}],"mendeley":{"formattedCitation":"(Wagner et al., 2010)","manualFormatting":"Wagner et al., 2010)","plainTextFormattedCitation":"(Wagner et al., 2010)","previouslyFormattedCitation":"(Wagner et al.,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Wagner et al., 2010)</w:t>
      </w:r>
      <w:r w:rsidRPr="009672FC">
        <w:rPr>
          <w:rFonts w:ascii="Garamond" w:hAnsi="Garamond"/>
        </w:rPr>
        <w:fldChar w:fldCharType="end"/>
      </w:r>
      <w:r w:rsidRPr="009672FC">
        <w:rPr>
          <w:rFonts w:ascii="Garamond" w:hAnsi="Garamond"/>
        </w:rPr>
        <w:t xml:space="preserve">, and the ideal decisions taken in the management of revenues and the relative breakdown. These outcomes promote knowledge exchange through dialogue, and joint problem-solving </w:t>
      </w:r>
      <w:r w:rsidRPr="009672FC">
        <w:rPr>
          <w:rFonts w:ascii="Garamond" w:hAnsi="Garamond"/>
        </w:rPr>
        <w:fldChar w:fldCharType="begin" w:fldLock="1"/>
      </w:r>
      <w:r w:rsidRPr="009672FC">
        <w:rPr>
          <w:rFonts w:ascii="Garamond" w:hAnsi="Garamond"/>
        </w:rPr>
        <w:instrText>ADDIN CSL_CITATION {"citationItems":[{"id":"ITEM-1","itemData":{"DOI":"10.1111/jsbm.12432","ISSN":"1540627X","abstract":"This paper proposes a new theory called Humane Entrepreneurship (HumEnt) and identifies areas for future development of knowledge. The new theory integrates in the Entrepreneurial Strategic Posture (ESP) three different concepts: Entrepreneurial Orientation, Sustainable Orientation, and Humane Resource Orientation. From this perspective, HumEnt theory can be considered an extension of previous research but with a new model for consideration. The components of the HumEnt theory and their relationships are outlined in an initial panel of propositions. HumEnt theory can help address the challenges present in creating a more sustainable world. Finally, a research agenda and questions are presented for future consideration.","author":[{"dropping-particle":"","family":"Parente","given":"Roberto","non-dropping-particle":"","parse-names":false,"suffix":""},{"dropping-particle":"","family":"ElTarabishy","given":"Ayman","non-dropping-particle":"","parse-names":false,"suffix":""},{"dropping-particle":"","family":"Vesci","given":"Massimiliano","non-dropping-particle":"","parse-names":false,"suffix":""},{"dropping-particle":"","family":"Botti","given":"Antonio","non-dropping-particle":"","parse-names":false,"suffix":""}],"container-title":"Journal of Small Business Management","id":"ITEM-1","issued":{"date-parts":[["2018"]]},"page":"30-52","title":"The Epistemology of Humane Entrepreneurship: Theory and Proposal for Future Research Agenda","type":"article-journal","volume":"56"},"uris":["http://www.mendeley.com/documents/?uuid=5a2f5e66-74db-41e2-83db-e66f4713eb91"]}],"mendeley":{"formattedCitation":"(Parente et al., 2018)","plainTextFormattedCitation":"(Parente et al., 2018)","previouslyFormattedCitation":"(Parente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(Parente et al., 2018)</w:t>
      </w:r>
      <w:r w:rsidRPr="009672FC">
        <w:rPr>
          <w:rFonts w:ascii="Garamond" w:hAnsi="Garamond"/>
        </w:rPr>
        <w:fldChar w:fldCharType="end"/>
      </w:r>
      <w:r w:rsidRPr="009672FC">
        <w:rPr>
          <w:rFonts w:ascii="Garamond" w:hAnsi="Garamond"/>
        </w:rPr>
        <w:t>. The absence of these mechanisms may be a source of inter-firm conflict and even dissolution of the relationship.</w:t>
      </w:r>
    </w:p>
    <w:p w14:paraId="60A3C5C3" w14:textId="0657E4D0" w:rsidR="003D5DE8" w:rsidRPr="009672FC" w:rsidRDefault="007549AA">
      <w:pPr>
        <w:pStyle w:val="Title"/>
        <w:numPr>
          <w:ilvl w:val="2"/>
          <w:numId w:val="13"/>
        </w:numPr>
        <w:tabs>
          <w:tab w:val="left" w:pos="360"/>
        </w:tabs>
        <w:spacing w:before="240" w:line="360" w:lineRule="auto"/>
        <w:ind w:right="-18"/>
        <w:jc w:val="both"/>
        <w:outlineLvl w:val="2"/>
        <w:rPr>
          <w:rFonts w:ascii="Garamond" w:hAnsi="Garamond" w:cs="Times New Roman"/>
          <w:b/>
          <w:bCs/>
          <w:sz w:val="24"/>
          <w:szCs w:val="24"/>
        </w:rPr>
      </w:pPr>
      <w:bookmarkStart w:id="250" w:name="_Toc85708783"/>
      <w:bookmarkStart w:id="251" w:name="_Toc85709797"/>
      <w:r w:rsidRPr="009672FC">
        <w:rPr>
          <w:rFonts w:ascii="Garamond" w:hAnsi="Garamond" w:cs="Times New Roman"/>
          <w:b/>
          <w:bCs/>
          <w:i/>
          <w:iCs/>
          <w:sz w:val="24"/>
          <w:szCs w:val="24"/>
        </w:rPr>
        <w:lastRenderedPageBreak/>
        <w:t>The Process of Value Renewal in Cause-Based SE Network</w:t>
      </w:r>
      <w:bookmarkEnd w:id="250"/>
      <w:bookmarkEnd w:id="251"/>
    </w:p>
    <w:p w14:paraId="05E6BAD6" w14:textId="7A08A895" w:rsidR="003D5DE8" w:rsidRPr="009672FC" w:rsidRDefault="007549AA">
      <w:pPr>
        <w:tabs>
          <w:tab w:val="left" w:pos="360"/>
        </w:tabs>
        <w:spacing w:line="360" w:lineRule="auto"/>
        <w:ind w:right="-18"/>
        <w:jc w:val="both"/>
        <w:rPr>
          <w:rFonts w:ascii="Garamond" w:hAnsi="Garamond"/>
        </w:rPr>
      </w:pPr>
      <w:r w:rsidRPr="009672FC">
        <w:rPr>
          <w:rFonts w:ascii="Garamond" w:hAnsi="Garamond"/>
        </w:rPr>
        <w:t xml:space="preserve">As the relationships evolve, expectations and priorities of partners shift, requiring partners to re-evaluate to either renew or terminate the relationship. After the implementation of the alliance outcome, partners evaluate the value of their relationship. In the current case, the CEO of Beta gave </w:t>
      </w:r>
      <w:proofErr w:type="spellStart"/>
      <w:r w:rsidRPr="009672FC">
        <w:rPr>
          <w:rFonts w:ascii="Garamond" w:hAnsi="Garamond"/>
        </w:rPr>
        <w:t>favourable</w:t>
      </w:r>
      <w:proofErr w:type="spellEnd"/>
      <w:r w:rsidRPr="009672FC">
        <w:rPr>
          <w:rFonts w:ascii="Garamond" w:hAnsi="Garamond"/>
        </w:rPr>
        <w:t xml:space="preserve"> feedback on the relationship created, adding that “It is the first time that we have made a true partnership with a company other than a purchase, sale, contract. If the relationship continues to be this stable and the objectives are realized, I would like to do it again in other sectors preferably when there is considerable time to plan to make a real analysis of how it operates, how it could go or what we could do differently.” The significance of the value renewal option makes the partners commit time, resources, and efforts towards the alliance objectives. For instance, the owner of Alpha asserts that “We will go forward in any case because we have a group behind us, such as Gamma, whose partnership enables us to go forward in a different direction by creating, optimizing and diversifying our productions to four different production lines… " Moreover, </w:t>
      </w:r>
      <w:r w:rsidR="00813D37" w:rsidRPr="009672FC">
        <w:rPr>
          <w:rFonts w:ascii="Garamond" w:hAnsi="Garamond"/>
        </w:rPr>
        <w:t xml:space="preserve">the </w:t>
      </w:r>
      <w:r w:rsidRPr="009672FC">
        <w:rPr>
          <w:rFonts w:ascii="Garamond" w:hAnsi="Garamond"/>
        </w:rPr>
        <w:t>commercial director of the Gamma, adds that, “…sure we will be interested in renewing our partnership contract especially when the alternatives are similar, efficient, fast, so much so that we can select a choice that is more practical.”</w:t>
      </w:r>
      <w:r w:rsidRPr="009672FC">
        <w:rPr>
          <w:rFonts w:ascii="Garamond" w:hAnsi="Garamond"/>
          <w:i/>
          <w:iCs/>
        </w:rPr>
        <w:t xml:space="preserve"> </w:t>
      </w:r>
      <w:r w:rsidRPr="009672FC">
        <w:rPr>
          <w:rFonts w:ascii="Garamond" w:hAnsi="Garamond"/>
        </w:rPr>
        <w:t xml:space="preserve">These comments provoke the suggestion that when the partnership exhibits complacency - where actors stop the search for new opportunities, additional value-generating activities, and revenue streams from the investments, would likely influence actors’ commitment to renew the relationship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2000a)","plainTextFormattedCitation":"(J.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2000a)</w:t>
      </w:r>
      <w:r w:rsidRPr="009672FC">
        <w:rPr>
          <w:rFonts w:ascii="Garamond" w:hAnsi="Garamond"/>
        </w:rPr>
        <w:fldChar w:fldCharType="end"/>
      </w:r>
      <w:r w:rsidRPr="009672FC">
        <w:rPr>
          <w:rFonts w:ascii="Garamond" w:hAnsi="Garamond"/>
        </w:rPr>
        <w:t xml:space="preserve"> as suggested above.</w:t>
      </w:r>
    </w:p>
    <w:p w14:paraId="7F9A53EB" w14:textId="39384D59" w:rsidR="003D5DE8" w:rsidRPr="009672FC" w:rsidRDefault="007549AA" w:rsidP="00890FB2">
      <w:pPr>
        <w:tabs>
          <w:tab w:val="left" w:pos="360"/>
        </w:tabs>
        <w:spacing w:before="240" w:line="360" w:lineRule="auto"/>
        <w:ind w:right="-18"/>
        <w:jc w:val="both"/>
        <w:rPr>
          <w:rFonts w:ascii="Garamond" w:hAnsi="Garamond"/>
        </w:rPr>
      </w:pPr>
      <w:r w:rsidRPr="009672FC">
        <w:rPr>
          <w:rFonts w:ascii="Garamond" w:hAnsi="Garamond"/>
        </w:rPr>
        <w:t xml:space="preserve">The respondents all report the absence of major tension/conflict during the formation and implementation phases of the project. As reported by all the respondents, lack of conflict at this stage, and the frequent interaction embraced by this partnership, promote trust and thus strengthen future alliance constellation. This finding corroborates the study of </w:t>
      </w:r>
      <w:r w:rsidRPr="009672FC">
        <w:rPr>
          <w:rFonts w:ascii="Garamond" w:hAnsi="Garamond"/>
        </w:rPr>
        <w:fldChar w:fldCharType="begin" w:fldLock="1"/>
      </w:r>
      <w:r w:rsidRPr="009672FC">
        <w:rPr>
          <w:rFonts w:ascii="Garamond" w:hAnsi="Garamond"/>
        </w:rPr>
        <w:instrText>ADDIN CSL_CITATION {"citationItems":[{"id":"ITEM-1","itemData":{"DOI":"10.1080/26437015.2020.1779538","ISSN":"2643-7015","abstract":"The upheaval caused by the spread of COVID-19 is having a devastating effect on small businesses. A review of the data on COVID-19’s impact on micro-, small, and medium-sized enterprises suggests t...","author":[{"dropping-particle":"","family":"Liguori","given":"Eric W.","non-dropping-particle":"","parse-names":false,"suffix":""},{"dropping-particle":"","family":"Pittz","given":"Thomas G.","non-dropping-particle":"","parse-names":false,"suffix":""}],"container-title":"Journal of the International Council for Small Business","id":"ITEM-1","issue":"2","issued":{"date-parts":[["2020"]]},"page":"106-110","title":"Strategies for small business: Surviving and thriving in the era of COVID-19","type":"article-journal","volume":"1"},"uris":["http://www.mendeley.com/documents/?uuid=273d8c32-ec40-4e72-9f97-cbcd0cac5f38"]}],"mendeley":{"formattedCitation":"(Liguori &amp; Pittz, 2020)","manualFormatting":"Liguori &amp; Pittz (2020)","plainTextFormattedCitation":"(Liguori &amp; Pittz, 2020)","previouslyFormattedCitation":"(Liguori &amp; Pittz, 2020)"},"properties":{"noteIndex":0},"schema":"https://github.com/citation-style-language/schema/raw/master/csl-citation.json"}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Liguori &amp; Pittz (2020)</w:t>
      </w:r>
      <w:r w:rsidRPr="009672FC">
        <w:rPr>
          <w:rFonts w:ascii="Garamond" w:hAnsi="Garamond"/>
        </w:rPr>
        <w:fldChar w:fldCharType="end"/>
      </w:r>
      <w:r w:rsidRPr="009672FC">
        <w:rPr>
          <w:rFonts w:ascii="Garamond" w:hAnsi="Garamond"/>
        </w:rPr>
        <w:t xml:space="preserve">. For instance, the CEO of Beta noted that: </w:t>
      </w:r>
      <w:r w:rsidRPr="009672FC">
        <w:rPr>
          <w:rFonts w:ascii="Garamond" w:hAnsi="Garamond"/>
          <w:i/>
          <w:iCs/>
        </w:rPr>
        <w:t xml:space="preserve">“Yes, I want to renew this contract, maybe even with something different. If in some time an evaluation of the progress is </w:t>
      </w:r>
      <w:proofErr w:type="spellStart"/>
      <w:r w:rsidRPr="009672FC">
        <w:rPr>
          <w:rFonts w:ascii="Garamond" w:hAnsi="Garamond"/>
          <w:i/>
          <w:iCs/>
        </w:rPr>
        <w:t>favourable</w:t>
      </w:r>
      <w:proofErr w:type="spellEnd"/>
      <w:r w:rsidRPr="009672FC">
        <w:rPr>
          <w:rFonts w:ascii="Garamond" w:hAnsi="Garamond"/>
          <w:i/>
          <w:iCs/>
        </w:rPr>
        <w:t xml:space="preserve"> to us, it means that everything will be fine otherwise, if I will do it separately, only when something went wrong.” </w:t>
      </w:r>
      <w:r w:rsidRPr="009672FC">
        <w:rPr>
          <w:rFonts w:ascii="Garamond" w:hAnsi="Garamond"/>
        </w:rPr>
        <w:t xml:space="preserve">Further, the Head of Alpha company suggested that </w:t>
      </w:r>
      <w:r w:rsidRPr="009672FC">
        <w:rPr>
          <w:rFonts w:ascii="Garamond" w:hAnsi="Garamond"/>
          <w:i/>
          <w:iCs/>
        </w:rPr>
        <w:t>“Our suppliers are so large that they have been very busy in the production of non-woven fabric, but not so much for the masks…They were all happy with the alliance, that none of them thought they would lose their jobs due to the Covid-19 crisis…”</w:t>
      </w:r>
      <w:r w:rsidRPr="009672FC">
        <w:rPr>
          <w:rFonts w:ascii="Garamond" w:hAnsi="Garamond"/>
        </w:rPr>
        <w:t xml:space="preserve"> At the level of the stakeholders such as employees at Alpha, expressed high satisfaction, simply because the employees found the cause as vital to society </w:t>
      </w:r>
      <w:r w:rsidRPr="009672FC">
        <w:rPr>
          <w:rFonts w:ascii="Garamond" w:hAnsi="Garamond"/>
        </w:rPr>
        <w:lastRenderedPageBreak/>
        <w:t xml:space="preserve">and their participation in this project offered them employment at the time when the Law on COVID-19 crisis, has forced the country’s workforce to “stay-at-home”, and observe “social distancing” as asserted by the CEO. He adds that employees demonstrate high commitment and satisfaction to this project, despite all the difficulty at the time of the pandemic. These findings signal stakeholder commitment to the alliance objective, however, with the expectation that the alliance continues to address the social cause while optimizing the economic gains of the investors </w:t>
      </w:r>
      <w:r w:rsidRPr="009672FC">
        <w:rPr>
          <w:rFonts w:ascii="Garamond" w:hAnsi="Garamond"/>
        </w:rPr>
        <w:fldChar w:fldCharType="begin" w:fldLock="1"/>
      </w:r>
      <w:r w:rsidRPr="009672FC">
        <w:rPr>
          <w:rFonts w:ascii="Garamond" w:hAnsi="Garamond"/>
        </w:rPr>
        <w:instrText>ADDIN CSL_CITATION {"citationItems":[{"id":"ITEM-1","itemData":{"DOI":"10.1111/jsbm.12432","ISSN":"1540627X","abstract":"This paper proposes a new theory called Humane Entrepreneurship (HumEnt) and identifies areas for future development of knowledge. The new theory integrates in the Entrepreneurial Strategic Posture (ESP) three different concepts: Entrepreneurial Orientation, Sustainable Orientation, and Humane Resource Orientation. From this perspective, HumEnt theory can be considered an extension of previous research but with a new model for consideration. The components of the HumEnt theory and their relationships are outlined in an initial panel of propositions. HumEnt theory can help address the challenges present in creating a more sustainable world. Finally, a research agenda and questions are presented for future consideration.","author":[{"dropping-particle":"","family":"Parente","given":"Roberto","non-dropping-particle":"","parse-names":false,"suffix":""},{"dropping-particle":"","family":"ElTarabishy","given":"Ayman","non-dropping-particle":"","parse-names":false,"suffix":""},{"dropping-particle":"","family":"Vesci","given":"Massimiliano","non-dropping-particle":"","parse-names":false,"suffix":""},{"dropping-particle":"","family":"Botti","given":"Antonio","non-dropping-particle":"","parse-names":false,"suffix":""}],"container-title":"Journal of Small Business Management","id":"ITEM-1","issued":{"date-parts":[["2018"]]},"page":"30-52","title":"The Epistemology of Humane Entrepreneurship: Theory and Proposal for Future Research Agenda","type":"article-journal","volume":"56"},"uris":["http://www.mendeley.com/documents/?uuid=5a2f5e66-74db-41e2-83db-e66f4713eb91"]}],"mendeley":{"formattedCitation":"(Parente et al., 2018)","plainTextFormattedCitation":"(Parente et al., 2018)","previouslyFormattedCitation":"(Parente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(Parente et al., 2018)</w:t>
      </w:r>
      <w:r w:rsidRPr="009672FC">
        <w:rPr>
          <w:rFonts w:ascii="Garamond" w:hAnsi="Garamond"/>
        </w:rPr>
        <w:fldChar w:fldCharType="end"/>
      </w:r>
      <w:r w:rsidRPr="009672FC">
        <w:rPr>
          <w:rFonts w:ascii="Garamond" w:hAnsi="Garamond"/>
        </w:rPr>
        <w:t>.</w:t>
      </w:r>
    </w:p>
    <w:p w14:paraId="5E9256B4" w14:textId="272BB37D" w:rsidR="003D5DE8" w:rsidRPr="009672FC" w:rsidRDefault="007549AA" w:rsidP="00890FB2">
      <w:pPr>
        <w:pStyle w:val="Title"/>
        <w:numPr>
          <w:ilvl w:val="2"/>
          <w:numId w:val="13"/>
        </w:numPr>
        <w:tabs>
          <w:tab w:val="left" w:pos="360"/>
        </w:tabs>
        <w:spacing w:before="240" w:line="360" w:lineRule="auto"/>
        <w:ind w:right="-18"/>
        <w:jc w:val="both"/>
        <w:outlineLvl w:val="2"/>
        <w:rPr>
          <w:rFonts w:ascii="Garamond" w:hAnsi="Garamond" w:cs="Times New Roman"/>
          <w:b/>
          <w:bCs/>
          <w:i/>
          <w:iCs/>
          <w:sz w:val="24"/>
          <w:szCs w:val="24"/>
        </w:rPr>
      </w:pPr>
      <w:bookmarkStart w:id="252" w:name="_Toc85708784"/>
      <w:bookmarkStart w:id="253" w:name="_Toc85709798"/>
      <w:r w:rsidRPr="009672FC">
        <w:rPr>
          <w:rFonts w:ascii="Garamond" w:hAnsi="Garamond" w:cs="Times New Roman"/>
          <w:b/>
          <w:bCs/>
          <w:i/>
          <w:iCs/>
          <w:sz w:val="24"/>
          <w:szCs w:val="24"/>
        </w:rPr>
        <w:t>The Challenges Confronting Cause-Based SE Network</w:t>
      </w:r>
      <w:bookmarkEnd w:id="252"/>
      <w:bookmarkEnd w:id="253"/>
    </w:p>
    <w:p w14:paraId="2451C436" w14:textId="6D203298" w:rsidR="00890FB2" w:rsidRPr="009672FC" w:rsidRDefault="007549AA" w:rsidP="00890FB2">
      <w:pPr>
        <w:pStyle w:val="MDPI71FootNotes"/>
        <w:numPr>
          <w:ilvl w:val="0"/>
          <w:numId w:val="0"/>
        </w:numPr>
        <w:spacing w:line="360" w:lineRule="auto"/>
        <w:rPr>
          <w:rFonts w:ascii="Garamond" w:hAnsi="Garamond"/>
          <w:sz w:val="24"/>
          <w:szCs w:val="24"/>
        </w:rPr>
      </w:pPr>
      <w:r w:rsidRPr="009672FC">
        <w:rPr>
          <w:rFonts w:ascii="Garamond" w:hAnsi="Garamond"/>
          <w:sz w:val="24"/>
          <w:szCs w:val="24"/>
        </w:rPr>
        <w:t xml:space="preserve">Due to the traditional idiosyncrasies associated with each network company, these companies emerge from diverse industries, and markets, and thus, the alliance exhibits several challenges. First, because the primary driver of the alliance was a prosocial motivation, rather than a commercial one, the search for the right partner was a challenge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{"citationItems":[{"id":"ITEM-1","itemData":{"DOI":"10.1111/jsbm.12432","ISSN":"1540627X","abstract":"This paper proposes a new theory called Humane Entrepreneurship (HumEnt) and identifies areas for future development of knowledge. The new theory integrates in the Entrepreneurial Strategic Posture (ESP) three different concepts: Entrepreneurial Orientation, Sustainable Orientation, and Humane Resource Orientation. From this perspective, HumEnt theory can be considered an extension of previous research but with a new model for consideration. The components of the HumEnt theory and their relationships are outlined in an initial panel of propositions. HumEnt theory can help address the challenges present in creating a more sustainable world. Finally, a research agenda and questions are presented for future consideration.","author":[{"dropping-particle":"","family":"Parente","given":"Roberto","non-dropping-particle":"","parse-names":false,"suffix":""},{"dropping-particle":"","family":"ElTarabishy","given":"Ayman","non-dropping-particle":"","parse-names":false,"suffix":""},{"dropping-particle":"","family":"Vesci","given":"Massimiliano","non-dropping-particle":"","parse-names":false,"suffix":""},{"dropping-particle":"","family":"Botti","given":"Antonio","non-dropping-particle":"","parse-names":false,"suffix":""}],"container-title":"Journal of Small Business Management","id":"ITEM-1","issued":{"date-parts":[["2018"]]},"page":"30-52","title":"The Epistemology of Humane Entrepreneurship: Theory and Proposal for Future Research Agenda","type":"article-journal","volume":"56"},"uris":["http://www.mendeley.com/documents/?uuid=5a2f5e66-74db-41e2-83db-e66f4713eb91"]}],"mendeley":{"formattedCitation":"(Parente et al., 2018)","plainTextFormattedCitation":"(Parente et al., 2018)","previouslyFormattedCitation":"(Parente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(Parente et al., 2018)</w:t>
      </w:r>
      <w:r w:rsidRPr="009672FC">
        <w:rPr>
          <w:rFonts w:ascii="Garamond" w:hAnsi="Garamond"/>
          <w:sz w:val="24"/>
          <w:szCs w:val="24"/>
        </w:rPr>
        <w:fldChar w:fldCharType="end"/>
      </w:r>
      <w:r w:rsidRPr="009672FC">
        <w:rPr>
          <w:rFonts w:ascii="Garamond" w:hAnsi="Garamond"/>
          <w:sz w:val="24"/>
          <w:szCs w:val="24"/>
        </w:rPr>
        <w:t>. For instance, the owner of Alpha argues that “finding the right partner was difficult since none of the firms specialize</w:t>
      </w:r>
      <w:r w:rsidR="00813D37" w:rsidRPr="009672FC">
        <w:rPr>
          <w:rFonts w:ascii="Garamond" w:hAnsi="Garamond"/>
          <w:sz w:val="24"/>
          <w:szCs w:val="24"/>
        </w:rPr>
        <w:t>s</w:t>
      </w:r>
      <w:r w:rsidRPr="009672FC">
        <w:rPr>
          <w:rFonts w:ascii="Garamond" w:hAnsi="Garamond"/>
          <w:sz w:val="24"/>
          <w:szCs w:val="24"/>
        </w:rPr>
        <w:t xml:space="preserve"> in the supply of face mask, and importantly for social cause…” adding that at the time, the COVID-19 situation puts intense pressure on time and resources. </w:t>
      </w:r>
    </w:p>
    <w:p w14:paraId="0214874F" w14:textId="77777777" w:rsidR="00890FB2" w:rsidRPr="009672FC" w:rsidRDefault="007549AA" w:rsidP="00890FB2">
      <w:pPr>
        <w:pStyle w:val="MDPI71FootNotes"/>
        <w:numPr>
          <w:ilvl w:val="0"/>
          <w:numId w:val="0"/>
        </w:numPr>
        <w:spacing w:before="240" w:line="360" w:lineRule="auto"/>
        <w:rPr>
          <w:rFonts w:ascii="Garamond" w:hAnsi="Garamond"/>
          <w:sz w:val="24"/>
          <w:szCs w:val="24"/>
        </w:rPr>
      </w:pPr>
      <w:r w:rsidRPr="009672FC">
        <w:rPr>
          <w:rFonts w:ascii="Garamond" w:hAnsi="Garamond"/>
          <w:sz w:val="24"/>
          <w:szCs w:val="24"/>
        </w:rPr>
        <w:t xml:space="preserve">Second, since the four network companies are drawn from varying markets and sectors, these firms operate on different institutional logics, systems, and operational guidelines. The integration of these institutional logics in line with the common, network-based system is fundamental to the common network performance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{"citationItems":[{"id":"ITEM-1","itemData":{"DOI":"10.1108/14626000710773529","ISSN":"14626004","abstract":"Purpose - The purpose of this paper is to address the emerging practice of social entrepreneurship by exploring the historical and theoretical antecedents of social enterprise and its contemporary practice. By exploring key theoretical concepts, the paper draws comparisons between \"for-profit\" and social entrepreneurs. The paper seeks to discuss the contemporary practice of social entrepreneurship. Discussion of the theory of entrepreneurship and contemporary practice of social entrepreneurs seeks to create a more nuanced view of social entrepreneurship and develop greater theoretical insights into this phenomenon and its recent expansion. Design/methodology/approach - A phenomenological research approach was adopted, and 80 in-depth interviews with social entrepreneurs from across the UK identified as the most appropriate data collection tool. Data analysis sought to identify and understand similarities between the more understood and studied behaviour of \"profit-seeking\" entrepreneurs and those of an emerging group of social entrepreneurs. Findings - In-depth interviews revealed five key themes within which the practice of social entrepreneurship could be compared and contrasted with for-profit entrepreneurship. These included: the entrepreneurial process, in particular, opportunity recognition; network embeddedness; the nature of financial risk and profit; the role of individual versus collective action in managing and structuring enterprises; and creativity and innovation. Practical implications - Findings suggest that while the contemporary practices of social enterprises share many similarities with their for-profit counterparts, significant differences can be found when comparing these practices with extant entrepreneurship research. Originality/value - The paper addresses an emerging phenomenon within the practice and theory of entrepreneurship and offers insight into similarities and differences between entrepreneurship in the profit and not-for-profit sectors.","author":[{"dropping-particle":"","family":"Shaw","given":"Eleanor","non-dropping-particle":"","parse-names":false,"suffix":""},{"dropping-particle":"","family":"Carter","given":"Sara","non-dropping-particle":"","parse-names":false,"suffix":""}],"container-title":"Journal of Small Business and Enterprise Development","id":"ITEM-1","issue":"3","issued":{"date-parts":[["2007"]]},"page":"418-434","title":"Social entrepreneurship: Theoretical antecedents and empirical analysis of entrepreneurial processes and outcomes","type":"article-journal","volume":"14"},"uris":["http://www.mendeley.com/documents/?uuid=cfbef2d7-129f-4b1e-b1c4-69f1907829ac"]}],"mendeley":{"formattedCitation":"(Shaw &amp; Carter, 2007)","manualFormatting":"(Shaw &amp; Carter, 2007; ","plainTextFormattedCitation":"(Shaw &amp; Carter, 2007)","previouslyFormattedCitation":"(Shaw &amp; Carter, 2007)"},"properties":{"noteIndex":0},"schema":"https://github.com/citation-style-language/schema/raw/master/csl-citation.json"}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(Shaw &amp; Carter, 2007; </w:t>
      </w:r>
      <w:r w:rsidRPr="009672FC">
        <w:rPr>
          <w:rFonts w:ascii="Garamond" w:hAnsi="Garamond"/>
          <w:sz w:val="24"/>
          <w:szCs w:val="24"/>
        </w:rPr>
        <w:fldChar w:fldCharType="end"/>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{"citationItems":[{"id":"ITEM-1","itemData":{"DOI":"10.1108/14626000410537146","ISSN":"14626004","abstract":"Applying social concepts to the social relations that the entrepreneur maintains, this research seeks to identify the impact of these relationships, and the learning that might result from them, on the decision-making process. A social and conversational model of experiential learning is put forward, where learning and influence are seen to emerge as part of an ongoing negotiated process. This argument complements Kolb's “fundamentally cognitive” theory of experiential learning, by challenging the view that the learner should be viewed as an “intellectual Robinson Crusoe”, and stating that even when an individual reflects and theorises their thoughts have a social character. Data were collected using critical incident technique through one-to-one in-depth interviews over several weeks. The paper goes some way to confirm the importance of networks in the business development process, helping further to define how networks exist. The learning identified, is understood therefore as part of an ongoing negotiated process within a complex network of domestic, voluntary, commercial and professional relations. © 2004, Emerald Group Publishing Limited","author":[{"dropping-particle":"","family":"Taylor","given":"David W.","non-dropping-particle":"","parse-names":false,"suffix":""},{"dropping-particle":"","family":"Thorpe","given":"Richard","non-dropping-particle":"","parse-names":false,"suffix":""}],"container-title":"Journal of Small Business and Enterprise Development","id":"ITEM-1","issue":"2","issued":{"date-parts":[["2004"]]},"page":"203-211","title":"Entrepreneurial learning: A process of co-participation","type":"article-journal","volume":"11"},"uris":["http://www.mendeley.com/documents/?uuid=cfb7fbf5-ea21-41b0-bc1f-58d3d07ef096"]}],"mendeley":{"formattedCitation":"(Taylor &amp; Thorpe, 2004)","manualFormatting":"Taylor &amp; Thorpe, 2004)","plainTextFormattedCitation":"(Taylor &amp; Thorpe, 2004)","previouslyFormattedCitation":"(Taylor &amp; Thorpe, 2004)"},"properties":{"noteIndex":0},"schema":"https://github.com/citation-style-language/schema/raw/master/csl-citation.json"}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Taylor &amp; Thorpe, 2004)</w:t>
      </w:r>
      <w:r w:rsidRPr="009672FC">
        <w:rPr>
          <w:rFonts w:ascii="Garamond" w:hAnsi="Garamond"/>
          <w:sz w:val="24"/>
          <w:szCs w:val="24"/>
        </w:rPr>
        <w:fldChar w:fldCharType="end"/>
      </w:r>
      <w:r w:rsidRPr="009672FC">
        <w:rPr>
          <w:rFonts w:ascii="Garamond" w:hAnsi="Garamond"/>
          <w:sz w:val="24"/>
          <w:szCs w:val="24"/>
        </w:rPr>
        <w:t xml:space="preserve">. In the current case study, there is evidence that the companies have integrated various systems to promote the co-creation of social value. For instance, the companies have adopted an integrated, open system of accounting and costing. This allows actors to enjoy transparency and promote due diligence in financial record keeping associated with the cause-based alliance network. The actors adopt a system of open communication using emails, and direct communication during meetings, enabling the partners to share relevant knowledge and information, particularly in a time when the global health crisis is on the rise, and the demand for masks and other PPEs are on the rise. </w:t>
      </w:r>
    </w:p>
    <w:p w14:paraId="40BABF8A" w14:textId="77777777" w:rsidR="00890FB2" w:rsidRPr="009672FC" w:rsidRDefault="007549AA" w:rsidP="00890FB2">
      <w:pPr>
        <w:pStyle w:val="MDPI71FootNotes"/>
        <w:numPr>
          <w:ilvl w:val="0"/>
          <w:numId w:val="0"/>
        </w:numPr>
        <w:spacing w:before="240" w:line="360" w:lineRule="auto"/>
        <w:rPr>
          <w:rFonts w:ascii="Garamond" w:hAnsi="Garamond"/>
          <w:sz w:val="24"/>
          <w:szCs w:val="24"/>
        </w:rPr>
      </w:pPr>
      <w:r w:rsidRPr="009672FC">
        <w:rPr>
          <w:rFonts w:ascii="Garamond" w:hAnsi="Garamond"/>
          <w:sz w:val="24"/>
          <w:szCs w:val="24"/>
        </w:rPr>
        <w:t xml:space="preserve">Third, leveraging the commitment of critical stakeholders was a key challenge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{"citationItems":[{"id":"ITEM-1","itemData":{"DOI":"10.1142/S108494670900134X","ISSN":"10849467","abstract":"This paper sets out to analyze social entrepreneurship in the Central America Learning Alliance, in the context of recent literature on entrepreneurship and learning. Drawing on a recent and rapidly growing literature that describes entrepreneurship as a process that is inherently dynamic and experimental, with learning as a core component, we focus on social entrepreneurship in development as a catalyst of social transformation. A case study of a multi-stakeholder network focused on promoting processes of rural enterprise development, known as the Central America Learning Alliance, is used to illustrate social entrepreneurship in the context of the framework for innovation and learning that is developed in the first part of the paper. We conclude that the key concepts underlying entrepreneurial learning have important implications for social entrepreneurship in the context of building dynamic livelihoods for the poor of Central America. © World Scientific Publishing Company.","author":[{"dropping-particle":"","family":"Faminow","given":"Merle D.","non-dropping-particle":"","parse-names":false,"suffix":""},{"dropping-particle":"","family":"Carter","given":"Simon E.","non-dropping-particle":"","parse-names":false,"suffix":""},{"dropping-particle":"","family":"Lundy","given":"Mark","non-dropping-particle":"","parse-names":false,"suffix":""}],"container-title":"Journal of Developmental Entrepreneurship","id":"ITEM-1","issue":"4","issued":{"date-parts":[["2009"]]},"page":"433-450","title":"Social entrepreneurship and learning: The case of the central America learning alliance","type":"article-journal","volume":"14"},"uris":["http://www.mendeley.com/documents/?uuid=ecae02c2-daeb-4975-b2e3-14cf1d8749bd"]}],"mendeley":{"formattedCitation":"(Faminow et al., 2009)","plainTextFormattedCitation":"(Faminow et al., 2009)","previouslyFormattedCitation":"(Faminow et al., 2009)"},"properties":{"noteIndex":0},"schema":"https://github.com/citation-style-language/schema/raw/master/csl-citation.json"}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(Faminow et al., 2009)</w:t>
      </w:r>
      <w:r w:rsidRPr="009672FC">
        <w:rPr>
          <w:rFonts w:ascii="Garamond" w:hAnsi="Garamond"/>
          <w:sz w:val="24"/>
          <w:szCs w:val="24"/>
        </w:rPr>
        <w:fldChar w:fldCharType="end"/>
      </w:r>
      <w:r w:rsidRPr="009672FC">
        <w:rPr>
          <w:rFonts w:ascii="Garamond" w:hAnsi="Garamond"/>
          <w:sz w:val="24"/>
          <w:szCs w:val="24"/>
        </w:rPr>
        <w:t xml:space="preserve">. Our data suggest a lack of continued commitment of actors in this supply chain. Since the social motives far outweigh the economic ones, the sustainability of the caused-based alliance is </w:t>
      </w:r>
      <w:r w:rsidRPr="009672FC">
        <w:rPr>
          <w:rFonts w:ascii="Garamond" w:hAnsi="Garamond"/>
          <w:sz w:val="24"/>
          <w:szCs w:val="24"/>
        </w:rPr>
        <w:lastRenderedPageBreak/>
        <w:t xml:space="preserve">however bleak. For instance, the increasing delay caused by Chinese suppliers of raw materials, the promised government support/incentive were not forthcoming, and the dissatisfaction of one of the key alliance partners, as reported by the respondents, have the potential to give the project a short life span. </w:t>
      </w:r>
    </w:p>
    <w:p w14:paraId="70258131" w14:textId="18E8FC31" w:rsidR="00890FB2" w:rsidRPr="009672FC" w:rsidRDefault="007549AA" w:rsidP="00890FB2">
      <w:pPr>
        <w:pStyle w:val="MDPI71FootNotes"/>
        <w:numPr>
          <w:ilvl w:val="0"/>
          <w:numId w:val="0"/>
        </w:numPr>
        <w:spacing w:before="240" w:line="360" w:lineRule="auto"/>
        <w:rPr>
          <w:rFonts w:ascii="Garamond" w:hAnsi="Garamond"/>
          <w:sz w:val="24"/>
          <w:szCs w:val="24"/>
        </w:rPr>
      </w:pPr>
      <w:r w:rsidRPr="009672FC">
        <w:rPr>
          <w:rFonts w:ascii="Garamond" w:hAnsi="Garamond"/>
          <w:sz w:val="24"/>
          <w:szCs w:val="24"/>
        </w:rPr>
        <w:t xml:space="preserve">Fourth, the challenges of aligning </w:t>
      </w:r>
      <w:r w:rsidR="00813D37" w:rsidRPr="009672FC">
        <w:rPr>
          <w:rFonts w:ascii="Garamond" w:hAnsi="Garamond"/>
          <w:sz w:val="24"/>
          <w:szCs w:val="24"/>
        </w:rPr>
        <w:t xml:space="preserve">the </w:t>
      </w:r>
      <w:r w:rsidRPr="009672FC">
        <w:rPr>
          <w:rFonts w:ascii="Garamond" w:hAnsi="Garamond"/>
          <w:sz w:val="24"/>
          <w:szCs w:val="24"/>
        </w:rPr>
        <w:t xml:space="preserve">economic resources of the alliance partners towards a social cause. Since the social cause is an enduring activity, clarity in the direction, and expectation of diverse partners, are however critical to the alliance success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{"citationItems":[{"id":"ITEM-1","itemData":{"DOI":"10.1108/JSBED-08-2019-0285","ISSN":"14626004","abstract":"Purpose: Considering that many unanswered questions remain regarding the antecedents to entrepreneurial intentions, the purpose of this study is to develop insights from existing theories in entrepreneurship frameworks and apply these in the social entrepreneurship context. Consequently the study examines to what extant beliefs and cognitions shape social entrepreneurial intentions. Design/methodology/approach: Hypotheses were statistically tested using multiple regression analyses based on survey data (n = 156) from individuals in South Africa. Findings: Results support the hypotheses where entrepreneurial alertness significantly explained social entrepreneurial intentions, while self-efficacy showed a positive mediating effect in this relationship. Practical implications: Policymakers encouraging social entrepreneurship should not only focus on external support factors such as financial support but also deliberately develop interventions by focusing on beliefs and cognitions, which the study has identified as important predictors of social entrepreneurship intentions. Originality/value: By introducing previously unrelated individual-level factors to social entrepreneurship, closer empirical links are created between these factors in this study.","author":[{"dropping-particle":"","family":"Urban","given":"Boris","non-dropping-particle":"","parse-names":false,"suffix":""}],"container-title":"Journal of Small Business and Enterprise Development","id":"ITEM-1","issue":"3","issued":{"date-parts":[["2020"]]},"page":"489-507","title":"Entrepreneurial alertness, self-efficacy and social entrepreneurship intentions","type":"article-journal","volume":"27"},"uris":["http://www.mendeley.com/documents/?uuid=9704601f-e864-4dfa-a870-d8f7a2146bea"]}],"mendeley":{"formattedCitation":"(Urban, 2020)","manualFormatting":"(Urban, 2020; Hossain, 2019)","plainTextFormattedCitation":"(Urban, 2020)","previouslyFormattedCitation":"(Urban, 2020)"},"properties":{"noteIndex":0},"schema":"https://github.com/citation-style-language/schema/raw/master/csl-citation.json"}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 xml:space="preserve">(Urban, 2020; </w:t>
      </w:r>
      <w:r w:rsidRPr="009672FC">
        <w:rPr>
          <w:rFonts w:ascii="Garamond" w:hAnsi="Garamond"/>
          <w:noProof/>
          <w:sz w:val="24"/>
          <w:szCs w:val="24"/>
        </w:rPr>
        <w:fldChar w:fldCharType="begin" w:fldLock="1"/>
      </w:r>
      <w:r w:rsidRPr="009672FC">
        <w:rPr>
          <w:rFonts w:ascii="Garamond" w:hAnsi="Garamond"/>
          <w:noProof/>
          <w:sz w:val="24"/>
          <w:szCs w:val="24"/>
        </w:rPr>
        <w:instrText>ADDIN CSL_CITATION {"citationItems":[{"id":"ITEM-1","itemData":{"author":[{"dropping-particle":"","family":"Hossain","given":"Sayem","non-dropping-particle":"","parse-names":false,"suffix":""}],"id":"ITEM-1","issued":{"date-parts":[["2019"]]},"number-of-pages":"283","title":"An exploratory study on the contextual factors influencing social entrepreneurial opportunity an emerging economy’s perspective","type":"thesis"},"uris":["http://www.mendeley.com/documents/?uuid=f444b050-8c4e-4e5c-a04a-478aa2d61ef4"]}],"mendeley":{"formattedCitation":"(Hossain, 2019)","manualFormatting":"Hossain, 2019)","plainTextFormattedCitation":"(Hossain, 2019)","previouslyFormattedCitation":"(Hossain, 2019)"},"properties":{"noteIndex":0},"schema":"https://github.com/citation-style-language/schema/raw/master/csl-citation.json"}</w:instrText>
      </w:r>
      <w:r w:rsidRPr="009672FC">
        <w:rPr>
          <w:rFonts w:ascii="Garamond" w:hAnsi="Garamond"/>
          <w:noProof/>
          <w:sz w:val="24"/>
          <w:szCs w:val="24"/>
        </w:rPr>
        <w:fldChar w:fldCharType="separate"/>
      </w:r>
      <w:r w:rsidRPr="009672FC">
        <w:rPr>
          <w:rFonts w:ascii="Garamond" w:hAnsi="Garamond"/>
          <w:noProof/>
          <w:sz w:val="24"/>
          <w:szCs w:val="24"/>
        </w:rPr>
        <w:t>Hossain, 2019)</w:t>
      </w:r>
      <w:r w:rsidRPr="009672FC">
        <w:rPr>
          <w:rFonts w:ascii="Garamond" w:hAnsi="Garamond"/>
          <w:noProof/>
          <w:sz w:val="24"/>
          <w:szCs w:val="24"/>
        </w:rPr>
        <w:fldChar w:fldCharType="end"/>
      </w:r>
      <w:r w:rsidRPr="009672FC">
        <w:rPr>
          <w:rFonts w:ascii="Garamond" w:hAnsi="Garamond"/>
          <w:sz w:val="24"/>
          <w:szCs w:val="24"/>
        </w:rPr>
        <w:fldChar w:fldCharType="end"/>
      </w:r>
      <w:r w:rsidRPr="009672FC">
        <w:rPr>
          <w:rFonts w:ascii="Garamond" w:hAnsi="Garamond"/>
          <w:sz w:val="24"/>
          <w:szCs w:val="24"/>
        </w:rPr>
        <w:t xml:space="preserve">. </w:t>
      </w:r>
      <w:r w:rsidR="00813D37" w:rsidRPr="009672FC">
        <w:rPr>
          <w:rFonts w:ascii="Garamond" w:hAnsi="Garamond"/>
          <w:sz w:val="24"/>
          <w:szCs w:val="24"/>
        </w:rPr>
        <w:t>O</w:t>
      </w:r>
      <w:r w:rsidRPr="009672FC">
        <w:rPr>
          <w:rFonts w:ascii="Garamond" w:hAnsi="Garamond"/>
          <w:sz w:val="24"/>
          <w:szCs w:val="24"/>
        </w:rPr>
        <w:t>ur data suggest that this is the first kind of cause-based alliance that all the network companies have ever participated</w:t>
      </w:r>
      <w:r w:rsidR="00813D37" w:rsidRPr="009672FC">
        <w:rPr>
          <w:rFonts w:ascii="Garamond" w:hAnsi="Garamond"/>
          <w:sz w:val="24"/>
          <w:szCs w:val="24"/>
        </w:rPr>
        <w:t xml:space="preserve"> in</w:t>
      </w:r>
      <w:r w:rsidRPr="009672FC">
        <w:rPr>
          <w:rFonts w:ascii="Garamond" w:hAnsi="Garamond"/>
          <w:sz w:val="24"/>
          <w:szCs w:val="24"/>
        </w:rPr>
        <w:t xml:space="preserve">. This challenge relates to the lack of experience in managing and organizing social alliance projects. According to the data, at the inception of the alliance, the parties had no idea of the cost of raw materials, the commercial price of masks, as well as the regulations involved. While Alpha, has met the requirements for government certification for non-medical use of masks, the alliance must depend on it for this process, enabling the actors to align their existing practices to the cause of the alliance. Thus, integration and information are necessary </w:t>
      </w:r>
      <w:r w:rsidR="00813D37" w:rsidRPr="009672FC">
        <w:rPr>
          <w:rFonts w:ascii="Garamond" w:hAnsi="Garamond"/>
          <w:sz w:val="24"/>
          <w:szCs w:val="24"/>
        </w:rPr>
        <w:t>for</w:t>
      </w:r>
      <w:r w:rsidRPr="009672FC">
        <w:rPr>
          <w:rFonts w:ascii="Garamond" w:hAnsi="Garamond"/>
          <w:sz w:val="24"/>
          <w:szCs w:val="24"/>
        </w:rPr>
        <w:t xml:space="preserve"> alliances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{"citationItems":[{"id":"ITEM-1","itemData":{"DOI":"10.1007/s10726-018-9564-z","ISSN":"15729907","abstract":"Social entrepreneurship develops innovative opportunities and solutions aimed to (re)generate the common good. This emerging organizational form poses unprecedented challenges to group decision and negotiation studies. This article leverages conceptual tools from the literature on the commons and institutional logics as it explores the organizational conditions of social entrepreneurship that trigger commons-enabling decision-making in its organizational field. Through an inductive analysis of a longitudinal case, this study proposes a model that highlights the critical role of the bridging organization that can be introduced by the social entrepreneur in a previously fragmented organizational field. This bridging organization is in the condition to develop an innovative co-creation logic that can serve as a common ground to enable collaboration between actors from diverse and even conflicting institutional logics. The proposed model suggests that a practice-driven path to the construction of such a common ground for decision-making is more effective than a disclosure-driven path, which is based on classical conflict analysis techniques. The ICT-enabled activity system developed by the social entrepreneur injects transparency and traceability into a previously opaque field, thus creating the conditions for distributed, flexible, and complementary sense- and decision-making processes that develop and protect the commons.","author":[{"dropping-particle":"","family":"Rossignoli","given":"Cecilia","non-dropping-particle":"","parse-names":false,"suffix":""},{"dropping-particle":"","family":"Ricciardi","given":"Francesca","non-dropping-particle":"","parse-names":false,"suffix":""},{"dropping-particle":"","family":"Bonomi","given":"Sabrina","non-dropping-particle":"","parse-names":false,"suffix":""}],"container-title":"Group Decision and Negotiation","id":"ITEM-1","issue":"3","issued":{"date-parts":[["2018"]]},"page":"417-443","publisher":"Springer Netherlands","title":"Organizing for Commons-Enabling Decision-Making Under Conflicting Institutional Logics in Social Entrepreneurship","type":"article-journal","volume":"27"},"uris":["http://www.mendeley.com/documents/?uuid=afb25fb7-41ca-49b7-806f-983634eca053"]}],"mendeley":{"formattedCitation":"(Rossignoli et al., 2018)","plainTextFormattedCitation":"(Rossignoli et al., 2018)","previouslyFormattedCitation":"(Rossignoli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(Rossignoli et al., 2018)</w:t>
      </w:r>
      <w:r w:rsidRPr="009672FC">
        <w:rPr>
          <w:rFonts w:ascii="Garamond" w:hAnsi="Garamond"/>
          <w:sz w:val="24"/>
          <w:szCs w:val="24"/>
        </w:rPr>
        <w:fldChar w:fldCharType="end"/>
      </w:r>
      <w:r w:rsidRPr="009672FC">
        <w:rPr>
          <w:rFonts w:ascii="Garamond" w:hAnsi="Garamond"/>
          <w:sz w:val="24"/>
          <w:szCs w:val="24"/>
        </w:rPr>
        <w:t xml:space="preserve"> especially for the success of </w:t>
      </w:r>
      <w:r w:rsidR="00813D37" w:rsidRPr="009672FC">
        <w:rPr>
          <w:rFonts w:ascii="Garamond" w:hAnsi="Garamond"/>
          <w:sz w:val="24"/>
          <w:szCs w:val="24"/>
        </w:rPr>
        <w:t xml:space="preserve">the </w:t>
      </w:r>
      <w:r w:rsidRPr="009672FC">
        <w:rPr>
          <w:rFonts w:ascii="Garamond" w:hAnsi="Garamond"/>
          <w:sz w:val="24"/>
          <w:szCs w:val="24"/>
        </w:rPr>
        <w:t xml:space="preserve">cause-related alliance. This means building on inter-firm connection, and communication is fundamental to the alliance success. </w:t>
      </w:r>
    </w:p>
    <w:p w14:paraId="5E8BB4A8" w14:textId="012C02C3" w:rsidR="003D5DE8" w:rsidRPr="009672FC" w:rsidRDefault="007549AA" w:rsidP="00890FB2">
      <w:pPr>
        <w:pStyle w:val="MDPI71FootNotes"/>
        <w:numPr>
          <w:ilvl w:val="0"/>
          <w:numId w:val="0"/>
        </w:numPr>
        <w:spacing w:before="240" w:line="360" w:lineRule="auto"/>
        <w:rPr>
          <w:rFonts w:ascii="Garamond" w:hAnsi="Garamond"/>
          <w:sz w:val="24"/>
          <w:szCs w:val="24"/>
        </w:rPr>
      </w:pPr>
      <w:r w:rsidRPr="009672FC">
        <w:rPr>
          <w:rFonts w:ascii="Garamond" w:hAnsi="Garamond"/>
          <w:sz w:val="24"/>
          <w:szCs w:val="24"/>
        </w:rPr>
        <w:t xml:space="preserve">The last challenge is the trust between alliance partners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{"citationItems":[{"id":"ITEM-1","itemData":{"DOI":"0803973233","ISBN":"0893-3200","ISSN":"1059-6011","PMID":"803973233","abstract":"The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model.","author":[{"dropping-particle":"","family":"Das","given":"T. K.","non-dropping-particle":"","parse-names":false,"suffix":""},{"dropping-particle":"","family":"Teng","given":"Bing-Sheng","non-dropping-particle":"","parse-names":false,"suffix":""}],"container-title":"Organization Studies","id":"ITEM-1","issue":"2","issued":{"date-parts":[["2012"]]},"page":"251-283","title":"Trust, Control, and Risks in Strategic Alliances: An integrative Framework","type":"article-journal","volume":"22"},"uris":["http://www.mendeley.com/documents/?uuid=36e11a06-9b69-4727-9fec-5033a10bfb1d"]}],"mendeley":{"formattedCitation":"(Das &amp; Teng, 2012)","plainTextFormattedCitation":"(Das &amp; Teng, 2012)","previouslyFormattedCitation":"(Das &amp; Teng, 2012)"},"properties":{"noteIndex":0},"schema":"https://github.com/citation-style-language/schema/raw/master/csl-citation.json"}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(Das &amp; Teng, 2012)</w:t>
      </w:r>
      <w:r w:rsidRPr="009672FC">
        <w:rPr>
          <w:rFonts w:ascii="Garamond" w:hAnsi="Garamond"/>
          <w:sz w:val="24"/>
          <w:szCs w:val="24"/>
        </w:rPr>
        <w:fldChar w:fldCharType="end"/>
      </w:r>
      <w:r w:rsidRPr="009672FC">
        <w:rPr>
          <w:rFonts w:ascii="Garamond" w:hAnsi="Garamond"/>
          <w:sz w:val="24"/>
          <w:szCs w:val="24"/>
        </w:rPr>
        <w:t xml:space="preserve">. Although all respondents in this study suggest the absence of any tension or conflict during the first year of alliance, however, clearly, there was an emerging dissatisfaction in terms of the future direction of the partnership, high dependency on one firm than the other, and problems of value distribution and balancing risks and rewards. The promotion of integrity </w:t>
      </w:r>
      <w:r w:rsidRPr="009672FC">
        <w:rPr>
          <w:rFonts w:ascii="Garamond" w:hAnsi="Garamond"/>
          <w:sz w:val="24"/>
          <w:szCs w:val="24"/>
        </w:rPr>
        <w:fldChar w:fldCharType="begin" w:fldLock="1"/>
      </w:r>
      <w:r w:rsidRPr="009672FC">
        <w:rPr>
          <w:rFonts w:ascii="Garamond" w:hAnsi="Garamond"/>
          <w:sz w:val="24"/>
          <w:szCs w:val="24"/>
        </w:rPr>
        <w:instrText>ADDIN CSL_CITATION {"citationItems":[{"id":"ITEM-1","itemData":{"DOI":"10.1007/s10551-016-3231-6","ISBN":"1055101632","ISSN":"15730697","abstract":"Social alliance is defined as the collaboration between for-profit and nonprofit organizations. Building on the insights derived from the resource-based theory, we develop a conceptual framework to explain how socially entrepreneurial nonprofit organizations (SENPOs) can improve their social alliance performance by adopting strategic alliance management routines. We test our framework using the data collected from 203 UK-based SENPOs in the context of cause-related marketing campaign-derived social alliances. Our results confirm a positive relationship between social alliance management routines and social alliance performance. We also find that relational mechanisms, such as mutual trust, relational embeddedness, and relational commitment, mediate the relationship between social alliance management routines and social alliance performance. Moreover, our findings suggest that different types of social alliance motivation can influence the impact of social alliance management routines on different types of the relational mechanisms. In general, we demonstrate that SENPOs can benefit from adopting social alliance management routines and, in addition, highlight how and when the social alliance management routines–social alliance performance relationship might be shaped. Our study offers important academic and managerial implications, and points out future research directions.","author":[{"dropping-particle":"","family":"Liu","given":"Gordon","non-dropping-particle":"","parse-names":false,"suffix":""},{"dropping-particle":"","family":"Ko","given":"Wai Wai","non-dropping-particle":"","parse-names":false,"suffix":""},{"dropping-particle":"","family":"Chapleo","given":"Chris","non-dropping-particle":"","parse-names":false,"suffix":""}],"container-title":"Journal of Business Ethics","id":"ITEM-1","issue":"2","issued":{"date-parts":[["2018"]]},"page":"497-516","publisher":"Springer Netherlands","title":"How and When Socially Entrepreneurial Nonprofit Organizations Benefit From Adopting Social Alliance Management Routines to Manage Social Alliances?","type":"article-journal","volume":"151"},"uris":["http://www.mendeley.com/documents/?uuid=34241091-febf-42ee-b615-ba46df5b0ad9"]}],"mendeley":{"formattedCitation":"(G. Liu et al., 2018)","plainTextFormattedCitation":"(G. Liu et al., 2018)","previouslyFormattedCitation":"(G. Liu et al., 2018)"},"properties":{"noteIndex":0},"schema":"https://github.com/citation-style-language/schema/raw/master/csl-citation.json"}</w:instrText>
      </w:r>
      <w:r w:rsidRPr="009672FC">
        <w:rPr>
          <w:rFonts w:ascii="Garamond" w:hAnsi="Garamond"/>
          <w:sz w:val="24"/>
          <w:szCs w:val="24"/>
        </w:rPr>
        <w:fldChar w:fldCharType="separate"/>
      </w:r>
      <w:r w:rsidRPr="009672FC">
        <w:rPr>
          <w:rFonts w:ascii="Garamond" w:hAnsi="Garamond"/>
          <w:noProof/>
          <w:sz w:val="24"/>
          <w:szCs w:val="24"/>
        </w:rPr>
        <w:t>(G. Liu et al., 2018)</w:t>
      </w:r>
      <w:r w:rsidRPr="009672FC">
        <w:rPr>
          <w:rFonts w:ascii="Garamond" w:hAnsi="Garamond"/>
          <w:sz w:val="24"/>
          <w:szCs w:val="24"/>
        </w:rPr>
        <w:fldChar w:fldCharType="end"/>
      </w:r>
      <w:r w:rsidRPr="009672FC">
        <w:rPr>
          <w:rFonts w:ascii="Garamond" w:hAnsi="Garamond"/>
          <w:sz w:val="24"/>
          <w:szCs w:val="24"/>
        </w:rPr>
        <w:t xml:space="preserve"> concerning having loyalty to the social cause and the partnership allow</w:t>
      </w:r>
      <w:r w:rsidR="00813D37" w:rsidRPr="009672FC">
        <w:rPr>
          <w:rFonts w:ascii="Garamond" w:hAnsi="Garamond"/>
          <w:sz w:val="24"/>
          <w:szCs w:val="24"/>
        </w:rPr>
        <w:t>s</w:t>
      </w:r>
      <w:r w:rsidRPr="009672FC">
        <w:rPr>
          <w:rFonts w:ascii="Garamond" w:hAnsi="Garamond"/>
          <w:sz w:val="24"/>
          <w:szCs w:val="24"/>
        </w:rPr>
        <w:t xml:space="preserve"> firms to deepen mutual respect and thus avoids harmful </w:t>
      </w:r>
      <w:proofErr w:type="spellStart"/>
      <w:r w:rsidRPr="009672FC">
        <w:rPr>
          <w:rFonts w:ascii="Garamond" w:hAnsi="Garamond"/>
          <w:sz w:val="24"/>
          <w:szCs w:val="24"/>
        </w:rPr>
        <w:t>behavio</w:t>
      </w:r>
      <w:r w:rsidR="00813D37" w:rsidRPr="009672FC">
        <w:rPr>
          <w:rFonts w:ascii="Garamond" w:hAnsi="Garamond"/>
          <w:sz w:val="24"/>
          <w:szCs w:val="24"/>
        </w:rPr>
        <w:t>u</w:t>
      </w:r>
      <w:r w:rsidRPr="009672FC">
        <w:rPr>
          <w:rFonts w:ascii="Garamond" w:hAnsi="Garamond"/>
          <w:sz w:val="24"/>
          <w:szCs w:val="24"/>
        </w:rPr>
        <w:t>rs</w:t>
      </w:r>
      <w:proofErr w:type="spellEnd"/>
      <w:r w:rsidRPr="009672FC">
        <w:rPr>
          <w:rFonts w:ascii="Garamond" w:hAnsi="Garamond"/>
          <w:sz w:val="24"/>
          <w:szCs w:val="24"/>
        </w:rPr>
        <w:t>.</w:t>
      </w:r>
    </w:p>
    <w:p w14:paraId="309E6A46" w14:textId="437A2ECB" w:rsidR="003D5DE8" w:rsidRPr="009672FC" w:rsidRDefault="007549AA">
      <w:pPr>
        <w:pStyle w:val="Title"/>
        <w:numPr>
          <w:ilvl w:val="1"/>
          <w:numId w:val="13"/>
        </w:numPr>
        <w:spacing w:before="240" w:line="360" w:lineRule="auto"/>
        <w:jc w:val="both"/>
        <w:outlineLvl w:val="1"/>
        <w:rPr>
          <w:rFonts w:ascii="Garamond" w:hAnsi="Garamond" w:cs="Times New Roman"/>
          <w:b/>
          <w:bCs/>
          <w:sz w:val="24"/>
          <w:szCs w:val="24"/>
        </w:rPr>
      </w:pPr>
      <w:r w:rsidRPr="009672FC">
        <w:rPr>
          <w:rFonts w:ascii="Garamond" w:hAnsi="Garamond" w:cs="Times New Roman"/>
          <w:b/>
          <w:bCs/>
          <w:sz w:val="24"/>
          <w:szCs w:val="24"/>
        </w:rPr>
        <w:t xml:space="preserve"> </w:t>
      </w:r>
      <w:bookmarkStart w:id="254" w:name="_Toc85708785"/>
      <w:bookmarkStart w:id="255" w:name="_Toc85709799"/>
      <w:r w:rsidRPr="009672FC">
        <w:rPr>
          <w:rFonts w:ascii="Garamond" w:hAnsi="Garamond" w:cs="Times New Roman"/>
          <w:b/>
          <w:bCs/>
          <w:sz w:val="24"/>
          <w:szCs w:val="24"/>
        </w:rPr>
        <w:t>Conclusions</w:t>
      </w:r>
      <w:bookmarkEnd w:id="254"/>
      <w:bookmarkEnd w:id="255"/>
    </w:p>
    <w:p w14:paraId="485FBFB8" w14:textId="1718DD7C" w:rsidR="003D5DE8" w:rsidRPr="009672FC" w:rsidRDefault="007549AA">
      <w:pPr>
        <w:spacing w:line="360" w:lineRule="auto"/>
        <w:jc w:val="both"/>
        <w:rPr>
          <w:rFonts w:ascii="Garamond" w:hAnsi="Garamond"/>
        </w:rPr>
      </w:pPr>
      <w:r w:rsidRPr="009672FC">
        <w:rPr>
          <w:rFonts w:ascii="Garamond" w:hAnsi="Garamond"/>
        </w:rPr>
        <w:t xml:space="preserve">The purpose of this study was to examine the collaborative value creation process for a cause-based SE network. To do this, we first contextualized the issue through a longitudinal case study of an Italian SE network or supply chain network for the production and distribution of personal protective equipment (such as face masks) in the northern region. As the literature on cause-related alliances tends to concentrate on cause-related partnerships in the areas of marketing, branding, </w:t>
      </w:r>
      <w:r w:rsidRPr="009672FC">
        <w:rPr>
          <w:rFonts w:ascii="Garamond" w:hAnsi="Garamond"/>
        </w:rPr>
        <w:lastRenderedPageBreak/>
        <w:t xml:space="preserve">and CSR, a dearth of research on cause-based social entrepreneurship alliances exists. </w:t>
      </w:r>
      <w:r w:rsidR="00813D37" w:rsidRPr="009672FC">
        <w:rPr>
          <w:rFonts w:ascii="Garamond" w:hAnsi="Garamond"/>
        </w:rPr>
        <w:t>A</w:t>
      </w:r>
      <w:r w:rsidRPr="009672FC">
        <w:rPr>
          <w:rFonts w:ascii="Garamond" w:hAnsi="Garamond"/>
        </w:rPr>
        <w:t xml:space="preserve">n empirical study on the nature of such collaborative practices of firms involve in cause-based SE is virtually limited, making this study one of the first attempts on cause-based SE networks. </w:t>
      </w:r>
    </w:p>
    <w:p w14:paraId="6C741A08" w14:textId="77777777" w:rsidR="00890FB2" w:rsidRPr="009672FC" w:rsidRDefault="007549AA" w:rsidP="00890FB2">
      <w:pPr>
        <w:spacing w:before="240" w:line="360" w:lineRule="auto"/>
        <w:jc w:val="both"/>
        <w:rPr>
          <w:rFonts w:ascii="Garamond" w:hAnsi="Garamond"/>
        </w:rPr>
      </w:pPr>
      <w:r w:rsidRPr="009672FC">
        <w:rPr>
          <w:rFonts w:ascii="Garamond" w:hAnsi="Garamond"/>
        </w:rPr>
        <w:t xml:space="preserve">We leveraged the four-collaborative value processes from the literature to address the first research problem of this study. These value processes precisely include value definition, value creation, value balance, and value renewal </w:t>
      </w:r>
      <w:r w:rsidRPr="009672FC">
        <w:rPr>
          <w:rFonts w:ascii="Garamond" w:hAnsi="Garamond"/>
        </w:rPr>
        <w:fldChar w:fldCharType="begin" w:fldLock="1"/>
      </w:r>
      <w:r w:rsidRPr="009672FC">
        <w:rPr>
          <w:rFonts w:ascii="Garamond" w:hAnsi="Garamond"/>
        </w:rPr>
        <w:instrText>ADDIN CSL_CITATION {"citationItems":[{"id":"ITEM-1","itemData":{"DOI":"10.1177/089976400773746346","ISSN":"08997640","abstract":"Collaboration between nonprofits and businesses is increasing and becoming more strategically important. Based on 15 case studies, this article presents a cross-sector collaboration framework consisting of four components. First, the collaboration continuum provides a conceptual framework for categorizing different types of partnerships and studying their possible evolution through three principal stages: philanthropic, transactional, and integrative. Second, the collaboration value construct facilitates the analysis of the definition, creation, balance, and renewal of the value generated in different types of alliances. Third, a set of alliance drivers is identified that determines the nature and functioning of the partnerships. Fourth, alliance enablers that contribute to the effective management of the relationship are set forth. The article discusses the dynamics of the alliance marketplace. The research builds on and extends existing interorganizational research theories by providing a distinctive conceptual framework and new empirical understanding of cross-sector alliances. Future research needs are identified.","author":[{"dropping-particle":"","family":"Austin","given":"James E.","non-dropping-particle":"","parse-names":false,"suffix":""}],"container-title":"Nonprofit and Voluntary Sector Quarterly","id":"ITEM-1","issue":"SUPPL.","issued":{"date-parts":[["2000"]]},"page":"69-97","title":"Strategic collaboration between nonprofits and businesses","type":"article-journal","volume":"29"},"uris":["http://www.mendeley.com/documents/?uuid=0b9ec59a-d3cf-48d2-91a9-59d9978b2453"]}],"mendeley":{"formattedCitation":"(J. E. Austin, 2000a)","manualFormatting":"(Austin, 2000a; 2000b; Austin and Seitanidi, 2012a; 2012b)","plainTextFormattedCitation":"(J. E. Austin, 2000a)","previouslyFormattedCitation":"(J. E. Austin, 2000a)"},"properties":{"noteIndex":0},"schema":"https://github.com/citation-style-language/schema/raw/master/csl-citation.json"}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(Austin, 2000a;</w:t>
      </w:r>
      <w:r w:rsidRPr="009672FC">
        <w:rPr>
          <w:rFonts w:ascii="Garamond" w:hAnsi="Garamond"/>
          <w:noProof/>
        </w:rPr>
        <w:fldChar w:fldCharType="begin" w:fldLock="1"/>
      </w:r>
      <w:r w:rsidRPr="009672FC">
        <w:rPr>
          <w:rFonts w:ascii="Garamond" w:hAnsi="Garamond"/>
          <w:noProof/>
        </w:rPr>
        <w:instrText>ADDIN CSL_CITATION {"citationItems":[{"id":"ITEM-1","itemData":{"ISBN":"0787952206","ISSN":"09569944","abstract":"The article presents the author's views on the collaboration between university and industry in Great Britain. Great Britain now has some of the most advanced links between university and industry to be found anywhere in the world. Over the last 10 years, university/industry links have been revolutionised and the potential for innovation and growth in companies and world-class research from universities is rapidly becoming apparent. But these changes need to be celebrated more publicly and examples of best practice brought to the attention of people in industry and academe, who may still be nervous.","author":[{"dropping-particle":"","family":"Austin","given":"James E.","non-dropping-particle":"","parse-names":false,"suffix":""}],"container-title":"Manufacturing Engineer","id":"ITEM-1","issued":{"date-parts":[["2000"]]},"page":"6","title":"The Collaboration Challenge: How Nonprofits and Businesses Succeed Through Strategic Alliances","type":"article-journal","volume":"83"},"uris":["http://www.mendeley.com/documents/?uuid=9fa5e4da-eba2-4ad9-b41a-452701fe985f"]}],"mendeley":{"formattedCitation":"(J. E. Austin, 2000b)","manualFormatting":" 2000b; Austin and Seitanidi, 2012a; 2012b)","plainTextFormattedCitation":"(J. E. Austin, 2000b)","previouslyFormattedCitation":"(J. E. Austin, 2000b)"},"properties":{"noteIndex":0},"schema":"https://github.com/citation-style-language/schema/raw/master/csl-citation.json"}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 2000b; </w:t>
      </w:r>
      <w:r w:rsidRPr="009672FC">
        <w:rPr>
          <w:rFonts w:ascii="Garamond" w:hAnsi="Garamond"/>
          <w:noProof/>
        </w:rPr>
        <w:fldChar w:fldCharType="begin" w:fldLock="1"/>
      </w:r>
      <w:r w:rsidRPr="009672FC">
        <w:rPr>
          <w:rFonts w:ascii="Garamond" w:hAnsi="Garamond"/>
          <w:noProof/>
        </w:rPr>
        <w:instrText>ADDIN CSL_CITATION {"citationItems":[{"id":"ITEM-1","itemData":{"DOI":"10.1177/0899764012450777","ISSN":"08997640","abstract":"This focused review of the nonprofitbusiness collaboration and related corporate social responsibility literature identifies problematic aspects of the treatment of value creation and, therefore, develops a conceptual and analytical framework to address them and the following research question: How can collaboration between nonprofits and businesses most effectively co-create significant economic, social, and environmental value for society, organizations, and individuals? The first two components of the Collaborative Value Creation framework are presented in this first of two articles The Value Creation Spectrum provides new reference terms for defining and analyzing value creation, and Collaboration Stages reveals how value creation varies across different types of collaborative relationships. The framework's next two components, which are elaborated in the sequential article, are Partnering Processes, which reveals the value creation dynamics in the formation and implementation stages, and Collaboration Outcomes, which examines impact at the micro, meso, and macro levels. © The Author(s) 2012.","author":[{"dropping-particle":"","family":"Austin","given":"James E.","non-dropping-particle":"","parse-names":false,"suffix":""},{"dropping-particle":"","family":"Seitanidi","given":"Maria M.","non-dropping-particle":"","parse-names":false,"suffix":""}],"container-title":"Nonprofit and Voluntary Sector Quarterly","id":"ITEM-1","issue":"5","issued":{"date-parts":[["2012"]]},"page":"726-758","title":"Collaborative Value Creation: A Review of Partnering Between Nonprofits and Businesses: Part I. Value Creation Spectrum and Collaboration Stages","type":"article-journal","volume":"41"},"uris":["http://www.mendeley.com/documents/?uuid=ec5bc883-d6cf-4a14-a520-b133d0ae4919"]}],"mendeley":{"formattedCitation":"(J. E. Austin &amp; Seitanidi, 2012a)","manualFormatting":"Austin and Seitanidi, 2012a; 2012b)","plainTextFormattedCitation":"(J. E. Austin &amp; Seitanidi, 2012a)","previouslyFormattedCitation":"(J. E. Austin &amp; Seitanidi, 2012a)"},"properties":{"noteIndex":0},"schema":"https://github.com/citation-style-language/schema/raw/master/csl-citation.json"}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 xml:space="preserve">Austin and Seitanidi, 2012a; </w:t>
      </w:r>
      <w:r w:rsidRPr="009672FC">
        <w:rPr>
          <w:rFonts w:ascii="Garamond" w:hAnsi="Garamond"/>
          <w:noProof/>
        </w:rPr>
        <w:fldChar w:fldCharType="begin" w:fldLock="1"/>
      </w:r>
      <w:r w:rsidRPr="009672FC">
        <w:rPr>
          <w:rFonts w:ascii="Garamond" w:hAnsi="Garamond"/>
          <w:noProof/>
        </w:rPr>
        <w:instrText>ADDIN CSL_CITATION {"citationItems":[{"id":"ITEM-1","itemData":{"DOI":"10.1177/0899764012454685","ISSN":"08997640","abstract":"In this second of a two-part focused review of the nonprofit business and corporate social responsibility (CSR) literature, the authors present the third and fourth components of the collaborative value creation (CVC) framework: the partnering processes that unpack the value creation dynamics and the collaboration outcomes that examine the benefits and costs on multiple levels. The authors suggest that greater value is created at all levels of analysis, micro, meso, and macro, as collaboration moves from sole creation to co-creation of value. The CVC framework assigns equal importance to all forms of value (economic, social, and environmental), types of actors (individuals, organizations, and societies), and time scales (short/long term), providing the analytical paths for assessing value creation holistically. Examining systematically the processes and the outcomes of value co-creation allows for greater specificity, dimensionality, and inclusivity. The article concludes by delineating the contribution of the CVC framework and offering recommendations for future research. © The Author(s) 2012.","author":[{"dropping-particle":"","family":"Austin","given":"James E.","non-dropping-particle":"","parse-names":false,"suffix":""},{"dropping-particle":"","family":"Seitanidi","given":"Maria M.","non-dropping-particle":"","parse-names":false,"suffix":""}],"container-title":"Nonprofit and Voluntary Sector Quarterly","id":"ITEM-1","issue":"6","issued":{"date-parts":[["2012"]]},"page":"929-968","title":"Collaborative Value Creation: A Review of Partnering Between Nonprofits and Businesses. Part 2: Partnership Processes and Outcomes","type":"article-journal","volume":"41"},"uris":["http://www.mendeley.com/documents/?uuid=87425566-4c9c-4530-be41-c6784959ad42"]}],"mendeley":{"formattedCitation":"(J. E. Austin &amp; Seitanidi, 2012b)","manualFormatting":"2012b)","plainTextFormattedCitation":"(J. E. Austin &amp; Seitanidi, 2012b)","previouslyFormattedCitation":"(J. E. Austin &amp; Seitanidi, 2012b)"},"properties":{"noteIndex":0},"schema":"https://github.com/citation-style-language/schema/raw/master/csl-citation.json"}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2012b)</w:t>
      </w:r>
      <w:r w:rsidRPr="009672FC">
        <w:rPr>
          <w:rFonts w:ascii="Garamond" w:hAnsi="Garamond"/>
          <w:noProof/>
        </w:rPr>
        <w:fldChar w:fldCharType="end"/>
      </w:r>
      <w:r w:rsidRPr="009672FC">
        <w:rPr>
          <w:rFonts w:ascii="Garamond" w:hAnsi="Garamond"/>
          <w:noProof/>
        </w:rPr>
        <w:fldChar w:fldCharType="end"/>
      </w:r>
      <w:r w:rsidRPr="009672FC">
        <w:rPr>
          <w:rFonts w:ascii="Garamond" w:hAnsi="Garamond"/>
          <w:noProof/>
        </w:rPr>
        <w:fldChar w:fldCharType="end"/>
      </w:r>
      <w:r w:rsidRPr="009672FC">
        <w:rPr>
          <w:rFonts w:ascii="Garamond" w:hAnsi="Garamond"/>
        </w:rPr>
        <w:fldChar w:fldCharType="end"/>
      </w:r>
      <w:r w:rsidRPr="009672FC">
        <w:rPr>
          <w:rFonts w:ascii="Garamond" w:hAnsi="Garamond"/>
        </w:rPr>
        <w:t xml:space="preserve">. Data shows that the successful implementation of cause-related SE projects is strictly connected to the clarity of purpose and direction, the distributive systems of tasks and activities, fair rewards systems, and the perception of the organizational future aspirations. However, to achieve these, the services of experienced entrepreneurs (or consultants) in cause-related inter-firm partnership, is required for smooth planning and implementation of the value processes. The institutional differences between firms seems to have a significant effect on the success and sustainability of the social cause project. Because various firms have different perceptions of social causes, thus their underlying motives vary across network companies. To reduce the institutional differences, firms must engage in effective value definition through communication and interaction. Also, the selection of firms that share similar traits, with common social concerns are often good fits for cause-related alliance. </w:t>
      </w:r>
    </w:p>
    <w:p w14:paraId="4D3018D9" w14:textId="6E763050" w:rsidR="00890FB2" w:rsidRPr="009672FC" w:rsidRDefault="007549AA" w:rsidP="00890FB2">
      <w:pPr>
        <w:spacing w:before="240" w:line="360" w:lineRule="auto"/>
        <w:jc w:val="both"/>
        <w:rPr>
          <w:rFonts w:ascii="Garamond" w:hAnsi="Garamond"/>
        </w:rPr>
      </w:pPr>
      <w:r w:rsidRPr="009672FC">
        <w:rPr>
          <w:rFonts w:ascii="Garamond" w:hAnsi="Garamond"/>
        </w:rPr>
        <w:t xml:space="preserve">The empirical findings seem to suggest that involvement of all critical actors in the value creation of the social cause, enables actors to take ownership of the social project, and increase their level of commitment to the cause. </w:t>
      </w:r>
      <w:r w:rsidR="00813D37" w:rsidRPr="009672FC">
        <w:rPr>
          <w:rFonts w:ascii="Garamond" w:hAnsi="Garamond"/>
        </w:rPr>
        <w:t>T</w:t>
      </w:r>
      <w:r w:rsidRPr="009672FC">
        <w:rPr>
          <w:rFonts w:ascii="Garamond" w:hAnsi="Garamond"/>
        </w:rPr>
        <w:t>he involvement of actors in the cause signals a firm’s commitment to addressing the problems of society and thus enhances its social legitimacy. To achieve this, planned sets of guidelines on task allocation, responsibilities, and duties of each actor are fundamental to network performance. The sustainability of the cause-related alliance largely depends on whether the network has addressed or truly address</w:t>
      </w:r>
      <w:r w:rsidR="00813D37" w:rsidRPr="009672FC">
        <w:rPr>
          <w:rFonts w:ascii="Garamond" w:hAnsi="Garamond"/>
        </w:rPr>
        <w:t>ed</w:t>
      </w:r>
      <w:r w:rsidRPr="009672FC">
        <w:rPr>
          <w:rFonts w:ascii="Garamond" w:hAnsi="Garamond"/>
        </w:rPr>
        <w:t xml:space="preserve"> the set goals of the social cause. Successful caused-related alliance contracts tend to be renewed seamlessly. The empirical results suggest there is an absence of expressed tension/conflict, indicating the smooth implementation of the alliance project. In this way, actors are mutually linked because they share similar motives and aspirations. Thus, frequent interactions and communications between actors are essential to the continuance commitment of actors to the social cause project. </w:t>
      </w:r>
    </w:p>
    <w:p w14:paraId="77793037" w14:textId="4951F7EC" w:rsidR="00890FB2" w:rsidRPr="009672FC" w:rsidRDefault="007549AA" w:rsidP="00890FB2">
      <w:pPr>
        <w:spacing w:before="240" w:line="360" w:lineRule="auto"/>
        <w:jc w:val="both"/>
        <w:rPr>
          <w:rFonts w:ascii="Garamond" w:hAnsi="Garamond"/>
        </w:rPr>
      </w:pPr>
      <w:r w:rsidRPr="009672FC">
        <w:rPr>
          <w:rFonts w:ascii="Garamond" w:hAnsi="Garamond"/>
        </w:rPr>
        <w:lastRenderedPageBreak/>
        <w:t xml:space="preserve">Following </w:t>
      </w:r>
      <w:r w:rsidRPr="009672FC">
        <w:rPr>
          <w:rFonts w:ascii="Garamond" w:hAnsi="Garamond"/>
        </w:rPr>
        <w:fldChar w:fldCharType="begin" w:fldLock="1"/>
      </w:r>
      <w:r w:rsidRPr="009672FC">
        <w:rPr>
          <w:rFonts w:ascii="Garamond" w:hAnsi="Garamond"/>
        </w:rPr>
        <w:instrText>ADDIN CSL_CITATION {"citationItems":[{"id":"ITEM-1","itemData":{"DOI":"10.1080/00472778.2021.1905822","ISSN":"1540627X","abstract":"This editorial sets out to suggest how academics can enhance the impact of their work. I hope this will be useful for authors submitting to the Journal of Small Business Management (JSBM) as well as other journals based on observations as an Associate Editor as well as from the valuable input by other scholars acknowledged within this editorial. Although not comprehensive, these efforts and suggestions about broadening scope, selecting topics and phenomena to study, and translating research are meant to improve our contributions aligned with the aims and scope of JSBM.","author":[{"dropping-particle":"","family":"Bendickson","given":"Joshua","non-dropping-particle":"","parse-names":false,"suffix":""}],"container-title":"Journal of Small Business Management","id":"ITEM-1","issue":"4","issued":{"date-parts":[["2021"]]},"page":"535-543","publisher":"Routledge","title":"Building entrepreneurship research for impact: Scope, phenomenon, and translation","type":"article-journal","volume":"59"},"uris":["http://www.mendeley.com/documents/?uuid=3dd75699-843b-4da7-9d8b-66ce59b17613"]}],"mendeley":{"formattedCitation":"(Bendickson, 2021)","manualFormatting":"Bendickson (2021)","plainTextFormattedCitation":"(Bendickson, 2021)","previouslyFormattedCitation":"(Bendickson, 2021)"},"properties":{"noteIndex":0},"schema":"https://github.com/citation-style-language/schema/raw/master/csl-citation.json"}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Bendickson (2021)</w:t>
      </w:r>
      <w:r w:rsidRPr="009672FC">
        <w:rPr>
          <w:rFonts w:ascii="Garamond" w:hAnsi="Garamond"/>
        </w:rPr>
        <w:fldChar w:fldCharType="end"/>
      </w:r>
      <w:r w:rsidRPr="009672FC">
        <w:rPr>
          <w:rFonts w:ascii="Garamond" w:hAnsi="Garamond"/>
        </w:rPr>
        <w:t>, the findings of this study tr</w:t>
      </w:r>
      <w:r w:rsidR="00813D37" w:rsidRPr="009672FC">
        <w:rPr>
          <w:rFonts w:ascii="Garamond" w:hAnsi="Garamond"/>
        </w:rPr>
        <w:t>y</w:t>
      </w:r>
      <w:r w:rsidRPr="009672FC">
        <w:rPr>
          <w:rFonts w:ascii="Garamond" w:hAnsi="Garamond"/>
        </w:rPr>
        <w:t xml:space="preserve"> to offer context that </w:t>
      </w:r>
      <w:r w:rsidR="00813D37" w:rsidRPr="009672FC">
        <w:rPr>
          <w:rFonts w:ascii="Garamond" w:hAnsi="Garamond"/>
        </w:rPr>
        <w:t>applies</w:t>
      </w:r>
      <w:r w:rsidRPr="009672FC">
        <w:rPr>
          <w:rFonts w:ascii="Garamond" w:hAnsi="Garamond"/>
        </w:rPr>
        <w:t xml:space="preserve"> to </w:t>
      </w:r>
      <w:proofErr w:type="spellStart"/>
      <w:r w:rsidRPr="009672FC">
        <w:rPr>
          <w:rFonts w:ascii="Garamond" w:hAnsi="Garamond"/>
        </w:rPr>
        <w:t>nonacademics</w:t>
      </w:r>
      <w:proofErr w:type="spellEnd"/>
      <w:r w:rsidRPr="009672FC">
        <w:rPr>
          <w:rFonts w:ascii="Garamond" w:hAnsi="Garamond"/>
        </w:rPr>
        <w:t xml:space="preserve"> as well as academics. The findings of the study provide unusual insights into the cause-based social alliance context, enabling practitioners to organize and implement successful inter-firm social alliance projects. The results further advance knowledge on collaborative value practices of inter-firm social entrepreneurship networks, since its primary focus is to address social problems and simultaneously advance the economic, commercial interests of partners. The results provided in this research should be useful for academics to build on, allowing further studies on cause-related inter-firm alliance processes and challenges. Thus, managers of SMEs can also exploit these results to guide the organizing process of a successful cause-based alliance, and how to implement it most profitably. When addressing collaborative value practices for a social cause, it may be useful to consider this case study to understand the operationalization of the network and some of the challenges faced. Managers of SMEs could rely on these findings to enhance their collaborative capabilities with other firms, thus enabling their participation, and performance </w:t>
      </w:r>
      <w:r w:rsidRPr="009672FC">
        <w:rPr>
          <w:rFonts w:ascii="Garamond" w:hAnsi="Garamond"/>
        </w:rPr>
        <w:fldChar w:fldCharType="begin" w:fldLock="1"/>
      </w:r>
      <w:r w:rsidRPr="009672FC">
        <w:rPr>
          <w:rFonts w:ascii="Garamond" w:hAnsi="Garamond"/>
        </w:rPr>
        <w:instrText>ADDIN CSL_CITATION {"citationItems":[{"id":"ITEM-1","itemData":{"DOI":"10.1108/14626000410537146","ISSN":"14626004","abstract":"Applying social concepts to the social relations that the entrepreneur maintains, this research seeks to identify the impact of these relationships, and the learning that might result from them, on the decision-making process. A social and conversational model of experiential learning is put forward, where learning and influence are seen to emerge as part of an ongoing negotiated process. This argument complements Kolb's “fundamentally cognitive” theory of experiential learning, by challenging the view that the learner should be viewed as an “intellectual Robinson Crusoe”, and stating that even when an individual reflects and theorises their thoughts have a social character. Data were collected using critical incident technique through one-to-one in-depth interviews over several weeks. The paper goes some way to confirm the importance of networks in the business development process, helping further to define how networks exist. The learning identified, is understood therefore as part of an ongoing negotiated process within a complex network of domestic, voluntary, commercial and professional relations. © 2004, Emerald Group Publishing Limited","author":[{"dropping-particle":"","family":"Taylor","given":"David W.","non-dropping-particle":"","parse-names":false,"suffix":""},{"dropping-particle":"","family":"Thorpe","given":"Richard","non-dropping-particle":"","parse-names":false,"suffix":""}],"container-title":"Journal of Small Business and Enterprise Development","id":"ITEM-1","issue":"2","issued":{"date-parts":[["2004"]]},"page":"203-211","title":"Entrepreneurial learning: A process of co-participation","type":"article-journal","volume":"11"},"uris":["http://www.mendeley.com/documents/?uuid=cfb7fbf5-ea21-41b0-bc1f-58d3d07ef096"]}],"mendeley":{"formattedCitation":"(Taylor &amp; Thorpe, 2004)","plainTextFormattedCitation":"(Taylor &amp; Thorpe, 2004)","previouslyFormattedCitation":"(Taylor &amp; Thorpe,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(Taylor &amp; Thorpe, 2004)</w:t>
      </w:r>
      <w:r w:rsidRPr="009672FC">
        <w:rPr>
          <w:rFonts w:ascii="Garamond" w:hAnsi="Garamond"/>
        </w:rPr>
        <w:fldChar w:fldCharType="end"/>
      </w:r>
      <w:r w:rsidRPr="009672FC">
        <w:rPr>
          <w:rFonts w:ascii="Garamond" w:hAnsi="Garamond"/>
        </w:rPr>
        <w:t>.</w:t>
      </w:r>
    </w:p>
    <w:p w14:paraId="0D028CCF" w14:textId="7E900E15" w:rsidR="003D5DE8" w:rsidRPr="009672FC" w:rsidRDefault="007549AA" w:rsidP="00890FB2">
      <w:pPr>
        <w:spacing w:before="240" w:line="360" w:lineRule="auto"/>
        <w:jc w:val="both"/>
        <w:rPr>
          <w:rFonts w:ascii="Garamond" w:hAnsi="Garamond"/>
        </w:rPr>
      </w:pPr>
      <w:r w:rsidRPr="009672FC">
        <w:rPr>
          <w:rFonts w:ascii="Garamond" w:hAnsi="Garamond"/>
        </w:rPr>
        <w:t xml:space="preserve">However, the limitations associated with the qualitative approach and a case study design should be taken into consideration when making inferences at a broader scale. The theoretical implication of our findings is that future studies may try to replicate the collaborative value practices of a cause-based SE network, addressing a particular industry or market, or even comparing across different network levels with a diverse membership, and market/industry structure. Thus, the samples from bigger firms and corporations and their attitude to a social cause may be highly influenced by the size, capability, and motives, since our current case is largely by SMEs.  Further, a quantitative study on how collaborative value practices influence actors’ social performance, would yield interesting findings to the cause-based social alliance literature. </w:t>
      </w:r>
    </w:p>
    <w:p w14:paraId="35E09247" w14:textId="6ECDA337" w:rsidR="003D5DE8" w:rsidRPr="009672FC" w:rsidRDefault="003D5DE8">
      <w:pPr>
        <w:spacing w:line="360" w:lineRule="auto"/>
        <w:ind w:firstLine="360"/>
        <w:jc w:val="both"/>
        <w:rPr>
          <w:rFonts w:ascii="Garamond" w:hAnsi="Garamond"/>
        </w:rPr>
      </w:pPr>
    </w:p>
    <w:p w14:paraId="61FB72C9" w14:textId="68A10647" w:rsidR="00890FB2" w:rsidRPr="009672FC" w:rsidRDefault="00890FB2">
      <w:pPr>
        <w:spacing w:line="360" w:lineRule="auto"/>
        <w:ind w:firstLine="360"/>
        <w:jc w:val="both"/>
        <w:rPr>
          <w:rFonts w:ascii="Garamond" w:hAnsi="Garamond"/>
        </w:rPr>
      </w:pPr>
    </w:p>
    <w:p w14:paraId="047AC111" w14:textId="744D5289" w:rsidR="00813D37" w:rsidRPr="009672FC" w:rsidRDefault="00813D37">
      <w:pPr>
        <w:spacing w:line="360" w:lineRule="auto"/>
        <w:ind w:firstLine="360"/>
        <w:jc w:val="both"/>
        <w:rPr>
          <w:rFonts w:ascii="Garamond" w:hAnsi="Garamond"/>
        </w:rPr>
      </w:pPr>
    </w:p>
    <w:p w14:paraId="1F5090DE" w14:textId="6E0DE5EC" w:rsidR="00813D37" w:rsidRDefault="00813D37" w:rsidP="00205681">
      <w:pPr>
        <w:spacing w:line="360" w:lineRule="auto"/>
        <w:jc w:val="both"/>
        <w:rPr>
          <w:rFonts w:ascii="Garamond" w:hAnsi="Garamond"/>
        </w:rPr>
      </w:pPr>
    </w:p>
    <w:p w14:paraId="263A9216" w14:textId="77777777" w:rsidR="00205681" w:rsidRPr="009672FC" w:rsidRDefault="00205681" w:rsidP="00205681">
      <w:pPr>
        <w:spacing w:line="360" w:lineRule="auto"/>
        <w:jc w:val="both"/>
        <w:rPr>
          <w:rFonts w:ascii="Garamond" w:hAnsi="Garamond"/>
        </w:rPr>
      </w:pPr>
    </w:p>
    <w:p w14:paraId="0AEA3023" w14:textId="77777777" w:rsidR="00813D37" w:rsidRPr="009672FC" w:rsidRDefault="00813D37">
      <w:pPr>
        <w:spacing w:line="360" w:lineRule="auto"/>
        <w:ind w:firstLine="360"/>
        <w:jc w:val="both"/>
        <w:rPr>
          <w:rFonts w:ascii="Garamond" w:hAnsi="Garamond"/>
        </w:rPr>
      </w:pPr>
    </w:p>
    <w:p w14:paraId="035886A9" w14:textId="31EED79F" w:rsidR="003D5DE8" w:rsidRPr="009672FC" w:rsidRDefault="007549AA" w:rsidP="005C5F35">
      <w:pPr>
        <w:pStyle w:val="Heading1"/>
        <w:jc w:val="center"/>
        <w:rPr>
          <w:rFonts w:ascii="Garamond" w:hAnsi="Garamond" w:cs="Times New Roman"/>
          <w:b/>
          <w:bCs/>
          <w:color w:val="auto"/>
          <w:sz w:val="24"/>
          <w:szCs w:val="24"/>
        </w:rPr>
      </w:pPr>
      <w:bookmarkStart w:id="256" w:name="_Toc85708786"/>
      <w:bookmarkStart w:id="257" w:name="_Toc85709800"/>
      <w:r w:rsidRPr="009672FC">
        <w:rPr>
          <w:rFonts w:ascii="Garamond" w:hAnsi="Garamond" w:cs="Times New Roman"/>
          <w:b/>
          <w:bCs/>
          <w:color w:val="auto"/>
          <w:sz w:val="24"/>
          <w:szCs w:val="24"/>
        </w:rPr>
        <w:lastRenderedPageBreak/>
        <w:t>List of Appendixes</w:t>
      </w:r>
      <w:bookmarkEnd w:id="256"/>
      <w:bookmarkEnd w:id="257"/>
    </w:p>
    <w:p w14:paraId="1DC5CC2D" w14:textId="77777777" w:rsidR="005C5F35" w:rsidRPr="009672FC" w:rsidRDefault="005C5F35" w:rsidP="005C5F35">
      <w:pPr>
        <w:rPr>
          <w:rFonts w:ascii="Garamond" w:hAnsi="Garamond"/>
        </w:rPr>
      </w:pPr>
    </w:p>
    <w:p w14:paraId="0EBFD28C" w14:textId="72066895" w:rsidR="005C5F35" w:rsidRPr="00205681" w:rsidRDefault="00205681" w:rsidP="00205681">
      <w:pPr>
        <w:rPr>
          <w:rFonts w:ascii="Garamond" w:hAnsi="Garamond"/>
          <w:sz w:val="32"/>
          <w:szCs w:val="32"/>
        </w:rPr>
      </w:pPr>
      <w:r>
        <w:rPr>
          <w:rFonts w:ascii="Garamond" w:hAnsi="Garamond"/>
          <w:b/>
          <w:bCs/>
        </w:rPr>
        <w:t xml:space="preserve">Appendix 1. </w:t>
      </w:r>
      <w:r w:rsidR="005C5F35" w:rsidRPr="00205681">
        <w:rPr>
          <w:rFonts w:ascii="Garamond" w:hAnsi="Garamond"/>
          <w:b/>
          <w:bCs/>
        </w:rPr>
        <w:t>Network antecedents</w:t>
      </w:r>
    </w:p>
    <w:tbl>
      <w:tblPr>
        <w:tblStyle w:val="TableGrid"/>
        <w:tblW w:w="9810" w:type="dxa"/>
        <w:jc w:val="center"/>
        <w:tblBorders>
          <w:left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790"/>
        <w:gridCol w:w="7020"/>
      </w:tblGrid>
      <w:tr w:rsidR="005C5F35" w:rsidRPr="009672FC" w14:paraId="53B42B22" w14:textId="77777777" w:rsidTr="00791631">
        <w:trPr>
          <w:jc w:val="center"/>
        </w:trPr>
        <w:tc>
          <w:tcPr>
            <w:tcW w:w="2790" w:type="dxa"/>
            <w:shd w:val="clear" w:color="auto" w:fill="FFFFFF" w:themeFill="background1"/>
          </w:tcPr>
          <w:p w14:paraId="0B837C96" w14:textId="38680FAD" w:rsidR="005C5F35" w:rsidRPr="009672FC" w:rsidRDefault="005C5F35" w:rsidP="00791631">
            <w:pPr>
              <w:pStyle w:val="NoSpacing"/>
              <w:spacing w:line="360" w:lineRule="auto"/>
              <w:rPr>
                <w:rFonts w:ascii="Garamond" w:hAnsi="Garamond" w:cs="Times New Roman"/>
                <w:b/>
                <w:bCs/>
              </w:rPr>
            </w:pPr>
            <w:r w:rsidRPr="009672FC">
              <w:rPr>
                <w:rFonts w:ascii="Garamond" w:hAnsi="Garamond" w:cs="Times New Roman"/>
                <w:b/>
                <w:bCs/>
              </w:rPr>
              <w:t xml:space="preserve">Network antecedents </w:t>
            </w:r>
          </w:p>
        </w:tc>
        <w:tc>
          <w:tcPr>
            <w:tcW w:w="7020" w:type="dxa"/>
            <w:shd w:val="clear" w:color="auto" w:fill="FFFFFF" w:themeFill="background1"/>
          </w:tcPr>
          <w:p w14:paraId="4E4F4FC6" w14:textId="77777777" w:rsidR="005C5F35" w:rsidRPr="009672FC" w:rsidRDefault="005C5F35" w:rsidP="00791631">
            <w:pPr>
              <w:pStyle w:val="NoSpacing"/>
              <w:spacing w:line="360" w:lineRule="auto"/>
              <w:jc w:val="center"/>
              <w:rPr>
                <w:rFonts w:ascii="Garamond" w:hAnsi="Garamond" w:cs="Times New Roman"/>
                <w:b/>
                <w:bCs/>
              </w:rPr>
            </w:pPr>
            <w:r w:rsidRPr="009672FC">
              <w:rPr>
                <w:rFonts w:ascii="Garamond" w:hAnsi="Garamond" w:cs="Times New Roman"/>
                <w:b/>
                <w:bCs/>
              </w:rPr>
              <w:t>Summary</w:t>
            </w:r>
          </w:p>
        </w:tc>
      </w:tr>
      <w:tr w:rsidR="005C5F35" w:rsidRPr="009672FC" w14:paraId="732A3A8B" w14:textId="77777777" w:rsidTr="00791631">
        <w:trPr>
          <w:jc w:val="center"/>
        </w:trPr>
        <w:tc>
          <w:tcPr>
            <w:tcW w:w="2790" w:type="dxa"/>
            <w:shd w:val="clear" w:color="auto" w:fill="FFFFFF" w:themeFill="background1"/>
          </w:tcPr>
          <w:p w14:paraId="41E786C7" w14:textId="77777777" w:rsidR="005C5F35" w:rsidRPr="009672FC" w:rsidRDefault="005C5F35" w:rsidP="00791631">
            <w:pPr>
              <w:pStyle w:val="NoSpacing"/>
              <w:spacing w:line="360" w:lineRule="auto"/>
              <w:rPr>
                <w:rFonts w:ascii="Garamond" w:hAnsi="Garamond" w:cs="Times New Roman"/>
                <w:i/>
                <w:iCs/>
              </w:rPr>
            </w:pPr>
            <w:r w:rsidRPr="009672FC">
              <w:rPr>
                <w:rFonts w:ascii="Garamond" w:hAnsi="Garamond" w:cs="Times New Roman"/>
                <w:i/>
                <w:iCs/>
              </w:rPr>
              <w:t>Social/relational ties.</w:t>
            </w:r>
          </w:p>
        </w:tc>
        <w:tc>
          <w:tcPr>
            <w:tcW w:w="7020" w:type="dxa"/>
            <w:shd w:val="clear" w:color="auto" w:fill="FFFFFF" w:themeFill="background1"/>
          </w:tcPr>
          <w:p w14:paraId="6A2A4872" w14:textId="51415AB8" w:rsidR="005C5F35" w:rsidRPr="009672FC" w:rsidRDefault="005C5F35" w:rsidP="00791631">
            <w:pPr>
              <w:pStyle w:val="NoSpacing"/>
              <w:spacing w:line="360" w:lineRule="auto"/>
              <w:jc w:val="both"/>
              <w:rPr>
                <w:rFonts w:ascii="Garamond" w:hAnsi="Garamond" w:cs="Times New Roman"/>
              </w:rPr>
            </w:pPr>
            <w:r w:rsidRPr="009672FC">
              <w:rPr>
                <w:rFonts w:ascii="Garamond" w:hAnsi="Garamond" w:cs="Times New Roman"/>
                <w:lang w:val="en-US"/>
              </w:rPr>
              <w:t xml:space="preserve">Scholars recognize the importance of social and relational ties and friendship among actors (e.g.,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{"citationItems":[{"id":"ITEM-1","itemData":{"DOI":"10.1016/j.ijproman.2009.11.006","ISSN":"02637863","abstract":"The importance of trust in projects that involve multiple project partners is widely acknowledged. This research analyzes both outcomes and antecedents of trust in inter-organizational projects. On the outcome side, the findings show that trust between project team members working on an inter-organizational project positively impacts the acquisition of external knowledge which, in turn, promotes product innovation. With respect to the antecedents of trust data reveal that a stable pool of project team members and objective project reward criteria facilitate the formation of inter-organizational trust. © 2009 Elsevier Ltd and IPMA.","author":[{"dropping-particle":"","family":"Maurer","given":"Indre","non-dropping-particle":"","parse-names":false,"suffix":""}],"container-title":"International Journal of Project Management","id":"ITEM-1","issue":"7","issued":{"date-parts":[["2010"]]},"page":"629-637","publisher":"Elsevier Ltd and IPMA","title":"How to build trust in inter-organizational projects: The impact of project staffing and project rewards on the formation of trust, knowledge acquisition and product innovation","type":"article-journal","volume":"28"},"uris":["http://www.mendeley.com/documents/?uuid=9f0794b5-78d2-487e-bf74-762e7e028353"]}],"mendeley":{"formattedCitation":"(Maurer, 2010)","manualFormatting":"Maurer, 2010;","plainTextFormattedCitation":"(Maurer, 2010)","previouslyFormattedCitation":"(Maurer, 2010)"},"properties":{"noteIndex":0},"schema":"https://github.com/citation-style-language/schema/raw/master/csl-citation.json"}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Maurer, 2010;</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{"citationItems":[{"id":"ITEM-1","itemData":{"DOI":"10.2478/ijme-2018-0014","abstract":"Purpose – This study aimed to assess the impact of director-generals’ human and social capitals on the organizational performance of farmers’ cooperatives in Fujian Province. Design/Methodology/Approach – Questionnaire survey data of 303 standard cooperatives in nine cities of Fujian Province were statistically analyzed.Findings – We identified that director-generals’ human and social capitals affect all four dimensions of cooperative performance, through the mediating role of management effectiveness.Practical Implications – We offer suggestions and measures for improving cooperatives’ performance by enhancing the human and social capitals of director-generals. Based on China’s national conditions, we propose measures to improve director-generals’ human and social capitals by the Internal trust, Government policy support, and Business network (IGB) model, which emphasizes establishing a social network of cooperatives’ director-generals, accumulating social capital, and promoting cooperative development through internal members, government departments, and commercial organizations.","author":[{"dropping-particle":"","family":"Liu","given":"Bin","non-dropping-particle":"","parse-names":false,"suffix":""},{"dropping-particle":"","family":"Li","given":"Zhongbin","non-dropping-particle":"","parse-names":false,"suffix":""}],"container-title":"International Journal of Management and Economics","id":"ITEM-1","issue":"2","issued":{"date-parts":[["2018"]]},"page":"149-165","title":"Director-Generals’ Human and Social Capital, and Management Performance of Farmers’ Cooperatives: Evidence from China’s Fujian","type":"article-journal","volume":"54"},"uris":["http://www.mendeley.com/documents/?uuid=70487db3-cfd2-48cb-8ae2-31562c40bae9"]}],"mendeley":{"formattedCitation":"(B. Liu &amp; Li, 2018)","manualFormatting":"Liu and Li, 2018;","plainTextFormattedCitation":"(B. Liu &amp; Li, 2018)","previouslyFormattedCitation":"(Liu and Li, 2018)"},"properties":{"noteIndex":0},"schema":"https://github.com/citation-style-language/schema/raw/master/csl-citation.json"}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Liu and Li, 2018;</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{"citationItems":[{"id":"ITEM-1","itemData":{"DOI":"10.1016/j.indmarman.2018.11.010","ISSN":"00198501","abstract":"Boundary spanner relational behavior is considered critical in the successful management of buyer–supplier relationships and may help avoiding high costs of more formal inter-organizational controls. Yet, the influence of partners' boundary spanners on effective supply chain collaboration has had much less inquiry than the influence of broader inter-organizational controls. We use survey data of 200 buyer–supplier relationships to examine how these individual and organizational control mechanisms influence the performance effects of interfirm collaborations that vary in scope of activities undertaken. Findings show that collaboration scope as well as boundary spanner relational behavior and inter-organizational controls are positively associated with performance. The effect of collaboration scope on firm performance, however, also depends on both mechanisms but in opposite directions: while its influence on performance is enhanced by inter-organizational controls, relational behavior of partners' boundary spanners has a negative moderating effect, indicating that such behavior contributes more to the effective management of collaborations of narrow scope than those of broader scope.","author":[{"dropping-particle":"","family":"Dekker","given":"Henri","non-dropping-particle":"","parse-names":false,"suffix":""},{"dropping-particle":"","family":"Donada","given":"Carole","non-dropping-particle":"","parse-names":false,"suffix":""},{"dropping-particle":"","family":"Mothe","given":"Caroline","non-dropping-particle":"","parse-names":false,"suffix":""},{"dropping-particle":"","family":"Nogatchewsky","given":"Gwenaëlle","non-dropping-particle":"","parse-names":false,"suffix":""}],"container-title":"Industrial Marketing Management","id":"ITEM-1","issue":"November 2018","issued":{"date-parts":[["2019"]]},"page":"143-154","publisher":"Elsevier","title":"Boundary spanner relational behavior and inter-organizational control in supply chain relationships","type":"article-journal","volume":"77"},"uris":["http://www.mendeley.com/documents/?uuid=4bd6fd53-1d3b-4b47-accf-93c2cf46997f"]}],"mendeley":{"formattedCitation":"(Dekker, Donada, Mothe, &amp; Nogatchewsky, 2019)","manualFormatting":"Dekker et al., 2019; Sarkar, Aulakh and Cavusgil, 1998; Pinto, Slevin and English, 2009; Newell and Swan, 2000; Öberg, 2019; Ekici, 2013)","plainTextFormattedCitation":"(Dekker, Donada, Mothe, &amp; Nogatchewsky, 2019)","previouslyFormattedCitation":"(Dekker &lt;i&gt;et al.&lt;/i&gt;,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 xml:space="preserve">Dekker et al., 2019; Sarkar, Aulakh and Cavusgil, 1998;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{"citationItems":[{"id":"ITEM-1","itemData":{"DOI":"10.1016/j.ijproman.2008.09.010","ISSN":"02637863","abstract":"A great deal of literature has pointed to the importance of trust as a facilitator of positive relationships among project stakeholders. Trust is argued to enhance a variety of intra-organizational relationships, including project team dynamics, top management support, and coordination across functional departments. Likewise, trust is argued to improve the inter-organizational relationships among principal actors in project development, such as contractors, owners, and suppliers. This paper reports on the results of an empirical study that investigated the impact of trust between project owners and contractors in a number of large construction projects in Canada. We operationalized trust along the Hartman [Hartman FT. The role of trust in project management. In: Slevin DP, Cleland DI, Pinto JK, editors. The frontiers of project management research. Newtown Square, PA: Project Management Institute; 2002, p. 225-35] dimensions as incorporating both competence and integrity and compared the perspectives of project contractors and owners. Using regression and path analysis, we analyzed the differential effects of competence and integrity trust on enhanced owner/contractor relationships and project success. Our findings indicate that trust has different meanings for contractors and owners, as its impact on satisfaction with the relationship and positive project outcomes varies depending upon which group is surveyed. © 2008 Elsevier Ltd and IPMA.","author":[{"dropping-particle":"","family":"Pinto","given":"Jeffrey K.","non-dropping-particle":"","parse-names":false,"suffix":""},{"dropping-particle":"","family":"Slevin","given":"Dennis P.","non-dropping-particle":"","parse-names":false,"suffix":""},{"dropping-particle":"","family":"English","given":"Brent","non-dropping-particle":"","parse-names":false,"suffix":""}],"container-title":"International Journal of Project Management","id":"ITEM-1","issue":"6","issued":{"date-parts":[["2009"]]},"page":"638-648","publisher":"Elsevier Ltd and IPMA","title":"Trust in projects: An empirical assessment of owner/contractor relationships","type":"article-journal","volume":"27"},"uris":["http://www.mendeley.com/documents/?uuid=e6483679-fa52-414b-a769-5a22b04d6210"]}],"mendeley":{"formattedCitation":"(Pinto et al., 2009)","manualFormatting":"Pinto, Slevin and English, 2009;","plainTextFormattedCitation":"(Pinto et al., 2009)","previouslyFormattedCitation":"(Pinto, Slevin and English, 2009)"},"properties":{"noteIndex":0},"schema":"https://github.com/citation-style-language/schema/raw/master/csl-citation.json"}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Pinto, Slevin and English, 2009;</w:t>
            </w:r>
            <w:r w:rsidRPr="009672FC">
              <w:rPr>
                <w:rFonts w:ascii="Garamond" w:hAnsi="Garamond" w:cs="Times New Roman"/>
                <w:noProof/>
                <w:lang w:val="en-US"/>
              </w:rPr>
              <w:fldChar w:fldCharType="end"/>
            </w:r>
            <w:r w:rsidRPr="009672FC">
              <w:rPr>
                <w:rFonts w:ascii="Garamond" w:hAnsi="Garamond" w:cs="Times New Roman"/>
                <w:noProof/>
                <w:lang w:val="en-US"/>
              </w:rPr>
              <w:t xml:space="preserve">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author":[{"dropping-particle":"","family":"Newell","given":"Sue","non-dropping-particle":"","parse-names":false,"suffix":""},{"dropping-particle":"","family":"Swan","given":"Jacky","non-dropping-particle":"","parse-names":false,"suffix":""}],"container-title":"Human Relations","id":"ITEM-1","issue":"10","issued":{"date-parts":[["2000"]]},"page":"1287-1328","title":"Trust and inter-organizational networking","type":"article-journal","volume":"53"},"uris":["http://www.mendeley.com/documents/?uuid=b97d2573-0ead-4a70-af65-7a5fa20d56f1"]}],"mendeley":{"formattedCitation":"(Newell &amp; Swan, 2000)","manualFormatting":"Newell and Swan, 2000; Öberg, 2019; Ekici, 2013","plainTextFormattedCitation":"(Newell &amp; Swan, 2000)","previouslyFormattedCitation":"(Newell and Swan, 2000)"},"properties":{"noteIndex":0},"schema":"https://github.com/citation-style-language/schema/raw/master/csl-citation.json"}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 xml:space="preserve">Newell and Swan, 2000; </w:t>
            </w:r>
            <w:bookmarkStart w:id="258" w:name="_Hlk29873476"/>
            <w:r w:rsidRPr="009672FC">
              <w:rPr>
                <w:rFonts w:ascii="Garamond" w:hAnsi="Garamond" w:cs="Times New Roman"/>
                <w:noProof/>
                <w:lang w:val="en-US"/>
              </w:rPr>
              <w:fldChar w:fldCharType="begin" w:fldLock="1"/>
            </w:r>
            <w:r w:rsidRPr="009672FC">
              <w:rPr>
                <w:rFonts w:ascii="Garamond" w:hAnsi="Garamond" w:cs="Times New Roman"/>
                <w:noProof/>
                <w:lang w:val="en-US"/>
              </w:rPr>
              <w:instrText>ADDIN CSL_CITATION {"citationItems":[{"id":"ITEM-1","itemData":{"DOI":"10.1016/j.jik.2017.10.001","ISSN":"2444569X","abstract":"A business network consists of directly and indirectly connected companies, where social and economic ties help to understand these connection. Innovations could be seen to relate to business networks in two ways: they may result from interaction between business partners, or they would need to fit into, or through changes to interaction patterns among various business partners, be fitted into new or current business networks. In the literature on innovation, the incremental, radical, or disruptive characteristics of the innovations are frequently described as degrees of newness. This paper categorizes characteristics of business networks based on their role to create various types of innovations, and based on the various types’ consequences for the business network. The empirical part of this paper is based on six case-study examples from interviews performed by the author. The findings suggest links between the type of innovation, and the role of the network and network consequences. The paper contributes to previous research through discussing the role of business networks for various types of innovation. Furthermore, the paper contributes to previous research through indicating the various types of innovations’ consequences for the business network. Most previous research on business networks and innovation only concerns itself with how various parties participate in idea generation and co-development of innovations, while the consequences for the business network is not described extensively.","author":[{"dropping-particle":"","family":"Öberg","given":"Christina","non-dropping-particle":"","parse-names":false,"suffix":""}],"container-title":"Journal of Innovation and Knowledge","id":"ITEM-1","issue":"2","issued":{"date-parts":[["2019"]]},"page":"124-128","publisher":"Journal of Innovation &amp; Knowledge","title":"The role of business networks for innovation","type":"article-journal","volume":"4"},"uris":["http://www.mendeley.com/documents/?uuid=ccc090d6-9325-4c8b-bbea-27bdae6ca0bb"]}],"mendeley":{"formattedCitation":"(Öberg, 2019)","manualFormatting":"Öberg, 2019; Ekici, 2013","plainTextFormattedCitation":"(Öberg, 2019)","previouslyFormattedCitation":"(Öberg, 2019)"},"properties":{"noteIndex":0},"schema":"https://github.com/citation-style-language/schema/raw/master/csl-citation.json"}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 xml:space="preserve">Öberg, 2019; </w:t>
            </w:r>
            <w:r w:rsidRPr="009672FC">
              <w:rPr>
                <w:rFonts w:ascii="Garamond" w:hAnsi="Garamond" w:cs="Times New Roman"/>
                <w:noProof/>
                <w:lang w:val="en-US"/>
              </w:rPr>
              <w:fldChar w:fldCharType="begin" w:fldLock="1"/>
            </w:r>
            <w:r w:rsidRPr="009672FC">
              <w:rPr>
                <w:rFonts w:ascii="Garamond" w:hAnsi="Garamond" w:cs="Times New Roman"/>
                <w:noProof/>
                <w:lang w:val="en-US"/>
              </w:rPr>
              <w:instrText>ADDIN CSL_CITATION {"citationItems":[{"id":"ITEM-1","itemData":{"DOI":"10.1016/j.indmarman.2013.03.008","ISSN":"00198501","abstract":"This paper reports the results of a qualitative study undertaken to understand the nature of trust and its consequences for both suppliers and buyers in short term (relatively new) and long term (older/more mature) relationships in inter-organizational contexts. Scholars have recently pointed out the importance of research that investigates the temporal characteristics and dynamics of trust in inter-organizational studies. Our paper responds to this call by indentifying the changing nature of the level of trust as the buyer-supplier relationship matures. Our findings contribute to sparse and conflicting previous research on the relationship between length of partnership and perceptions of trust, types of dark side consequences of trusting relationships, and reasons buyers and suppliers continue or terminate low/no-trust associations. Specifically, we illustrate that buyers and suppliers draw on substantially different metaphors for understanding the nature of trust in long and short term exchange relationships. Suppliers see marked differences in trust with long term versus short term exchange partners, while buyers see little or no difference. Suppliers and buyers also appear to have different conceptions of how trust is nested (or not) within the broader economic and/or personal relationship. Through our inductive model, we elaborate several types of betrayal and disappointment, distinguish several factors that lead suppliers and buyers to stay in relationships with partners they don't trust, and identify key issues that topple untrusting relationships into terminated relationships. © 2013 Elsevier Inc.","author":[{"dropping-particle":"","family":"Ekici","given":"Ahmet","non-dropping-particle":"","parse-names":false,"suffix":""}],"container-title":"Industrial Marketing Management","id":"ITEM-1","issue":"6","issued":{"date-parts":[["2013"]]},"page":"932-949","publisher":"Elsevier Inc.","title":"Temporal dynamics of trust in ongoing inter-organizational relationships","type":"article-journal","volume":"42"},"uris":["http://www.mendeley.com/documents/?uuid=90e5475c-7741-4540-9887-6a8210ad42e9"]}],"mendeley":{"formattedCitation":"(Ekici, 2013)","manualFormatting":"Ekici, 2013","plainTextFormattedCitation":"(Ekici, 2013)","previouslyFormattedCitation":"(Ekici, 2013)"},"properties":{"noteIndex":0},"schema":"https://github.com/citation-style-language/schema/raw/master/csl-citation.json"}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Ekici, 2013</w:t>
            </w:r>
            <w:r w:rsidRPr="009672FC">
              <w:rPr>
                <w:rFonts w:ascii="Garamond" w:hAnsi="Garamond" w:cs="Times New Roman"/>
                <w:noProof/>
                <w:lang w:val="en-US"/>
              </w:rPr>
              <w:fldChar w:fldCharType="end"/>
            </w:r>
            <w:r w:rsidRPr="009672FC">
              <w:rPr>
                <w:rFonts w:ascii="Garamond" w:hAnsi="Garamond" w:cs="Times New Roman"/>
                <w:noProof/>
                <w:lang w:val="en-US"/>
              </w:rPr>
              <w:fldChar w:fldCharType="end"/>
            </w:r>
            <w:bookmarkEnd w:id="258"/>
            <w:r w:rsidRPr="009672FC">
              <w:rPr>
                <w:rFonts w:ascii="Garamond" w:hAnsi="Garamond" w:cs="Times New Roman"/>
                <w:noProof/>
                <w:lang w:val="en-US"/>
              </w:rPr>
              <w:fldChar w:fldCharType="end"/>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xml:space="preserve"> that promote the exchange of knowledge, especially tacit knowledge as a result of stronger ties and the structural and relational embeddedness of actors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{"citationItems":[{"id":"ITEM-1","itemData":{"DOI":"10.1016/j.ibusrev.2011.12.002","ISSN":"09695931","abstract":"Many studies have focused on the effects of MNC subsidiaries' external relational embeddedness. Little attention has been given to its antecedents and especially to the potential effect that the business network context might have. We try to fill this gap and attempt to explain variation among subsidiaries' degree of relational embeddedness. Our results show a strong and robust effect of the business network context - i.e. the network context in which the direct business relationships between the subsidiary and its partners are embedded - on the degree of relational embeddedness. However, contrary to previous literature, we find an inverted u-shaped relationship. We discuss our findings with regard to the issue of over-embeddedness and the literature on the strength of weak vs. strong ties. © 2011 Elsevier Ltd.","author":[{"dropping-particle":"","family":"Nell","given":"Phillip C.","non-dropping-particle":"","parse-names":false,"suffix":""},{"dropping-particle":"","family":"Andersson","given":"Ulf","non-dropping-particle":"","parse-names":false,"suffix":""}],"container-title":"International Business Review","id":"ITEM-1","issue":"6","issued":{"date-parts":[["2012"]]},"page":"1087-1098","publisher":"Elsevier Ltd","title":"The complexity of the business network context and its effect on subsidiary relational (over-) embeddedness","type":"article-journal","volume":"21"},"uris":["http://www.mendeley.com/documents/?uuid=f2a6a01d-2554-427e-b84d-ac1006c3595c"]}],"mendeley":{"formattedCitation":"(Nell &amp; Andersson, 2012)","manualFormatting":"Nell and Andersson, 2012; Shazi, Gillespie and Steen, 2015; Jonas et al., 2018)","plainTextFormattedCitation":"(Nell &amp; Andersson, 2012)","previouslyFormattedCitation":"(Nell and Andersson, 2012)"},"properties":{"noteIndex":0},"schema":"https://github.com/citation-style-language/schema/raw/master/csl-citation.json"}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 xml:space="preserve">Nell and Andersson, 2012;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{"citationItems":[{"id":"ITEM-1","itemData":{"DOI":"10.1016/j.ijproman.2014.06.001","ISSN":"02637863","abstract":"We examine the influence of trust on the formation of social network ties for the idea generation and idea realisation stages of innovation. Drawing on data from 153 employees working in project teams at two firms, we find two dimensions of trustworthiness, Ability and Benevolence, predict tie formation for both idea generation and idea realisation, whereas Integrity predicts tie formation for idea generation only. Moderation analyses across both firms and stages of innovation reveal that a lack of benevolence makes ability largely irrelevant as a criterion for choosing a partner for innovation activities, whereas high benevolence increases the extent to which ability influences partner choice. Additionally, a lack of integrity makes ability either irrelevant or a negative criterion for partner section. Overall the results suggest that people need to perceive others as benevolent and not lacking in integrity in order to seek out their skills and knowledge for innovation in project teams.","author":[{"dropping-particle":"","family":"Shazi","given":"Rahmat","non-dropping-particle":"","parse-names":false,"suffix":""},{"dropping-particle":"","family":"Gillespie","given":"Nicole","non-dropping-particle":"","parse-names":false,"suffix":""},{"dropping-particle":"","family":"Steen","given":"John","non-dropping-particle":"","parse-names":false,"suffix":""}],"container-title":"International Journal of Project Management","id":"ITEM-1","issue":"1","issued":{"date-parts":[["2015"]]},"page":"81-91","publisher":"Elsevier B.V.","title":"Trust as a predictor of innovation network ties in project teams","type":"article-journal","volume":"33"},"uris":["http://www.mendeley.com/documents/?uuid=cb9b4ead-4cbe-4556-93e2-f54f6f1c27b9"]}],"mendeley":{"formattedCitation":"(Shazi et al., 2015)","manualFormatting":"Shazi, Gillespie and Steen, 2015","plainTextFormattedCitation":"(Shazi et al., 2015)","previouslyFormattedCitation":"(Shazi, Gillespie and Steen, 2015)"},"properties":{"noteIndex":0},"schema":"https://github.com/citation-style-language/schema/raw/master/csl-citation.json"}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Shazi, Gillespie and Steen, 2015</w:t>
            </w:r>
            <w:r w:rsidRPr="009672FC">
              <w:rPr>
                <w:rFonts w:ascii="Garamond" w:hAnsi="Garamond" w:cs="Times New Roman"/>
                <w:noProof/>
                <w:lang w:val="en-US"/>
              </w:rPr>
              <w:fldChar w:fldCharType="end"/>
            </w:r>
            <w:r w:rsidRPr="009672FC">
              <w:rPr>
                <w:rFonts w:ascii="Garamond" w:hAnsi="Garamond" w:cs="Times New Roman"/>
                <w:noProof/>
                <w:lang w:val="en-US"/>
              </w:rPr>
              <w:t xml:space="preserve">;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{"citationItems":[{"id":"ITEM-1","itemData":{"DOI":"10.1108/JOSM-09-2016-0239","ISBN":"0920160239","author":[{"dropping-particle":"","family":"Jonas","given":"Julia M","non-dropping-particle":"","parse-names":false,"suffix":""},{"dropping-particle":"","family":"Boha","given":"Julian","non-dropping-particle":"","parse-names":false,"suffix":""},{"dropping-particle":"","family":"Sörhammar","given":"David","non-dropping-particle":"","parse-names":false,"suffix":""},{"dropping-particle":"","family":"Moeslein","given":"Kathrin M","non-dropping-particle":"","parse-names":false,"suffix":""}],"container-title":"Journal of Service Management","id":"ITEM-1","issue":"3","issued":{"date-parts":[["2018"]]},"page":"399-421","title":"Stakeholder engagement in innovation engagement in service ecosystems","type":"article-journal","volume":"29"},"uris":["http://www.mendeley.com/documents/?uuid=d81ce045-5a19-451e-b5fc-958af0a6a8ea"]}],"mendeley":{"formattedCitation":"(Jonas et al., 2018)","manualFormatting":"Jonas et al., 2018","plainTextFormattedCitation":"(Jonas et al., 2018)","previouslyFormattedCitation":"(Jonas &lt;i&gt;et al.&lt;/i&gt;, 2018)"},"properties":{"noteIndex":0},"schema":"https://github.com/citation-style-language/schema/raw/master/csl-citation.json"}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Jonas et al., 2018</w:t>
            </w:r>
            <w:r w:rsidRPr="009672FC">
              <w:rPr>
                <w:rFonts w:ascii="Garamond" w:hAnsi="Garamond" w:cs="Times New Roman"/>
                <w:noProof/>
                <w:lang w:val="en-US"/>
              </w:rPr>
              <w:fldChar w:fldCharType="end"/>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Thus, trust dimensions, such as cognitive and affective trust must be developed to promote actors’ acceptance of co-creation and performance of collaborative innovation projects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{"citationItems":[{"id":"ITEM-1","itemData":{"DOI":"10.1016/j.indmarman.2018.10.002","ISSN":"00198501","abstract":"Trust enjoys wide acceptance among scholars as a key facilitator of inter-organisational relationship development, and successful relationship development demands an understanding of what drives the propensity to trust between organisations within both cognitive and affective dimensions of trust. The six most salient antecedents of trust within contemporary trust literature have been identified as satisfaction, communication, competence, shared values, benevolence and integrity. This research suggests that co-creation is also an important antecedent of trust in business-to-business relationships. Co-creation is described here as the active participation, interactions and collaboration of the buyer and seller and other actors in the marketing exchange to develop a deeper understanding of the customer problem solving context. The relative strength of the cognitive and affective aspects of trust antecedents, the moderating influence of business experience and seniority on the relationship between significant antecedents and trust is also explored. The analysis uses statistical tools and then probes deeper using fuzzy-set qualitative comparative analysis (fsQCA).","author":[{"dropping-particle":"","family":"Franklin","given":"Drew","non-dropping-particle":"","parse-names":false,"suffix":""},{"dropping-particle":"","family":"Marshall","given":"Roger","non-dropping-particle":"","parse-names":false,"suffix":""}],"container-title":"Industrial Marketing Management","id":"ITEM-1","issue":"October 2018","issued":{"date-parts":[["2019"]]},"page":"170-181","publisher":"Elsevier","title":"Adding co-creation as an antecedent condition leading to trust in business-to-business relationships","type":"article-journal","volume":"77"},"uris":["http://www.mendeley.com/documents/?uuid=762041cb-4766-40cd-b0ee-06ca8c4c2190"]}],"mendeley":{"formattedCitation":"(Franklin &amp; Marshall, 2019)","manualFormatting":"Franklin and Marshall, 2019)","plainTextFormattedCitation":"(Franklin &amp; Marshall, 2019)","previouslyFormattedCitation":"(Franklin and Marshall,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Franklin and Marshall, 2019)</w:t>
            </w:r>
            <w:r w:rsidRPr="009672FC">
              <w:rPr>
                <w:rFonts w:ascii="Garamond" w:hAnsi="Garamond" w:cs="Times New Roman"/>
                <w:lang w:val="en-US"/>
              </w:rPr>
              <w:fldChar w:fldCharType="end"/>
            </w:r>
            <w:r w:rsidRPr="009672FC">
              <w:rPr>
                <w:rFonts w:ascii="Garamond" w:hAnsi="Garamond" w:cs="Times New Roman"/>
                <w:lang w:val="en-US"/>
              </w:rPr>
              <w:t xml:space="preserve">. Interfirm project managers must promote trust-building programs such as informal interactions, as a conduit to building interfirm network trust and mutual commitment towards collective network goals. Moreover, </w:t>
            </w:r>
            <w:r w:rsidRPr="009672FC">
              <w:rPr>
                <w:rFonts w:ascii="Garamond" w:hAnsi="Garamond" w:cs="Times New Roman"/>
              </w:rPr>
              <w:t>Because trust is temporal and a façade, it must be managed to mitigate the dark side of relational trust (</w:t>
            </w:r>
            <w:r w:rsidRPr="009672FC">
              <w:rPr>
                <w:rFonts w:ascii="Garamond" w:hAnsi="Garamond" w:cs="Times New Roman"/>
              </w:rPr>
              <w:fldChar w:fldCharType="begin" w:fldLock="1"/>
            </w:r>
            <w:r w:rsidRPr="009672FC">
              <w:rPr>
                <w:rFonts w:ascii="Garamond" w:hAnsi="Garamond" w:cs="Times New Roman"/>
              </w:rPr>
              <w:instrText>ADDIN CSL_CITATION {"citationItems":[{"id":"ITEM-1","itemData":{"DOI":"10.1016/j.indmarman.2013.03.008","ISSN":"00198501","abstract":"This paper reports the results of a qualitative study undertaken to understand the nature of trust and its consequences for both suppliers and buyers in short term (relatively new) and long term (older/more mature) relationships in inter-organizational contexts. Scholars have recently pointed out the importance of research that investigates the temporal characteristics and dynamics of trust in inter-organizational studies. Our paper responds to this call by indentifying the changing nature of the level of trust as the buyer-supplier relationship matures. Our findings contribute to sparse and conflicting previous research on the relationship between length of partnership and perceptions of trust, types of dark side consequences of trusting relationships, and reasons buyers and suppliers continue or terminate low/no-trust associations. Specifically, we illustrate that buyers and suppliers draw on substantially different metaphors for understanding the nature of trust in long and short term exchange relationships. Suppliers see marked differences in trust with long term versus short term exchange partners, while buyers see little or no difference. Suppliers and buyers also appear to have different conceptions of how trust is nested (or not) within the broader economic and/or personal relationship. Through our inductive model, we elaborate several types of betrayal and disappointment, distinguish several factors that lead suppliers and buyers to stay in relationships with partners they don't trust, and identify key issues that topple untrusting relationships into terminated relationships. © 2013 Elsevier Inc.","author":[{"dropping-particle":"","family":"Ekici","given":"Ahmet","non-dropping-particle":"","parse-names":false,"suffix":""}],"container-title":"Industrial Marketing Management","id":"ITEM-1","issue":"6","issued":{"date-parts":[["2013"]]},"page":"932-949","publisher":"Elsevier Inc.","title":"Temporal dynamics of trust in ongoing inter-organizational relationships","type":"article-journal","volume":"42"},"uris":["http://www.mendeley.com/documents/?uuid=90e5475c-7741-4540-9887-6a8210ad42e9"]}],"mendeley":{"formattedCitation":"(Ekici, 2013)","manualFormatting":"Ekici, 2013)","plainTextFormattedCitation":"(Ekici, 2013)","previouslyFormattedCitation":"(Ekici, 2013)"},"properties":{"noteIndex":0},"schema":"https://github.com/citation-style-language/schema/raw/master/csl-citation.json"}</w:instrText>
            </w:r>
            <w:r w:rsidRPr="009672FC">
              <w:rPr>
                <w:rFonts w:ascii="Garamond" w:hAnsi="Garamond" w:cs="Times New Roman"/>
              </w:rPr>
              <w:fldChar w:fldCharType="separate"/>
            </w:r>
            <w:r w:rsidRPr="009672FC">
              <w:rPr>
                <w:rFonts w:ascii="Garamond" w:hAnsi="Garamond" w:cs="Times New Roman"/>
                <w:noProof/>
              </w:rPr>
              <w:t>Ekici, 2013)</w:t>
            </w:r>
            <w:r w:rsidRPr="009672FC">
              <w:rPr>
                <w:rFonts w:ascii="Garamond" w:hAnsi="Garamond" w:cs="Times New Roman"/>
              </w:rPr>
              <w:fldChar w:fldCharType="end"/>
            </w:r>
            <w:r w:rsidRPr="009672FC">
              <w:rPr>
                <w:rFonts w:ascii="Garamond" w:hAnsi="Garamond" w:cs="Times New Roman"/>
              </w:rPr>
              <w:t>.</w:t>
            </w:r>
          </w:p>
        </w:tc>
      </w:tr>
      <w:tr w:rsidR="005C5F35" w:rsidRPr="009672FC" w14:paraId="4027E73E" w14:textId="77777777" w:rsidTr="00791631">
        <w:trPr>
          <w:trHeight w:val="2546"/>
          <w:jc w:val="center"/>
        </w:trPr>
        <w:tc>
          <w:tcPr>
            <w:tcW w:w="2790" w:type="dxa"/>
            <w:shd w:val="clear" w:color="auto" w:fill="FFFFFF" w:themeFill="background1"/>
          </w:tcPr>
          <w:p w14:paraId="3614CD60" w14:textId="77777777" w:rsidR="005C5F35" w:rsidRPr="009672FC" w:rsidRDefault="005C5F35" w:rsidP="00791631">
            <w:pPr>
              <w:pStyle w:val="NoSpacing"/>
              <w:spacing w:line="360" w:lineRule="auto"/>
              <w:rPr>
                <w:rFonts w:ascii="Garamond" w:hAnsi="Garamond" w:cs="Times New Roman"/>
                <w:i/>
                <w:iCs/>
              </w:rPr>
            </w:pPr>
            <w:r w:rsidRPr="009672FC">
              <w:rPr>
                <w:rFonts w:ascii="Garamond" w:hAnsi="Garamond" w:cs="Times New Roman"/>
                <w:i/>
                <w:iCs/>
              </w:rPr>
              <w:t>Resource dependency</w:t>
            </w:r>
          </w:p>
        </w:tc>
        <w:tc>
          <w:tcPr>
            <w:tcW w:w="7020" w:type="dxa"/>
            <w:shd w:val="clear" w:color="auto" w:fill="FFFFFF" w:themeFill="background1"/>
          </w:tcPr>
          <w:p w14:paraId="57179E7C" w14:textId="51CF4DDD" w:rsidR="005C5F35" w:rsidRPr="009672FC" w:rsidRDefault="005C5F35" w:rsidP="00791631">
            <w:pPr>
              <w:pStyle w:val="NoSpacing"/>
              <w:spacing w:line="360" w:lineRule="auto"/>
              <w:jc w:val="both"/>
              <w:rPr>
                <w:rFonts w:ascii="Garamond" w:hAnsi="Garamond" w:cs="Times New Roman"/>
              </w:rPr>
            </w:pPr>
            <w:r w:rsidRPr="009672FC">
              <w:rPr>
                <w:rFonts w:ascii="Garamond" w:hAnsi="Garamond" w:cs="Times New Roman"/>
                <w:lang w:val="en-US"/>
              </w:rPr>
              <w:t>Interfirm projects are resource-dependent partnerships and thus require resource integration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{"citationItems":[{"id":"ITEM-1","itemData":{"DOI":"10.1016/j.indmarman.2017.12.005","ISSN":"00198501","abstract":"This paper focuses on how newly established technology-based start-up companies become part of the business landscape. In more detail, the aim of the paper is to analyse how a start-up becomes embedded through its networking behaviours in a business network. To approach this phenomenon, the theoretical frame of reference is based on the industrial network approach to industrial markets separating developing, producing and using settings. The business network settings are combined with networking behaviours consisting of both strong and weak ties. Importantly, for a start-up to become embedded through networking, resources of the start-up need to be combined with resources in the three business network settings. The paper relies on a case study methodology focusing on a start-up, founded at a technical university in Sweden, and its networking behaviours. The paper concludes that networking behaviours relying on strong ties are crucial to resource combining. However, the analysis also shows the importance of networking behaviours of weak ties, acquiring information and interaction to sensing new opportunities. The paper ends with managerial implications for start-up managers, pinpointing the need to work with both strong and weak ties as a platform to eventually become embedded in business networks.","author":[{"dropping-particle":"","family":"Landqvist","given":"Maria","non-dropping-particle":"","parse-names":false,"suffix":""},{"dropping-particle":"","family":"Lind","given":"Frida","non-dropping-particle":"","parse-names":false,"suffix":""}],"container-title":"Industrial Marketing Management","id":"ITEM-1","issue":"December 2015","issued":{"date-parts":[["2019"]]},"page":"160-171","publisher":"Elsevier","title":"A start-up embedding in three business network settings – A matter of resource combining","type":"article-journal","volume":"80"},"uris":["http://www.mendeley.com/documents/?uuid=f0fcfc7e-42af-45cb-bebd-804af8d2d4cb"]}],"mendeley":{"formattedCitation":"(Landqvist &amp; Lind, 2019)","manualFormatting":"Landqvist and Lind, 2019)","plainTextFormattedCitation":"(Landqvist &amp; Lind, 2019)","previouslyFormattedCitation":"(Landqvist and Lind,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Landqvist and Lind, 2019)</w:t>
            </w:r>
            <w:r w:rsidRPr="009672FC">
              <w:rPr>
                <w:rFonts w:ascii="Garamond" w:hAnsi="Garamond" w:cs="Times New Roman"/>
                <w:lang w:val="en-US"/>
              </w:rPr>
              <w:fldChar w:fldCharType="end"/>
            </w:r>
            <w:r w:rsidRPr="009672FC">
              <w:rPr>
                <w:rFonts w:ascii="Garamond" w:hAnsi="Garamond" w:cs="Times New Roman"/>
                <w:lang w:val="en-US"/>
              </w:rPr>
              <w:t>. Networks depend on resources such as technological resources for innovation performance (Stuart, 2000). Resources allow all actors, especially SMEs, to enjoy collaborative innovation-based relationships for improved competitiveness and market performance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author":[{"dropping-particle":"","family":"Krause","given":"W.","non-dropping-particle":"","parse-names":false,"suffix":""},{"dropping-particle":"","family":"Schutte","given":"C.S.L","non-dropping-particle":"","parse-names":false,"suffix":""}],"container-title":"South African Journal of Industrial Engineering","id":"ITEM-1","issue":"May 2015","issued":{"date-parts":[["2015"]]},"page":"163-178","title":"A perspective on open innovation in small- and medium-sized enterprises in South Africa, and design requirements for an open innovation approach","type":"article-journal","volume":"26"},"uris":["http://www.mendeley.com/documents/?uuid=56bb3f08-1ef5-474b-90e4-ed51344a7540"]}],"mendeley":{"formattedCitation":"(Krause &amp; Schutte, 2015)","manualFormatting":"Krause and Schutte, 2015","plainTextFormattedCitation":"(Krause &amp; Schutte, 2015)","previouslyFormattedCitation":"(Krause and Schutte, 2015)"},"properties":{"noteIndex":0},"schema":"https://github.com/citation-style-language/schema/raw/master/csl-citation.json"}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Krause and Schutte, 2015</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Pr="009672FC">
              <w:rPr>
                <w:rFonts w:ascii="Garamond" w:hAnsi="Garamond" w:cs="Times New Roman"/>
                <w:lang w:val="en-US"/>
              </w:rPr>
              <w:instrText>ADDIN CSL_CITATION {"citationItems":[{"id":"ITEM-1","itemData":{"DOI":"10.1016/j.promfg.2019.02.091","ISSN":"23519789","abstract":"Research background: Innovation of enterprises continues to be conditional upon many exogenous and endogenous factors among which of crucial importance are inter-organizational relations understood as the relations of enterprises with other entities from the business environment. The aforementioned relations have become the subject of interest in numerous scientific areas, including management sciences. The issue of creating innovations by inter-organizational cooperation is of top importance. Cooperation with business associates could become an answer to challenges of an enterprise facing the need to possess resources and to develop potential in order to implement new business solutions.Purpose of the article: The purpose of this article is to present connections between inter-organizational relations, innovation and cooperation between enterprises operating in Podkarpackie region in Poland.Methodology: The paper uses empirical studies, carried out among enterprises from SME sector in the Podkarpackie region in Poland. It presents the intensity and level of cooperation between these firms and external entities in terms of the implementation of innovative practices.Outcome: the article points to possibilities of sharing experiences and implementing innovations based on cooperation between enterprises. It proves that the effective innovative operations is a tool of increasing the level of innovation of enterprises from SME sector in the Podkarpackie region in Poland.","author":[{"dropping-particle":"","family":"Rzepka","given":"Agnieszka","non-dropping-particle":"","parse-names":false,"suffix":""}],"container-title":"Procedia Manufacturing","id":"ITEM-1","issued":{"date-parts":[["2019"]]},"page":"642-649","publisher":"Elsevier B.V.","title":"Innovation, inter-organizational relation, and co-operation between enterprises in Podkarpacie region in Poland","type":"article-journal","volume":"30"},"uris":["http://www.mendeley.com/documents/?uuid=cf89d259-106f-45a8-a35b-1557db70a8f4"]}],"mendeley":{"formattedCitation":"(Rzepka, 2019)","manualFormatting":"Rzepka, 2019)","plainTextFormattedCitation":"(Rzepka, 2019)","previouslyFormattedCitation":"(Rzepka,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Rzepka, 2019)</w:t>
            </w:r>
            <w:r w:rsidRPr="009672FC">
              <w:rPr>
                <w:rFonts w:ascii="Garamond" w:hAnsi="Garamond" w:cs="Times New Roman"/>
                <w:lang w:val="en-US"/>
              </w:rPr>
              <w:fldChar w:fldCharType="end"/>
            </w:r>
            <w:r w:rsidRPr="009672FC">
              <w:rPr>
                <w:rFonts w:ascii="Garamond" w:hAnsi="Garamond" w:cs="Times New Roman"/>
                <w:lang w:val="en-US"/>
              </w:rPr>
              <w:t>. Actors are sources of relevant knowledge and other idiosyncratic resources, however, geographic proximity (in terms of location context and time zone) of firms may hinder partner selection and flow of common network resources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{"citationItems":[{"id":"ITEM-1","itemData":{"DOI":"10.1016/j.indmarman.2012.01.006","ISSN":"00198501","abstract":"This Special Issue of Industrial Marketing Management brings together a range of articles by authors who have undertaken the difficult task of researching time and process in business networks. Understanding interaction processes within a business relationship and network perspective requires the elaboration of time, the central construct by which humans grasp and comprehend change. As an introduction to the articles we present the concept of human time and delineate accordingly three methodological approaches available for the study of network processes. We also introduce the authors' contributions to the special issue that broadly divide into two groups: those that deal with methodological issues concerning the study of processes in business networks and those that consider the role of time and timing for studying business processes. © 2012 Elsevier Inc..","author":[{"dropping-particle":"","family":"Halinen","given":"Aino","non-dropping-particle":"","parse-names":false,"suffix":""},{"dropping-particle":"","family":"Medlin","given":"Christopher J.","non-dropping-particle":"","parse-names":false,"suffix":""},{"dropping-particle":"","family":"Törnroos","given":"Jan Åke","non-dropping-particle":"","parse-names":false,"suffix":""}],"container-title":"Industrial Marketing Management","id":"ITEM-1","issue":"2","issued":{"date-parts":[["2012"]]},"page":"215-223","publisher":"Elsevier Inc.","title":"Time and process in business network research","type":"article-journal","volume":"41"},"uris":["http://www.mendeley.com/documents/?uuid=3f416656-a882-4b1e-bce0-85c2798582d0"]}],"mendeley":{"formattedCitation":"(Halinen, Medlin, &amp; Törnroos, 2012)","manualFormatting":"Halinen, Medlin and Törnroos, 2012;","plainTextFormattedCitation":"(Halinen, Medlin, &amp; Törnroos, 2012)","previouslyFormattedCitation":"(Halinen, Medlin and Törnroos, 2012)"},"properties":{"noteIndex":0},"schema":"https://github.com/citation-style-language/schema/raw/master/csl-citation.json"}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Halinen, Medlin and Törnroos, 2012;</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{"citationItems":[{"id":"ITEM-1","itemData":{"DOI":"10.1016/j.ibusrev.2014.02.002","ISSN":"09695931","abstract":"This study adopts a business network view to study the effects of subsidiary embeddedness on both subsidiary influence within the MNC and innovation-related business performance. Through Structural Equation Modeling we analyze subsidiary relationships connected to 85 innovation projects. The results show that external and corporate embeddedness are complementary contexts, although they affect subsidiary influence and performance differently. Whereas external embeddedness directly affects innovation-related business performance, corporate embeddedness strengthens the subsidiary's influence within the MNC, which in turn positively relates to performance. Moreover, as the study also finds that external and corporate embeddedness are positively associated, it stresses the issue of simultaneously balancing both external and corporate relationships (i.e., dual embeddedness) to nurture innovation projects. © 2014 Elsevier Ltd.","author":[{"dropping-particle":"","family":"Ciabuschi","given":"Francesco","non-dropping-particle":"","parse-names":false,"suffix":""},{"dropping-particle":"","family":"Holm","given":"Ulf","non-dropping-particle":"","parse-names":false,"suffix":""},{"dropping-particle":"","family":"Martín Martín","given":"Oscar","non-dropping-particle":"","parse-names":false,"suffix":""}],"container-title":"International Business Review","id":"ITEM-1","issue":"5","issued":{"date-parts":[["2014"]]},"page":"897-909","title":"Dual embeddedness, influence and performance of innovating subsidiaries in the multinational corporation","type":"article-journal","volume":"23"},"uris":["http://www.mendeley.com/documents/?uuid=89d64405-3500-42bc-bdf5-bc6ef7098398"]}],"mendeley":{"formattedCitation":"(Ciabuschi, Holm, &amp; Martín Martín, 2014)","manualFormatting":"Ciabuschi, Holm and Martín, 2014;","plainTextFormattedCitation":"(Ciabuschi, Holm, &amp; Martín Martín, 2014)","previouslyFormattedCitation":"(Ciabuschi, Holm and Martín Martín, 2014)"},"properties":{"noteIndex":0},"schema":"https://github.com/citation-style-language/schema/raw/master/csl-citation.json"}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Ciabuschi, Holm and Martín, 2014;</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{"citationItems":[{"id":"ITEM-1","itemData":{"DOI":"10.1016/j.indmarman.2016.06.008","ISSN":"00198501","abstract":"Interactive processes constitute a core notion in business exchange, leading to the concepts of relationships and networks. The constitution of process, comprising unfolding events, activities, and connected structures, relies on difference in space and time. While research has been devoted to time, the concept of space has thus far remained largely unexplored within business network research. This conceptual paper focuses on spatial dimensions for conducting research according to the IMP business network approach. Business actors create connected relationships and networks that exist and change as continuous emerging spatial structures and as mental maps in the managerial mindset. These relational network processes and structures are located, distributed and experienced in and across space. Drawing on economic geography and conceptual frameworks from the business network approach, we propose new dimensions and conceptualizations of space for the study of these networks. The paper delivers proposals to extend our current understanding of business networks as emerging and changing spatio-temporal entities with implications for theory development, research and practice.","author":[{"dropping-particle":"","family":"Törnroos","given":"Jan Åke","non-dropping-particle":"","parse-names":false,"suffix":""},{"dropping-particle":"","family":"Halinen","given":"Aino","non-dropping-particle":"","parse-names":false,"suffix":""},{"dropping-particle":"","family":"Medlin","given":"Christopher J.","non-dropping-particle":"","parse-names":false,"suffix":""}],"container-title":"Industrial Marketing Management","id":"ITEM-1","issued":{"date-parts":[["2017"]]},"page":"10-19","publisher":"The Author(s)","title":"Dimensions of space in business network research","type":"article-journal","volume":"61"},"uris":["http://www.mendeley.com/documents/?uuid=89ef8eb0-1b3b-4479-a797-a56193638c9f"]}],"mendeley":{"formattedCitation":"(Törnroos et al., 2017)","manualFormatting":"Törnroos, Halinen and Medlin, 2017","plainTextFormattedCitation":"(Törnroos et al., 2017)","previouslyFormattedCitation":"(Törnroos, Halinen and Medlin,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Törnroos, Halinen and Medlin, 2017</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{"citationItems":[{"id":"ITEM-1","itemData":{"DOI":"10.1108/F-07-2015-0049","ISSN":"02632772","abstract":"This study suggests that the facility and its co-located actors tend to form a vivid network of business actors in the facility's external environment, when co-located with a large number of actors.","author":[{"dropping-particle":"","family":"Artto","given":"Karlos","non-dropping-particle":"","parse-names":false,"suffix":""},{"dropping-particle":"","family":"Ahola","given":"Tuomas","non-dropping-particle":"","parse-names":false,"suffix":""},{"dropping-particle":"","family":"Kyrö","given":"Riikka","non-dropping-particle":"","parse-names":false,"suffix":""},{"dropping-particle":"","family":"Peltokorpi","given":"Antti","non-dropping-particle":"","parse-names":false,"suffix":""}],"container-title":"Facilities","id":"ITEM-1","issue":"1-2","issued":{"date-parts":[["2017"]]},"page":"99-115","title":"Managing business networks for value creation in facilities and their external environments: A study on co-location","type":"article-journal","volume":"35"},"uris":["http://www.mendeley.com/documents/?uuid=0a109017-4c64-4e31-980e-2550cf9be13b"]}],"mendeley":{"formattedCitation":"(Artto et al., 2017)","manualFormatting":"Artto et al. 2017)","plainTextFormattedCitation":"(Artto et al., 2017)","previouslyFormattedCitation":"(Artto &lt;i&gt;et al.&lt;/i&gt;,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Artto et al. 2017)</w:t>
            </w:r>
            <w:r w:rsidRPr="009672FC">
              <w:rPr>
                <w:rFonts w:ascii="Garamond" w:hAnsi="Garamond" w:cs="Times New Roman"/>
                <w:lang w:val="en-US"/>
              </w:rPr>
              <w:fldChar w:fldCharType="end"/>
            </w:r>
            <w:r w:rsidRPr="009672FC">
              <w:rPr>
                <w:rFonts w:ascii="Garamond" w:hAnsi="Garamond" w:cs="Times New Roman"/>
                <w:lang w:val="en-US"/>
              </w:rPr>
              <w:t xml:space="preserve">. </w:t>
            </w:r>
            <w:r w:rsidR="00813D37" w:rsidRPr="009672FC">
              <w:rPr>
                <w:rFonts w:ascii="Garamond" w:hAnsi="Garamond" w:cs="Times New Roman"/>
                <w:lang w:val="en-US"/>
              </w:rPr>
              <w:t>A f</w:t>
            </w:r>
            <w:r w:rsidRPr="009672FC">
              <w:rPr>
                <w:rFonts w:ascii="Garamond" w:hAnsi="Garamond" w:cs="Times New Roman"/>
                <w:lang w:val="en-US"/>
              </w:rPr>
              <w:t>irm that demonstrate</w:t>
            </w:r>
            <w:r w:rsidR="00813D37" w:rsidRPr="009672FC">
              <w:rPr>
                <w:rFonts w:ascii="Garamond" w:hAnsi="Garamond" w:cs="Times New Roman"/>
                <w:lang w:val="en-US"/>
              </w:rPr>
              <w:t>s</w:t>
            </w:r>
            <w:r w:rsidRPr="009672FC">
              <w:rPr>
                <w:rFonts w:ascii="Garamond" w:hAnsi="Garamond" w:cs="Times New Roman"/>
                <w:lang w:val="en-US"/>
              </w:rPr>
              <w:t xml:space="preserve"> strong reputations and industry experience are vital factors in interfirm partner selection decisions. </w:t>
            </w:r>
            <w:r w:rsidR="00813D37" w:rsidRPr="009672FC">
              <w:rPr>
                <w:rFonts w:ascii="Garamond" w:hAnsi="Garamond" w:cs="Times New Roman"/>
                <w:lang w:val="en-US"/>
              </w:rPr>
              <w:t>T</w:t>
            </w:r>
            <w:r w:rsidRPr="009672FC">
              <w:rPr>
                <w:rFonts w:ascii="Garamond" w:hAnsi="Garamond" w:cs="Times New Roman"/>
                <w:lang w:val="en-US"/>
              </w:rPr>
              <w:t>he newness, and the limited resource positions of start-ups and other SMEs, make them less involved in interfirm innovation projects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{"citationItems":[{"id":"ITEM-1","itemData":{"DOI":"10.1016/j.indmarman.2017.12.005","ISSN":"00198501","abstract":"This paper focuses on how newly established technology-based start-up companies become part of the business landscape. In more detail, the aim of the paper is to analyse how a start-up becomes embedded through its networking behaviours in a business network. To approach this phenomenon, the theoretical frame of reference is based on the industrial network approach to industrial markets separating developing, producing and using settings. The business network settings are combined with networking behaviours consisting of both strong and weak ties. Importantly, for a start-up to become embedded through networking, resources of the start-up need to be combined with resources in the three business network settings. The paper relies on a case study methodology focusing on a start-up, founded at a technical university in Sweden, and its networking behaviours. The paper concludes that networking behaviours relying on strong ties are crucial to resource combining. However, the analysis also shows the importance of networking behaviours of weak ties, acquiring information and interaction to sensing new opportunities. The paper ends with managerial implications for start-up managers, pinpointing the need to work with both strong and weak ties as a platform to eventually become embedded in business networks.","author":[{"dropping-particle":"","family":"Landqvist","given":"Maria","non-dropping-particle":"","parse-names":false,"suffix":""},{"dropping-particle":"","family":"Lind","given":"Frida","non-dropping-particle":"","parse-names":false,"suffix":""}],"container-title":"Industrial Marketing Management","id":"ITEM-1","issue":"December 2015","issued":{"date-parts":[["2019"]]},"page":"160-171","publisher":"Elsevier","title":"A start-up embedding in three business network settings – A matter of resource combining","type":"article-journal","volume":"80"},"uris":["http://www.mendeley.com/documents/?uuid=f0fcfc7e-42af-45cb-bebd-804af8d2d4cb"]}],"mendeley":{"formattedCitation":"(Landqvist &amp; Lind, 2019)","manualFormatting":"Landqvist and Lind, 2019)","plainTextFormattedCitation":"(Landqvist &amp; Lind, 2019)","previouslyFormattedCitation":"(Landqvist and Lind,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Landqvist and Lind, 2019)</w:t>
            </w:r>
            <w:r w:rsidRPr="009672FC">
              <w:rPr>
                <w:rFonts w:ascii="Garamond" w:hAnsi="Garamond" w:cs="Times New Roman"/>
                <w:lang w:val="en-US"/>
              </w:rPr>
              <w:fldChar w:fldCharType="end"/>
            </w:r>
            <w:r w:rsidRPr="009672FC">
              <w:rPr>
                <w:rFonts w:ascii="Garamond" w:hAnsi="Garamond" w:cs="Times New Roman"/>
                <w:lang w:val="en-US"/>
              </w:rPr>
              <w:t xml:space="preserve">. </w:t>
            </w:r>
          </w:p>
        </w:tc>
      </w:tr>
      <w:tr w:rsidR="005C5F35" w:rsidRPr="009672FC" w14:paraId="78677DB5" w14:textId="77777777" w:rsidTr="00791631">
        <w:trPr>
          <w:jc w:val="center"/>
        </w:trPr>
        <w:tc>
          <w:tcPr>
            <w:tcW w:w="2790" w:type="dxa"/>
            <w:shd w:val="clear" w:color="auto" w:fill="FFFFFF" w:themeFill="background1"/>
          </w:tcPr>
          <w:p w14:paraId="55DF1A73" w14:textId="77777777" w:rsidR="005C5F35" w:rsidRPr="009672FC" w:rsidRDefault="005C5F35" w:rsidP="00791631">
            <w:pPr>
              <w:pStyle w:val="NoSpacing"/>
              <w:spacing w:line="360" w:lineRule="auto"/>
              <w:rPr>
                <w:rFonts w:ascii="Garamond" w:hAnsi="Garamond" w:cs="Times New Roman"/>
                <w:i/>
                <w:iCs/>
              </w:rPr>
            </w:pPr>
            <w:r w:rsidRPr="009672FC">
              <w:rPr>
                <w:rFonts w:ascii="Garamond" w:hAnsi="Garamond" w:cs="Times New Roman"/>
                <w:i/>
                <w:iCs/>
              </w:rPr>
              <w:t>Stakeholder participation</w:t>
            </w:r>
          </w:p>
        </w:tc>
        <w:tc>
          <w:tcPr>
            <w:tcW w:w="7020" w:type="dxa"/>
            <w:shd w:val="clear" w:color="auto" w:fill="FFFFFF" w:themeFill="background1"/>
          </w:tcPr>
          <w:p w14:paraId="6B06A151" w14:textId="783697D2" w:rsidR="005C5F35" w:rsidRPr="009672FC" w:rsidRDefault="005C5F35" w:rsidP="00791631">
            <w:pPr>
              <w:pStyle w:val="NoSpacing"/>
              <w:spacing w:line="360" w:lineRule="auto"/>
              <w:jc w:val="both"/>
              <w:rPr>
                <w:rFonts w:ascii="Garamond" w:hAnsi="Garamond" w:cs="Times New Roman"/>
              </w:rPr>
            </w:pPr>
            <w:r w:rsidRPr="009672FC">
              <w:rPr>
                <w:rFonts w:ascii="Garamond" w:hAnsi="Garamond" w:cs="Times New Roman"/>
                <w:lang w:val="en-US"/>
              </w:rPr>
              <w:t xml:space="preserve">External stakeholders are an important part of interfirm innovation. For example, university-industry collaboration is a source of technical knowledge </w:t>
            </w:r>
            <w:r w:rsidRPr="009672FC">
              <w:rPr>
                <w:rFonts w:ascii="Garamond" w:hAnsi="Garamond" w:cs="Times New Roman"/>
                <w:lang w:val="en-US"/>
              </w:rPr>
              <w:lastRenderedPageBreak/>
              <w:t>transfer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{"citationItems":[{"id":"ITEM-1","itemData":{"DOI":"10.1016/j.techfore.2015.11.027","ISSN":"00401625","abstract":"Over the last decade, social capital concept has received considerable amount of research being regarded as an important value creation mechanism. However, we still have limited understanding about the nature of interaction between the dimensions of this capital, and how it can be useful in mitigating the impediments evolving during government-sponsored (i.e., engineered) university-industry collaboration (UIC). In this paper, we address the previous gap by analyzing the dynamics of social capital dimensions during the preformation and postformation stages of UIC. The paper relies on a unique context that comprises five embedded case studies of UIC for technology transfer: the Faraday Partnership Initiative, a UK government-backed novel scheme for enhancing innovation. The analysis shows that the impact and interaction of the dimensions were not static but rather varying over time. Further, we present a new value creation framework for social capital through mapping its power in reducing the intensity of difficulties emerged during the collaboration lifetime. We also identify two facilitating factors as critical in creating and maintaining social capital in engineered UIC. The present study thus contributes to a deeper understanding of the value of inter-organizational social capital.","author":[{"dropping-particle":"","family":"Al-Tabbaa","given":"Omar","non-dropping-particle":"","parse-names":false,"suffix":""},{"dropping-particle":"","family":"Ankrah","given":"Samuel","non-dropping-particle":"","parse-names":false,"suffix":""}],"container-title":"Technological Forecasting and Social Change","id":"ITEM-1","issued":{"date-parts":[["2016"]]},"page":"1-15","publisher":"The Authors","title":"Social capital to facilitate 'engineered' university-industry collaboration for technology transfer: A dynamic perspective","type":"article-journal","volume":"104"},"uris":["http://www.mendeley.com/documents/?uuid=2ce395ae-2a21-41f3-ab20-acb63595b838"]}],"mendeley":{"formattedCitation":"(Al-Tabbaa &amp; Ankrah, 2016)","manualFormatting":"Al-Tabbaa and Ankrah, 2016)","plainTextFormattedCitation":"(Al-Tabbaa &amp; Ankrah, 2016)","previouslyFormattedCitation":"(Al-Tabbaa and Ankrah, 2016)"},"properties":{"noteIndex":0},"schema":"https://github.com/citation-style-language/schema/raw/master/csl-citation.json"}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Al-Tabbaa and Ankrah, 2016)</w:t>
            </w:r>
            <w:r w:rsidRPr="009672FC">
              <w:rPr>
                <w:rFonts w:ascii="Garamond" w:hAnsi="Garamond" w:cs="Times New Roman"/>
                <w:lang w:val="en-US"/>
              </w:rPr>
              <w:fldChar w:fldCharType="end"/>
            </w:r>
            <w:r w:rsidRPr="009672FC">
              <w:rPr>
                <w:rFonts w:ascii="Garamond" w:hAnsi="Garamond" w:cs="Times New Roman"/>
                <w:lang w:val="en-US"/>
              </w:rPr>
              <w:t xml:space="preserve"> important innovation intermediar</w:t>
            </w:r>
            <w:r w:rsidR="00813D37" w:rsidRPr="009672FC">
              <w:rPr>
                <w:rFonts w:ascii="Garamond" w:hAnsi="Garamond" w:cs="Times New Roman"/>
                <w:lang w:val="en-US"/>
              </w:rPr>
              <w:t>y</w:t>
            </w:r>
            <w:r w:rsidRPr="009672FC">
              <w:rPr>
                <w:rFonts w:ascii="Garamond" w:hAnsi="Garamond" w:cs="Times New Roman"/>
                <w:lang w:val="en-US"/>
              </w:rPr>
              <w:t xml:space="preserve"> that support</w:t>
            </w:r>
            <w:r w:rsidR="00813D37" w:rsidRPr="009672FC">
              <w:rPr>
                <w:rFonts w:ascii="Garamond" w:hAnsi="Garamond" w:cs="Times New Roman"/>
                <w:lang w:val="en-US"/>
              </w:rPr>
              <w:t>s</w:t>
            </w:r>
            <w:r w:rsidRPr="009672FC">
              <w:rPr>
                <w:rFonts w:ascii="Garamond" w:hAnsi="Garamond" w:cs="Times New Roman"/>
                <w:lang w:val="en-US"/>
              </w:rPr>
              <w:t xml:space="preserve"> the transfer of knowledge between science or universities and industry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{"citationItems":[{"id":"ITEM-1","itemData":{"DOI":"10.1016/j.respol.2017.09.011","ISSN":"00487333","abstract":"This paper analyses how knowledge-based practices adopted by innovation intermediaries enable them to generate value for themselves when collaborating with their clients. While the literature focuses on value creation for their client organisations, little is known about how innovation intermediaries create internal value even though this is essential for ensuring their long-term survival and sustaining their key facilitating role in the innovation system. This understudied issue is explored using empirical evidence from a sub-set of innovation intermediaries, Research and Technology Organisations (RTOs). The results indicate that by capitalising on existing knowledge vested in employees and collaborators as well as understanding and shaping the knowledge base of the innovation ecosystem, innovation intermediaries generate internal value from their involvement in collaborative innovation, which range from different financial to non-financial types of value. Implications for intermediaries, their collaborators and for policymakers are then discussed.","author":[{"dropping-particle":"","family":"Silva","given":"Muthu","non-dropping-particle":"De","parse-names":false,"suffix":""},{"dropping-particle":"","family":"Howells","given":"Jeremy","non-dropping-particle":"","parse-names":false,"suffix":""},{"dropping-particle":"","family":"Meyer","given":"Martin","non-dropping-particle":"","parse-names":false,"suffix":""}],"container-title":"Research Policy","id":"ITEM-1","issue":"1","issued":{"date-parts":[["2018"]]},"page":"70-87","publisher":"Elsevier","title":"Innovation intermediaries and collaboration: Knowledge–based practices and internal value creation","type":"article-journal","volume":"47"},"uris":["http://www.mendeley.com/documents/?uuid=eba680ea-08db-43f2-99cc-5508e5d0dbb6"]}],"mendeley":{"formattedCitation":"(De Silva, Howells, &amp; Meyer, 2018)","manualFormatting":"De Silva, Howells and Meyer, 2018)","plainTextFormattedCitation":"(De Silva, Howells, &amp; Meyer, 2018)","previouslyFormattedCitation":"(De Silva, Howells and Meyer, 2018)"},"properties":{"noteIndex":0},"schema":"https://github.com/citation-style-language/schema/raw/master/csl-citation.json"}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De Silva, Howells and Meyer, 2018)</w:t>
            </w:r>
            <w:r w:rsidRPr="009672FC">
              <w:rPr>
                <w:rFonts w:ascii="Garamond" w:hAnsi="Garamond" w:cs="Times New Roman"/>
                <w:lang w:val="en-US"/>
              </w:rPr>
              <w:fldChar w:fldCharType="end"/>
            </w:r>
            <w:r w:rsidRPr="009672FC">
              <w:rPr>
                <w:rFonts w:ascii="Garamond" w:hAnsi="Garamond" w:cs="Times New Roman"/>
                <w:lang w:val="en-US"/>
              </w:rPr>
              <w:t>. Moreover, customer engagement provides refreshing insights into the specific market knowledge and thus enabling customer-driven innovation performance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{"citationItems":[{"id":"ITEM-1","itemData":{"DOI":"10.1016/j.ijinfomgt.2018.12.019","ISSN":"02684012","abstract":"In today's interconnected global marketplace, where customers have become increasingly knowledgeable and empowered, a customer-centric view is becoming a prominent differentiating strategy for firms. Accordingly, firms with the aim of delivering a seamless customer experience strive to offer integrated solutions. This quite often relies on inter-organizational collaboration in the context of a value network In this context, customer-related knowledge is regarded as one of the primary sources in the provisioning process of integrated solutions. This, in turn, implies the importance of effective sharing of customer knowledge among actors of a value network. Customer knowledge transfer is difficult due to some recognizable challenges such as a lack of trust. Because of the added complexity of a value network, achieving a shared understanding among actors about customer knowledge transfer challenges in a value network setting (VN-CKTC) might be more difficult. A systematic and comprehensive overview of the VN-CKTC (in the form of a reference model) might support this by providing additional structure. Although scholars have long studied knowledge transfer challenges within business network settings, they are usually limited in scope and their resulting challenges differ widely. Therefore, they provide insufficient coverage of the possible challenges. A more comprehensive view is thus needed. Our research aims at designing and validating a reference model that provides a systematic and wider spectrum of possible VN-CKTC. To this end, a design science research approach is followed. In the design phase, by conducting a systematic literature review followed by a structured classification, a reference model of VN-CKTC is designed. In the evaluation phase, the validation of this designed artifact is evaluated in a value network setting by conducting multiple case studies. The results of this study give us both theoretically and context-speciﬁc descriptions of the significant relevant of these challenges. The proposed reference model provides a rich picture of VN-CKTC. Decision makers of value networks can use this reference model as a means to achieve a shared understanding about customer knowledge transfer challenges and to come to an agreement on these challenges. They can also apply it to be aware of which challenges to focus on, so they are provided with a much stronger basis to make better-informed decisions to address and mitigate these challenges.","author":[{"dropping-particle":"","family":"Bagheri","given":"Samaneh","non-dropping-particle":"","parse-names":false,"suffix":""},{"dropping-particle":"","family":"Kusters","given":"Rob J.","non-dropping-particle":"","parse-names":false,"suffix":""},{"dropping-particle":"","family":"Trienekens","given":"Jos J.M.","non-dropping-particle":"","parse-names":false,"suffix":""}],"container-title":"International Journal of Information Management","id":"ITEM-1","issue":"March","issued":{"date-parts":[["2019"]]},"page":"198-214","publisher":"Elsevier","title":"Customer knowledge transfer challenges in a co-creation value network: Toward a reference model","type":"article-journal","volume":"47"},"uris":["http://www.mendeley.com/documents/?uuid=e697617a-8ba0-4191-b3d0-1de1e081ba3f"]}],"mendeley":{"formattedCitation":"(Bagheri et al., 2019)","manualFormatting":"Bagheri, Kusters and Trienekens, 2019)","plainTextFormattedCitation":"(Bagheri et al., 2019)","previouslyFormattedCitation":"(Bagheri, Kusters and Trienekens,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Bagheri, Kusters and Trienekens, 2019)</w:t>
            </w:r>
            <w:r w:rsidRPr="009672FC">
              <w:rPr>
                <w:rFonts w:ascii="Garamond" w:hAnsi="Garamond" w:cs="Times New Roman"/>
                <w:lang w:val="en-US"/>
              </w:rPr>
              <w:fldChar w:fldCharType="end"/>
            </w:r>
            <w:r w:rsidRPr="009672FC">
              <w:rPr>
                <w:rFonts w:ascii="Garamond" w:hAnsi="Garamond" w:cs="Times New Roman"/>
                <w:lang w:val="en-US"/>
              </w:rPr>
              <w:t>. Managers must ensure multi-actor engagement in the network co-creation activities thereby gaining strong interfirm bonding and commitment to mutual goals.</w:t>
            </w:r>
          </w:p>
        </w:tc>
      </w:tr>
    </w:tbl>
    <w:p w14:paraId="38E29FAB" w14:textId="77777777" w:rsidR="00791631" w:rsidRPr="009672FC" w:rsidRDefault="00791631" w:rsidP="00791631">
      <w:pPr>
        <w:spacing w:before="240"/>
        <w:rPr>
          <w:rFonts w:ascii="Garamond" w:hAnsi="Garamond"/>
          <w:b/>
          <w:bCs/>
        </w:rPr>
      </w:pPr>
    </w:p>
    <w:p w14:paraId="460C56B7" w14:textId="77777777" w:rsidR="00791631" w:rsidRPr="009672FC" w:rsidRDefault="00791631" w:rsidP="00791631">
      <w:pPr>
        <w:spacing w:before="240"/>
        <w:rPr>
          <w:rFonts w:ascii="Garamond" w:hAnsi="Garamond"/>
          <w:b/>
          <w:bCs/>
        </w:rPr>
      </w:pPr>
    </w:p>
    <w:p w14:paraId="38299103" w14:textId="77777777" w:rsidR="00791631" w:rsidRPr="009672FC" w:rsidRDefault="00791631" w:rsidP="00791631">
      <w:pPr>
        <w:spacing w:before="240"/>
        <w:rPr>
          <w:rFonts w:ascii="Garamond" w:hAnsi="Garamond"/>
          <w:b/>
          <w:bCs/>
        </w:rPr>
      </w:pPr>
    </w:p>
    <w:p w14:paraId="61951EC4" w14:textId="77777777" w:rsidR="00791631" w:rsidRPr="009672FC" w:rsidRDefault="00791631" w:rsidP="00791631">
      <w:pPr>
        <w:spacing w:before="240"/>
        <w:rPr>
          <w:rFonts w:ascii="Garamond" w:hAnsi="Garamond"/>
          <w:b/>
          <w:bCs/>
        </w:rPr>
      </w:pPr>
    </w:p>
    <w:p w14:paraId="594E8A0A" w14:textId="77777777" w:rsidR="00791631" w:rsidRPr="009672FC" w:rsidRDefault="00791631" w:rsidP="00791631">
      <w:pPr>
        <w:spacing w:before="240"/>
        <w:rPr>
          <w:rFonts w:ascii="Garamond" w:hAnsi="Garamond"/>
          <w:b/>
          <w:bCs/>
        </w:rPr>
      </w:pPr>
    </w:p>
    <w:p w14:paraId="24873B0F" w14:textId="77777777" w:rsidR="00791631" w:rsidRPr="009672FC" w:rsidRDefault="00791631" w:rsidP="00791631">
      <w:pPr>
        <w:spacing w:before="240"/>
        <w:rPr>
          <w:rFonts w:ascii="Garamond" w:hAnsi="Garamond"/>
          <w:b/>
          <w:bCs/>
        </w:rPr>
      </w:pPr>
    </w:p>
    <w:p w14:paraId="31F30B03" w14:textId="77777777" w:rsidR="00791631" w:rsidRPr="009672FC" w:rsidRDefault="00791631" w:rsidP="00791631">
      <w:pPr>
        <w:spacing w:before="240"/>
        <w:rPr>
          <w:rFonts w:ascii="Garamond" w:hAnsi="Garamond"/>
          <w:b/>
          <w:bCs/>
        </w:rPr>
      </w:pPr>
    </w:p>
    <w:p w14:paraId="41A4D923" w14:textId="77777777" w:rsidR="00791631" w:rsidRPr="009672FC" w:rsidRDefault="00791631" w:rsidP="00791631">
      <w:pPr>
        <w:spacing w:before="240"/>
        <w:rPr>
          <w:rFonts w:ascii="Garamond" w:hAnsi="Garamond"/>
          <w:b/>
          <w:bCs/>
        </w:rPr>
      </w:pPr>
    </w:p>
    <w:p w14:paraId="4563F835" w14:textId="77777777" w:rsidR="00791631" w:rsidRPr="009672FC" w:rsidRDefault="00791631" w:rsidP="00791631">
      <w:pPr>
        <w:spacing w:before="240"/>
        <w:rPr>
          <w:rFonts w:ascii="Garamond" w:hAnsi="Garamond"/>
          <w:b/>
          <w:bCs/>
        </w:rPr>
      </w:pPr>
    </w:p>
    <w:p w14:paraId="58EE660C" w14:textId="77777777" w:rsidR="00791631" w:rsidRPr="009672FC" w:rsidRDefault="00791631" w:rsidP="00791631">
      <w:pPr>
        <w:spacing w:before="240"/>
        <w:rPr>
          <w:rFonts w:ascii="Garamond" w:hAnsi="Garamond"/>
          <w:b/>
          <w:bCs/>
        </w:rPr>
      </w:pPr>
    </w:p>
    <w:p w14:paraId="09B223C6" w14:textId="77777777" w:rsidR="00791631" w:rsidRPr="009672FC" w:rsidRDefault="00791631" w:rsidP="00791631">
      <w:pPr>
        <w:spacing w:before="240"/>
        <w:rPr>
          <w:rFonts w:ascii="Garamond" w:hAnsi="Garamond"/>
          <w:b/>
          <w:bCs/>
        </w:rPr>
      </w:pPr>
    </w:p>
    <w:p w14:paraId="00F36998" w14:textId="77777777" w:rsidR="00791631" w:rsidRPr="009672FC" w:rsidRDefault="00791631" w:rsidP="00791631">
      <w:pPr>
        <w:spacing w:before="240"/>
        <w:rPr>
          <w:rFonts w:ascii="Garamond" w:hAnsi="Garamond"/>
          <w:b/>
          <w:bCs/>
        </w:rPr>
      </w:pPr>
    </w:p>
    <w:p w14:paraId="083BE526" w14:textId="77777777" w:rsidR="00791631" w:rsidRPr="009672FC" w:rsidRDefault="00791631" w:rsidP="00791631">
      <w:pPr>
        <w:spacing w:before="240"/>
        <w:rPr>
          <w:rFonts w:ascii="Garamond" w:hAnsi="Garamond"/>
          <w:b/>
          <w:bCs/>
        </w:rPr>
      </w:pPr>
    </w:p>
    <w:p w14:paraId="351CF26E" w14:textId="77777777" w:rsidR="00791631" w:rsidRPr="009672FC" w:rsidRDefault="00791631" w:rsidP="00791631">
      <w:pPr>
        <w:spacing w:before="240"/>
        <w:rPr>
          <w:rFonts w:ascii="Garamond" w:hAnsi="Garamond"/>
          <w:b/>
          <w:bCs/>
        </w:rPr>
      </w:pPr>
    </w:p>
    <w:p w14:paraId="6DB90575" w14:textId="77777777" w:rsidR="00791631" w:rsidRPr="009672FC" w:rsidRDefault="00791631" w:rsidP="00791631">
      <w:pPr>
        <w:spacing w:before="240"/>
        <w:rPr>
          <w:rFonts w:ascii="Garamond" w:hAnsi="Garamond"/>
          <w:b/>
          <w:bCs/>
        </w:rPr>
      </w:pPr>
    </w:p>
    <w:p w14:paraId="72B3BC8E" w14:textId="77777777" w:rsidR="00791631" w:rsidRPr="009672FC" w:rsidRDefault="00791631" w:rsidP="00791631">
      <w:pPr>
        <w:spacing w:before="240"/>
        <w:rPr>
          <w:rFonts w:ascii="Garamond" w:hAnsi="Garamond"/>
          <w:b/>
          <w:bCs/>
        </w:rPr>
      </w:pPr>
    </w:p>
    <w:p w14:paraId="1280B938" w14:textId="2C242B3C" w:rsidR="00791631" w:rsidRDefault="00791631" w:rsidP="00791631">
      <w:pPr>
        <w:spacing w:before="240"/>
        <w:rPr>
          <w:rFonts w:ascii="Garamond" w:hAnsi="Garamond"/>
          <w:b/>
          <w:bCs/>
        </w:rPr>
      </w:pPr>
    </w:p>
    <w:p w14:paraId="029B71B2" w14:textId="77777777" w:rsidR="00205681" w:rsidRPr="009672FC" w:rsidRDefault="00205681" w:rsidP="00791631">
      <w:pPr>
        <w:spacing w:before="240"/>
        <w:rPr>
          <w:rFonts w:ascii="Garamond" w:hAnsi="Garamond"/>
          <w:b/>
          <w:bCs/>
        </w:rPr>
      </w:pPr>
    </w:p>
    <w:p w14:paraId="02EDE953" w14:textId="735F0E63" w:rsidR="005C5F35" w:rsidRPr="00205681" w:rsidRDefault="00791631" w:rsidP="00EB5D6B">
      <w:pPr>
        <w:pStyle w:val="Heading1"/>
        <w:rPr>
          <w:rFonts w:ascii="Garamond" w:hAnsi="Garamond" w:cs="Times New Roman"/>
          <w:b/>
          <w:bCs/>
          <w:sz w:val="28"/>
          <w:szCs w:val="28"/>
        </w:rPr>
      </w:pPr>
      <w:bookmarkStart w:id="259" w:name="_Toc85709801"/>
      <w:r w:rsidRPr="00205681">
        <w:rPr>
          <w:rFonts w:ascii="Garamond" w:hAnsi="Garamond" w:cs="Times New Roman"/>
          <w:b/>
          <w:bCs/>
          <w:color w:val="auto"/>
          <w:sz w:val="24"/>
          <w:szCs w:val="28"/>
        </w:rPr>
        <w:lastRenderedPageBreak/>
        <w:t xml:space="preserve">Appendix 2. </w:t>
      </w:r>
      <w:r w:rsidR="00EB5D6B" w:rsidRPr="00205681">
        <w:rPr>
          <w:rFonts w:ascii="Garamond" w:hAnsi="Garamond" w:cs="Times New Roman"/>
          <w:b/>
          <w:bCs/>
          <w:color w:val="auto"/>
          <w:sz w:val="24"/>
          <w:szCs w:val="28"/>
        </w:rPr>
        <w:t>Network management</w:t>
      </w:r>
      <w:r w:rsidR="005C5F35" w:rsidRPr="00205681">
        <w:rPr>
          <w:rFonts w:ascii="Garamond" w:hAnsi="Garamond" w:cs="Times New Roman"/>
          <w:b/>
          <w:bCs/>
          <w:color w:val="auto"/>
          <w:sz w:val="24"/>
          <w:szCs w:val="28"/>
        </w:rPr>
        <w:t xml:space="preserve"> issues</w:t>
      </w:r>
      <w:bookmarkEnd w:id="259"/>
    </w:p>
    <w:tbl>
      <w:tblPr>
        <w:tblStyle w:val="TableGrid"/>
        <w:tblW w:w="9900" w:type="dxa"/>
        <w:jc w:val="center"/>
        <w:tblBorders>
          <w:left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790"/>
        <w:gridCol w:w="7110"/>
      </w:tblGrid>
      <w:tr w:rsidR="005C5F35" w:rsidRPr="009672FC" w14:paraId="0762C6B0" w14:textId="77777777" w:rsidTr="005C5F35">
        <w:trPr>
          <w:jc w:val="center"/>
        </w:trPr>
        <w:tc>
          <w:tcPr>
            <w:tcW w:w="2790" w:type="dxa"/>
            <w:shd w:val="clear" w:color="auto" w:fill="FFFFFF" w:themeFill="background1"/>
          </w:tcPr>
          <w:p w14:paraId="1ADF69ED" w14:textId="6EC50E84" w:rsidR="005C5F35" w:rsidRPr="009672FC" w:rsidRDefault="005C5F35" w:rsidP="00791631">
            <w:pPr>
              <w:spacing w:line="360" w:lineRule="auto"/>
              <w:rPr>
                <w:rFonts w:ascii="Garamond" w:hAnsi="Garamond"/>
              </w:rPr>
            </w:pPr>
            <w:r w:rsidRPr="009672FC">
              <w:rPr>
                <w:rFonts w:ascii="Garamond" w:hAnsi="Garamond"/>
              </w:rPr>
              <w:t xml:space="preserve">Network management </w:t>
            </w:r>
          </w:p>
        </w:tc>
        <w:tc>
          <w:tcPr>
            <w:tcW w:w="7110" w:type="dxa"/>
            <w:shd w:val="clear" w:color="auto" w:fill="FFFFFF" w:themeFill="background1"/>
          </w:tcPr>
          <w:p w14:paraId="07EF6E2F" w14:textId="77777777" w:rsidR="005C5F35" w:rsidRPr="009672FC" w:rsidRDefault="005C5F35" w:rsidP="005C5F35">
            <w:pPr>
              <w:pStyle w:val="NoSpacing"/>
              <w:spacing w:line="360" w:lineRule="auto"/>
              <w:jc w:val="center"/>
              <w:rPr>
                <w:rFonts w:ascii="Garamond" w:hAnsi="Garamond" w:cs="Times New Roman"/>
                <w:b/>
                <w:bCs/>
              </w:rPr>
            </w:pPr>
            <w:r w:rsidRPr="009672FC">
              <w:rPr>
                <w:rFonts w:ascii="Garamond" w:hAnsi="Garamond" w:cs="Times New Roman"/>
                <w:b/>
                <w:bCs/>
              </w:rPr>
              <w:t xml:space="preserve">Summary </w:t>
            </w:r>
          </w:p>
        </w:tc>
      </w:tr>
      <w:tr w:rsidR="005C5F35" w:rsidRPr="009672FC" w14:paraId="2283BB80" w14:textId="77777777" w:rsidTr="005C5F35">
        <w:trPr>
          <w:jc w:val="center"/>
        </w:trPr>
        <w:tc>
          <w:tcPr>
            <w:tcW w:w="2790" w:type="dxa"/>
            <w:shd w:val="clear" w:color="auto" w:fill="FFFFFF" w:themeFill="background1"/>
          </w:tcPr>
          <w:p w14:paraId="736CF798" w14:textId="43BCA211" w:rsidR="005C5F35" w:rsidRPr="009672FC" w:rsidRDefault="005C5F35" w:rsidP="005C5F35">
            <w:pPr>
              <w:pStyle w:val="NoSpacing"/>
              <w:spacing w:line="360" w:lineRule="auto"/>
              <w:rPr>
                <w:rFonts w:ascii="Garamond" w:hAnsi="Garamond" w:cs="Times New Roman"/>
                <w:i/>
                <w:iCs/>
                <w:noProof/>
              </w:rPr>
            </w:pPr>
            <w:r w:rsidRPr="009672FC">
              <w:rPr>
                <w:rFonts w:ascii="Garamond" w:hAnsi="Garamond" w:cs="Times New Roman"/>
                <w:i/>
                <w:iCs/>
              </w:rPr>
              <w:t>Leadership and team</w:t>
            </w:r>
            <w:r w:rsidR="00813D37" w:rsidRPr="009672FC">
              <w:rPr>
                <w:rFonts w:ascii="Garamond" w:hAnsi="Garamond" w:cs="Times New Roman"/>
                <w:i/>
                <w:iCs/>
              </w:rPr>
              <w:t>-</w:t>
            </w:r>
            <w:r w:rsidRPr="009672FC">
              <w:rPr>
                <w:rFonts w:ascii="Garamond" w:hAnsi="Garamond" w:cs="Times New Roman"/>
                <w:i/>
                <w:iCs/>
              </w:rPr>
              <w:t>building</w:t>
            </w:r>
          </w:p>
        </w:tc>
        <w:tc>
          <w:tcPr>
            <w:tcW w:w="7110" w:type="dxa"/>
            <w:shd w:val="clear" w:color="auto" w:fill="FFFFFF" w:themeFill="background1"/>
          </w:tcPr>
          <w:p w14:paraId="3663821F" w14:textId="51B9C0A7" w:rsidR="005C5F35" w:rsidRPr="009672FC" w:rsidRDefault="005C5F35" w:rsidP="005C5F35">
            <w:pPr>
              <w:pStyle w:val="NoSpacing"/>
              <w:spacing w:line="360" w:lineRule="auto"/>
              <w:jc w:val="both"/>
              <w:rPr>
                <w:rFonts w:ascii="Garamond" w:hAnsi="Garamond" w:cs="Times New Roman"/>
                <w:noProof/>
              </w:rPr>
            </w:pPr>
            <w:r w:rsidRPr="009672FC">
              <w:rPr>
                <w:rFonts w:ascii="Garamond" w:hAnsi="Garamond" w:cs="Times New Roman"/>
                <w:lang w:val="en-US"/>
              </w:rPr>
              <w:t xml:space="preserve">The authors find the important role of transformational leadership as a means of ensuring network-level teambuilding and mutual commitment to innovation performance (Aga, Noorderhaven and Vallejo, 2016;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{"citationItems":[{"id":"ITEM-1","itemData":{"DOI":"10.1016/j.ijproman.2013.05.010","ISSN":"02637863","abstract":"Projects as a form of temporary organizing are different from standard organizational processes. Due to their temporary and unique nature, projects are characterized by discontinuous personal constellations and work contents. Although leadership research has called for a consideration of context factors and their effects on leadership, leadership in a temporary setting has hardly been investigated. We therefore extend transactional and transformational leadership theory by looking at it from the perspective of the temporary organization. We develop a research model with testable propositions on the effects of the temporary organizations' characteristics on leadership and on followers' commitment in projects. © 2013 Elsevier Ltd and IPMA.","author":[{"dropping-particle":"","family":"Tyssen","given":"Ana K.","non-dropping-particle":"","parse-names":false,"suffix":""},{"dropping-particle":"","family":"Wald","given":"Andreas","non-dropping-particle":"","parse-names":false,"suffix":""},{"dropping-particle":"","family":"Spieth","given":"Patrick","non-dropping-particle":"","parse-names":false,"suffix":""}],"container-title":"International Journal of Project Management","id":"ITEM-1","issue":"3","issued":{"date-parts":[["2014"]]},"page":"365-375","publisher":"Elsevier Ltd and IPMA","title":"The challenge of transactional and transformational leadership in projects","type":"article-journal","volume":"32"},"uris":["http://www.mendeley.com/documents/?uuid=02dd8d3c-f4b7-4d1f-8a36-6838c1c6e67c"]}],"mendeley":{"formattedCitation":"(Tyssen et al., 2014)","manualFormatting":"Tyssen, Wald and Spieth, 2014","plainTextFormattedCitation":"(Tyssen et al., 2014)","previouslyFormattedCitation":"(Tyssen, Wald and Spieth, 2014)"},"properties":{"noteIndex":0},"schema":"https://github.com/citation-style-language/schema/raw/master/csl-citation.json"}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Tyssen, Wald and Spieth, 2014</w:t>
            </w:r>
            <w:r w:rsidRPr="009672FC">
              <w:rPr>
                <w:rFonts w:ascii="Garamond" w:hAnsi="Garamond" w:cs="Times New Roman"/>
                <w:lang w:val="en-US"/>
              </w:rPr>
              <w:fldChar w:fldCharType="end"/>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{"citationItems":[{"id":"ITEM-1","itemData":{"DOI":"10.1016/j.ijproman.2016.02.012","ISSN":"02637863","abstract":"Although the effect of transformational leadership on project success is empirically supported, less is known about the mechanisms that explain this effect. To address this issue, we propose the mediating role of team-building as a possible explanation of the relationship between transformational leadership and project success. Based on a field survey of 200 development project managers in the Ethiopian Non-Governmental Organization (NGO) sector, the results of our study indicate that team-building partially mediates the effect of transformational leadership on project success. We discuss the theoretical and practical implications of these findings.","author":[{"dropping-particle":"","family":"Aga","given":"D. A.","non-dropping-particle":"","parse-names":false,"suffix":""},{"dropping-particle":"","family":"Noorderhaven","given":"N.","non-dropping-particle":"","parse-names":false,"suffix":""},{"dropping-particle":"","family":"Vallejo","given":"B.","non-dropping-particle":"","parse-names":false,"suffix":""}],"container-title":"International Journal of Project Management","id":"ITEM-1","issue":"5","issued":{"date-parts":[["2016"]]},"page":"806-818","publisher":"Elsevier Ltd and Association for Project Management and the International Project Management Association","title":"Transformational leadership and project success: The mediating role of team-building","type":"article-journal","volume":"34"},"uris":["http://www.mendeley.com/documents/?uuid=119907fa-81ba-4cab-939a-298630d1c403"]}],"mendeley":{"formattedCitation":"(Aga et al., 2016)","manualFormatting":")","plainTextFormattedCitation":"(Aga et al., 2016)","previouslyFormattedCitation":"(Aga, Noorderhaven and Vallejo, 2016)"},"properties":{"noteIndex":0},"schema":"https://github.com/citation-style-language/schema/raw/master/csl-citation.json"}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xml:space="preserve"> and enabling the </w:t>
            </w:r>
            <w:r w:rsidRPr="009672FC">
              <w:rPr>
                <w:rFonts w:ascii="Garamond" w:hAnsi="Garamond" w:cs="Times New Roman"/>
              </w:rPr>
              <w:t>alignment of actors’ goals and change of mindset to common interest (</w:t>
            </w:r>
            <w:r w:rsidRPr="009672FC">
              <w:rPr>
                <w:rFonts w:ascii="Garamond" w:hAnsi="Garamond" w:cs="Times New Roman"/>
              </w:rPr>
              <w:fldChar w:fldCharType="begin" w:fldLock="1"/>
            </w:r>
            <w:r w:rsidR="00813D37" w:rsidRPr="009672FC">
              <w:rPr>
                <w:rFonts w:ascii="Garamond" w:hAnsi="Garamond" w:cs="Times New Roman"/>
              </w:rPr>
              <w:instrText>ADDIN CSL_CITATION {"citationItems":[{"id":"ITEM-1","itemData":{"DOI":"10.1111/jpim.12462","ISSN":"15405885","abstract":"By studying the change in employees’ network positions before and after the introduction of a social net- working tool, I find that information-rich networks (low in cohesion and rich in structural holes), enabled by social media, have a positive effect on various work outcomes. Contrary to the notion that network positions are difficult to alter, I show that social media can induce a change in network structure, one from which individuals can derive economic benefits. In addition, I consider two intermediate mechanisms by which an information- rich network is theorized to improve work performance—information diversity and social communication—and quantify their effects on productivity and job security. Analysis shows that productivity, as measured by billable revenue, is more associated with information diversity than with social communication. However, the opposite is true for job security. Social communication is more correlated with reduced layoff risks than with informa- tion diversity. This, in turn, suggests that information-rich networks enabled through the use of social media can drive both work performance and job security, but that there is a trade-off between engaging in social communication and gathering diverse information.","author":[{"dropping-particle":"","family":"Töytäri","given":"Pekka","non-dropping-particle":"","parse-names":false,"suffix":""},{"dropping-particle":"","family":"Turunen","given":"Taija","non-dropping-particle":"","parse-names":false,"suffix":""},{"dropping-particle":"","family":"Klein","given":"Maximilian","non-dropping-particle":"","parse-names":false,"suffix":""},{"dropping-particle":"","family":"Eloranta","given":"Ville","non-dropping-particle":"","parse-names":false,"suffix":""},{"dropping-particle":"","family":"Biehl","given":"Sebastian","non-dropping-particle":"","parse-names":false,"suffix":""},{"dropping-particle":"","family":"Rajala","given":"Risto","non-dropping-particle":"","parse-names":false,"suffix":""}],"container-title":"Journal of Product Innovation Management","id":"ITEM-1","issue":"5","issued":{"date-parts":[["2018"]]},"page":"763-779","title":"Aligning the Mindset and Capabilities within a Business Network for Successful Adoption of Smart Services","type":"article-journal","volume":"35"},"uris":["http://www.mendeley.com/documents/?uuid=a7a700d2-8e30-4255-9ed2-8c5ce8d60dc7"]}],"mendeley":{"formattedCitation":"(Töytäri et al., 2018)","manualFormatting":"Töytäri et al., 2018)","plainTextFormattedCitation":"(Töytäri et al., 2018)","previouslyFormattedCitation":"(Töytäri &lt;i&gt;et al.&lt;/i&gt;, 2018)"},"properties":{"noteIndex":0},"schema":"https://github.com/citation-style-language/schema/raw/master/csl-citation.json"}</w:instrText>
            </w:r>
            <w:r w:rsidRPr="009672FC">
              <w:rPr>
                <w:rFonts w:ascii="Garamond" w:hAnsi="Garamond" w:cs="Times New Roman"/>
              </w:rPr>
              <w:fldChar w:fldCharType="separate"/>
            </w:r>
            <w:r w:rsidRPr="009672FC">
              <w:rPr>
                <w:rFonts w:ascii="Garamond" w:hAnsi="Garamond" w:cs="Times New Roman"/>
                <w:noProof/>
              </w:rPr>
              <w:t>Töytäri et al., 2018)</w:t>
            </w:r>
            <w:r w:rsidRPr="009672FC">
              <w:rPr>
                <w:rFonts w:ascii="Garamond" w:hAnsi="Garamond" w:cs="Times New Roman"/>
              </w:rPr>
              <w:fldChar w:fldCharType="end"/>
            </w:r>
            <w:r w:rsidRPr="009672FC">
              <w:rPr>
                <w:rFonts w:ascii="Garamond" w:hAnsi="Garamond" w:cs="Times New Roman"/>
              </w:rPr>
              <w:t xml:space="preserve">. </w:t>
            </w:r>
            <w:r w:rsidRPr="009672FC">
              <w:rPr>
                <w:rFonts w:ascii="Garamond" w:hAnsi="Garamond" w:cs="Times New Roman"/>
                <w:lang w:val="en-US"/>
              </w:rPr>
              <w:t>Other scholars emphasized the critical role of transactional leadership in the design of clear project</w:t>
            </w:r>
            <w:r w:rsidR="00813D37" w:rsidRPr="009672FC">
              <w:rPr>
                <w:rFonts w:ascii="Garamond" w:hAnsi="Garamond" w:cs="Times New Roman"/>
                <w:lang w:val="en-US"/>
              </w:rPr>
              <w:t>-</w:t>
            </w:r>
            <w:r w:rsidRPr="009672FC">
              <w:rPr>
                <w:rFonts w:ascii="Garamond" w:hAnsi="Garamond" w:cs="Times New Roman"/>
                <w:lang w:val="en-US"/>
              </w:rPr>
              <w:t>level tasks, goals and incentives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{"citationItems":[{"id":"ITEM-1","itemData":{"DOI":"10.1016/j.jcorpfin.2017.03.009","ISSN":"09291199","abstract":"This study examines how various dimensions of a firm's network affect innovation and pricing of innovation by market participants. We use board interlocks to build interfirm network and construct different network measures to capture firm centrality in the interfirm network, cohesion within firm network, and diversity, innovativeness, and propinquity of firm network. Our results show that these different characteristics of network connectedness affect firm innovation input and output, particularly for firms in relatively intangible industries. These results are robust to the use of an instrumental variables approach as well as a natural experiment of state-level changes in R&amp;D tax credits. We also find that innovation has a positive (negative) marginal effect on corporate bond yield spreads when firms have lower (higher) connectedness, suggesting that the market perceives innovative activities by more connected firms as less uncertain. Yield spread changes around patent filings further support this finding.","author":[{"dropping-particle":"","family":"Chuluun","given":"Tuugi","non-dropping-particle":"","parse-names":false,"suffix":""},{"dropping-particle":"","family":"Prevost","given":"Andrew","non-dropping-particle":"","parse-names":false,"suffix":""},{"dropping-particle":"","family":"Upadhyay","given":"Arun","non-dropping-particle":"","parse-names":false,"suffix":""}],"container-title":"Journal of Corporate Finance","id":"ITEM-1","issued":{"date-parts":[["2017"]]},"page":"193-214","publisher":"Elsevier B.V.","title":"Firm network structure and innovation","type":"article-journal","volume":"44"},"uris":["http://www.mendeley.com/documents/?uuid=02164458-fd74-4a2c-9f72-24e0368f88cd"]}],"mendeley":{"formattedCitation":"(Chuluun, Prevost, &amp; Upadhyay, 2017)","manualFormatting":"Chuluun, Prevost and Upadhyay, 2017","plainTextFormattedCitation":"(Chuluun, Prevost, &amp; Upadhyay, 2017)","previouslyFormattedCitation":"(Chuluun, Prevost and Upadhyay,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Chuluun, Prevost and Upadhyay, 2017</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{"citationItems":[{"id":"ITEM-1","itemData":{"DOI":"10.1016/j.jclepro.2018.05.274","ISSN":"09596526","abstract":"As the energy demands increasing globally, a lot of energy related challenges are evolving including global warming, energy sustainability and environmental pollution, which have forced countries to endorse renewable energy development policies proactively. As in result a lot of renewable energy projects are carried out around the world, which are facing numerous challenges and barriers, resulting in failure for many of recent projects. Although governments have launched several initiatives vis-à-vis renewable energy development in response, however such actions are limited to promote the renewable energy consumption, the implementation strategies for renewable energy projects and best practices are still overlooked. This study presents a systematical investigation on critical success factors (CSFs) affecting renewable energy projects. Through systematic process, a total of 41 significant success factors (SSFs) for renewable energy projects have been identified which are further extracted into 5 critical success factors (CSFs). In addition, CSFs have been prioritized through multiple linear regression analysis by SPSS 20, using the survey results of 272 firms working on renewable energy projects in Pakistan. Finally, a novel causal model is established to demonstrate the interaction mechanisms for ensuring success in renewable energy projects by the SSFs and CSFs. The results demonstrate that environmental factors are the predominant CSFs with highest correlation (0.592) which show the significant effect (33.8%) over project success. The findings not only help to understand the critical success factors for renewable energy projects in Pakistan, but also offer useful references for other countries that intend to promote renewable energy projects in the future.","author":[{"dropping-particle":"","family":"Maqbool","given":"Rashid","non-dropping-particle":"","parse-names":false,"suffix":""},{"dropping-particle":"","family":"Sudong","given":"Ye","non-dropping-particle":"","parse-names":false,"suffix":""}],"container-title":"Journal of Cleaner Production","id":"ITEM-1","issued":{"date-parts":[["2018"]]},"page":"991-1002","publisher":"Elsevier Ltd","title":"Critical success factors for renewable energy projects; empirical evidence from Pakistan","type":"article-journal","volume":"195"},"uris":["http://www.mendeley.com/documents/?uuid=1bb64399-68e7-4122-877d-7d394510abab"]}],"mendeley":{"formattedCitation":"(Maqbool &amp; Sudong, 2018)","manualFormatting":"Maqbool and Sudong, 2018","plainTextFormattedCitation":"(Maqbool &amp; Sudong, 2018)","previouslyFormattedCitation":"(Maqbool and Sudong, 2018)"},"properties":{"noteIndex":0},"schema":"https://github.com/citation-style-language/schema/raw/master/csl-citation.json"}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Maqbool and Sudong, 2018</w:t>
            </w:r>
            <w:r w:rsidRPr="009672FC">
              <w:rPr>
                <w:rFonts w:ascii="Garamond" w:hAnsi="Garamond" w:cs="Times New Roman"/>
                <w:lang w:val="en-US"/>
              </w:rPr>
              <w:fldChar w:fldCharType="end"/>
            </w:r>
            <w:r w:rsidRPr="009672FC">
              <w:rPr>
                <w:rFonts w:ascii="Garamond" w:hAnsi="Garamond" w:cs="Times New Roman"/>
                <w:lang w:val="en-US"/>
              </w:rPr>
              <w:t>).</w:t>
            </w:r>
          </w:p>
        </w:tc>
      </w:tr>
      <w:tr w:rsidR="005C5F35" w:rsidRPr="009672FC" w14:paraId="1D542F99" w14:textId="77777777" w:rsidTr="005C5F35">
        <w:trPr>
          <w:jc w:val="center"/>
        </w:trPr>
        <w:tc>
          <w:tcPr>
            <w:tcW w:w="2790" w:type="dxa"/>
            <w:shd w:val="clear" w:color="auto" w:fill="FFFFFF" w:themeFill="background1"/>
          </w:tcPr>
          <w:p w14:paraId="32BCE7FB" w14:textId="77777777" w:rsidR="005C5F35" w:rsidRPr="009672FC" w:rsidRDefault="005C5F35" w:rsidP="005C5F35">
            <w:pPr>
              <w:pStyle w:val="NoSpacing"/>
              <w:spacing w:line="360" w:lineRule="auto"/>
              <w:rPr>
                <w:rFonts w:ascii="Garamond" w:hAnsi="Garamond" w:cs="Times New Roman"/>
                <w:i/>
                <w:iCs/>
                <w:noProof/>
              </w:rPr>
            </w:pPr>
            <w:r w:rsidRPr="009672FC">
              <w:rPr>
                <w:rFonts w:ascii="Garamond" w:hAnsi="Garamond" w:cs="Times New Roman"/>
                <w:i/>
                <w:iCs/>
              </w:rPr>
              <w:t xml:space="preserve">Organizational design and structure </w:t>
            </w:r>
          </w:p>
        </w:tc>
        <w:tc>
          <w:tcPr>
            <w:tcW w:w="7110" w:type="dxa"/>
            <w:shd w:val="clear" w:color="auto" w:fill="FFFFFF" w:themeFill="background1"/>
          </w:tcPr>
          <w:p w14:paraId="141C50CB" w14:textId="5DD96D8B" w:rsidR="005C5F35" w:rsidRPr="009672FC" w:rsidRDefault="005C5F35" w:rsidP="005C5F35">
            <w:pPr>
              <w:pStyle w:val="NoSpacing"/>
              <w:spacing w:line="360" w:lineRule="auto"/>
              <w:jc w:val="both"/>
              <w:rPr>
                <w:rFonts w:ascii="Garamond" w:hAnsi="Garamond" w:cs="Times New Roman"/>
                <w:noProof/>
              </w:rPr>
            </w:pPr>
            <w:r w:rsidRPr="009672FC">
              <w:rPr>
                <w:rFonts w:ascii="Garamond" w:hAnsi="Garamond" w:cs="Times New Roman"/>
                <w:lang w:val="en-US"/>
              </w:rPr>
              <w:t>The organization and design of interfirm project structure have implications for network innovation performance. Several scholars are of the view that rather than the traditional structures, network organizations seem to be more ideal in terms of their flexibility to respon</w:t>
            </w:r>
            <w:r w:rsidR="00813D37" w:rsidRPr="009672FC">
              <w:rPr>
                <w:rFonts w:ascii="Garamond" w:hAnsi="Garamond" w:cs="Times New Roman"/>
                <w:lang w:val="en-US"/>
              </w:rPr>
              <w:t>d</w:t>
            </w:r>
            <w:r w:rsidRPr="009672FC">
              <w:rPr>
                <w:rFonts w:ascii="Garamond" w:hAnsi="Garamond" w:cs="Times New Roman"/>
                <w:lang w:val="en-US"/>
              </w:rPr>
              <w:t xml:space="preserve"> to the rapidly changing environment and swifter in seizing market opportunities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{"citationItems":[{"id":"ITEM-1","itemData":{"DOI":"10.1016/j.jbusres.2019.10.044","ISSN":"01482963","abstract":"This paper examines a Complex Product System (CoPS) project, Metis, an externally occulted coronagraph that is part of the ESA's Solar Orbiter mission and whose development required the involvement of scientists, international firms and space agencies. Specifically, this study attempted to investigate two main issues: (i) the main structural inter-organizational tensions emerged over the years, and (ii) if and how they were solved, distinguishing between contingent and structural solutions. The coronagraph was successfully delivered to the European Space Agency (ESA) in 2017, notwithstanding two main tensions related to the shortage of financial resources and to the organizational design of the ESA mission. This study takes different theoretical lenses (contingency theory, paradox theory, and social balance theory) to infer about how structural inter-organizational tensions were mitigated, proposing the need to combine several theoretical perspectives. The contingent and structural solutions identified and discussed could have implications for several future CoPS projects.","author":[{"dropping-particle":"","family":"Galati","given":"Francesco","non-dropping-particle":"","parse-names":false,"suffix":""},{"dropping-particle":"","family":"Bigliardi","given":"Barbara","non-dropping-particle":"","parse-names":false,"suffix":""},{"dropping-particle":"","family":"Galati","given":"Roberta","non-dropping-particle":"","parse-names":false,"suffix":""},{"dropping-particle":"","family":"Petroni","given":"Giorgio","non-dropping-particle":"","parse-names":false,"suffix":""}],"container-title":"Journal of Business Research","id":"ITEM-1","issue":"March","issued":{"date-parts":[["2019"]]},"page":"1-13","publisher":"Elsevier","title":"Managing structural inter-organizational tensions in complex product systems projects: Lessons from the Metis case","type":"article-journal"},"uris":["http://www.mendeley.com/documents/?uuid=3a0bd941-55ba-4f68-9764-770652a16866"]}],"mendeley":{"formattedCitation":"(Galati et al., 2019)","manualFormatting":"Galati et al., 2019","plainTextFormattedCitation":"(Galati et al., 2019)","previouslyFormattedCitation":"(Galati &lt;i&gt;et al.&lt;/i&gt;,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Galati et al., 2019</w:t>
            </w:r>
            <w:r w:rsidRPr="009672FC">
              <w:rPr>
                <w:rFonts w:ascii="Garamond" w:hAnsi="Garamond" w:cs="Times New Roman"/>
                <w:lang w:val="en-US"/>
              </w:rPr>
              <w:fldChar w:fldCharType="end"/>
            </w:r>
            <w:r w:rsidRPr="009672FC">
              <w:rPr>
                <w:rFonts w:ascii="Garamond" w:hAnsi="Garamond" w:cs="Times New Roman"/>
                <w:lang w:val="en-US"/>
              </w:rPr>
              <w:t>.</w:t>
            </w:r>
            <w:r w:rsidRPr="009672FC">
              <w:rPr>
                <w:rStyle w:val="CommentReference"/>
                <w:rFonts w:ascii="Garamond" w:hAnsi="Garamond" w:cs="Times New Roman"/>
                <w:sz w:val="22"/>
                <w:szCs w:val="22"/>
              </w:rPr>
              <w:t xml:space="preserve"> Proponents of this thinking suggest that network structures stronger interfirm relationship</w:t>
            </w:r>
            <w:r w:rsidR="00813D37" w:rsidRPr="009672FC">
              <w:rPr>
                <w:rStyle w:val="CommentReference"/>
                <w:rFonts w:ascii="Garamond" w:hAnsi="Garamond" w:cs="Times New Roman"/>
                <w:sz w:val="22"/>
                <w:szCs w:val="22"/>
              </w:rPr>
              <w:t>s</w:t>
            </w:r>
            <w:r w:rsidRPr="009672FC">
              <w:rPr>
                <w:rStyle w:val="CommentReference"/>
                <w:rFonts w:ascii="Garamond" w:hAnsi="Garamond" w:cs="Times New Roman"/>
                <w:sz w:val="22"/>
                <w:szCs w:val="22"/>
              </w:rPr>
              <w:t xml:space="preserve"> through frequent </w:t>
            </w:r>
            <w:r w:rsidRPr="009672FC">
              <w:rPr>
                <w:rFonts w:ascii="Garamond" w:hAnsi="Garamond" w:cs="Times New Roman"/>
                <w:lang w:val="en-US"/>
              </w:rPr>
              <w:t>direct and indirect interactions within the network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{"citationItems":[{"id":"ITEM-1","itemData":{"DOI":"10.1016/j.techfore.2011.09.003","ISSN":"00401625","abstract":"This paper examines the effects that process, structure and governance dimensions of networks have on innovation performance. The main focus of the paper is the multidimensional aspect of innovation networks and how these dimensions affect network performance. Technology management, resource-based, transaction costs and social capital perspectives are applied in the construction of the model variables of each subsystem or dimension analyzed. With results drawn from a sample of 350 project managers identified in the European Union CORDIS database who are actively involved in European innovation networks, we argue that the performance of innovation networks is increased through the suitable design of process, structure and governance subsystems. Empirical findings also show that interactions between these subsystems have a complementary or synergic effect resulting in improved innovation performance. © 2011 Elsevier Inc.","author":[{"dropping-particle":"","family":"Arranz","given":"Nieves","non-dropping-particle":"","parse-names":false,"suffix":""},{"dropping-particle":"","family":"Fdez. de Arroyabe","given":"J. Carlos","non-dropping-particle":"","parse-names":false,"suffix":""}],"container-title":"Technological Forecasting and Social Change","id":"ITEM-1","issue":"3","issued":{"date-parts":[["2012"]]},"page":"485-497","publisher":"Elsevier Inc.","title":"Can innovation network projects result in efficient performance?","type":"article-journal","volume":"79"},"uris":["http://www.mendeley.com/documents/?uuid=6ac0b5a2-70cf-4e7a-a7e6-5e3ea3d401a8"]}],"mendeley":{"formattedCitation":"(Arranz &amp; Fdez. de Arroyabe, 2012)","manualFormatting":"Arranz and Fdez. de Arroyabe, 2012","plainTextFormattedCitation":"(Arranz &amp; Fdez. de Arroyabe, 2012)","previouslyFormattedCitation":"(Arranz and Fdez. de Arroyabe, 2012)"},"properties":{"noteIndex":0},"schema":"https://github.com/citation-style-language/schema/raw/master/csl-citation.json"}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Arranz and Fdez. de Arroyabe, 2012</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{"citationItems":[{"id":"ITEM-1","itemData":{"DOI":"10.1016/j.ijproman.2010.04.006","ISSN":"02637863","abstract":"There has recently been noted a rapid increase in research attention to projects that involve outside partners. Our knowledge of such inter-organizational projects, however, is limited. This paper reports large scale data from a repeated trend survey amongst 2000 SMEs in 2006 and 2009 that focused on inter-organizational project ventures. Our major findings indicate that the overall prevalence of inter-organizational project ventures remained significant and stable over time, even despite the economic crisis. Moreover, we find that these ventures predominantly solve repetitive rather than unique tasks and are embedded in prior relations between the partnering organizations. These findings provide empirical support for the recent claims that project management should pay more attention to inter-organizational forms of project organization, and suggest that the archetypical view of projects as being unique in every respect should be reconsidered. Both have important implications for project management, especially in the area of project-based learning. © 2010 International Project Management Association.","author":[{"dropping-particle":"","family":"Bakker","given":"René M.","non-dropping-particle":"","parse-names":false,"suffix":""},{"dropping-particle":"","family":"Knoben","given":"Joris","non-dropping-particle":"","parse-names":false,"suffix":""},{"dropping-particle":"","family":"Vries","given":"Nardo","non-dropping-particle":"de","parse-names":false,"suffix":""},{"dropping-particle":"","family":"Oerlemans","given":"Leon A.G.","non-dropping-particle":"","parse-names":false,"suffix":""}],"container-title":"International Journal of Project Management","id":"ITEM-1","issue":"6","issued":{"date-parts":[["2011"]]},"page":"781-794","publisher":"International Project Management Association","title":"The nature and prevalence of inter-organizational project ventures: Evidence from a large scale field study in the Netherlands 2006-2009","type":"article-journal","volume":"29"},"uris":["http://www.mendeley.com/documents/?uuid=ea843ce0-f920-40b9-a3b8-83d0ded6b7a5"]}],"mendeley":{"formattedCitation":"(Bakker et al., 2011)","manualFormatting":"Bakker et al., 2011","plainTextFormattedCitation":"(Bakker et al., 2011)","previouslyFormattedCitation":"(Bakker &lt;i&gt;et al.&lt;/i&gt;, 2011)"},"properties":{"noteIndex":0},"schema":"https://github.com/citation-style-language/schema/raw/master/csl-citation.json"}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Bakker et al., 2011</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{"citationItems":[{"id":"ITEM-1","itemData":{"DOI":"10.1016/j.ijproman.2010.10.001","ISSN":"02637863","abstract":"We analyze governance in two contemporary nuclear power plant projects: Olkiluoto 3 (Finland) and Flamanville 3 (France). We suggest that in the governance of large multi-firm projects, any of the prevalent governance approaches that rely on market, hierarchy, or hybrid forms, is not adequate as such. This paper opens up avenues towards a novel theory of governance in large projects by adopting a project network view with multiple networked firms within a single project, and by simultaneously going beyond organizational forms that cut across the traditional firm-market dichotomy. Our analysis suggests four changes in the prevailing perspective towards the governance of large projects. First, there should be a shift from viewing multi-firm projects as hierarchical contract organizations to viewing them as supply networks characterized by a complex and networked organizational structure. Second, there should be a shift in the emphasis of the predominant modes of governance, market and hierarchy towards novel governance approaches that emphasize network-level mechanisms such as self-regulation within the project. Third, there should be a shift from viewing projects as temporary endeavors to viewing projects as short-term events or episodes embedded in the long-term sphere of shared history and expected future activities among the involved actors. Fourth, there should be a shift from the prevailing narrow view of a hierarchical project management system towards an open system view of managing in complex and challenging institutional environments. © 2010 Elsevier Ltd and IPMA.","author":[{"dropping-particle":"","family":"Ruuska","given":"Inkeri","non-dropping-particle":"","parse-names":false,"suffix":""},{"dropping-particle":"","family":"Ahola","given":"Tuomas","non-dropping-particle":"","parse-names":false,"suffix":""},{"dropping-particle":"","family":"Artto","given":"Karlos","non-dropping-particle":"","parse-names":false,"suffix":""},{"dropping-particle":"","family":"Locatelli","given":"Giorgio","non-dropping-particle":"","parse-names":false,"suffix":""},{"dropping-particle":"","family":"Mancini","given":"Mauro","non-dropping-particle":"","parse-names":false,"suffix":""}],"container-title":"International Journal of Project Management","id":"ITEM-1","issue":"6","issued":{"date-parts":[["2011"]]},"page":"647-660","publisher":"Elsevier Ltd and IPMA","title":"A new governance approach for multi-firm projects: Lessons from Olkiluoto 3 and Flamanville 3 nuclear power plant projects","type":"article-journal","volume":"29"},"uris":["http://www.mendeley.com/documents/?uuid=85cca034-5b81-4ef6-95de-e80c4bbd42c2"]}],"mendeley":{"formattedCitation":"(Ruuska et al., 2011)","manualFormatting":"Ruuska et al., 2011","plainTextFormattedCitation":"(Ruuska et al., 2011)","previouslyFormattedCitation":"(Ruuska &lt;i&gt;et al.&lt;/i&gt;, 2011)"},"properties":{"noteIndex":0},"schema":"https://github.com/citation-style-language/schema/raw/master/csl-citation.json"}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Ruuska et al., 2011</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Style w:val="CommentReference"/>
                <w:rFonts w:ascii="Garamond" w:hAnsi="Garamond" w:cs="Times New Roman"/>
                <w:sz w:val="22"/>
                <w:szCs w:val="22"/>
              </w:rPr>
              <w:t>Traditional structures on the other hand are arguably bureaucratic and slower in response.</w:t>
            </w:r>
          </w:p>
        </w:tc>
      </w:tr>
      <w:tr w:rsidR="005C5F35" w:rsidRPr="009672FC" w14:paraId="562F40BA" w14:textId="77777777" w:rsidTr="005C5F35">
        <w:trPr>
          <w:jc w:val="center"/>
        </w:trPr>
        <w:tc>
          <w:tcPr>
            <w:tcW w:w="2790" w:type="dxa"/>
            <w:shd w:val="clear" w:color="auto" w:fill="FFFFFF" w:themeFill="background1"/>
          </w:tcPr>
          <w:p w14:paraId="41B2CEBC"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Governance mechanisms</w:t>
            </w:r>
          </w:p>
        </w:tc>
        <w:tc>
          <w:tcPr>
            <w:tcW w:w="7110" w:type="dxa"/>
            <w:shd w:val="clear" w:color="auto" w:fill="FFFFFF" w:themeFill="background1"/>
          </w:tcPr>
          <w:p w14:paraId="03B1C716" w14:textId="046EDF1C" w:rsidR="005C5F35" w:rsidRPr="009672FC" w:rsidRDefault="005C5F35" w:rsidP="005C5F35">
            <w:pPr>
              <w:pStyle w:val="NoSpacing"/>
              <w:spacing w:line="360" w:lineRule="auto"/>
              <w:jc w:val="both"/>
              <w:rPr>
                <w:rFonts w:ascii="Garamond" w:hAnsi="Garamond" w:cs="Times New Roman"/>
              </w:rPr>
            </w:pPr>
            <w:r w:rsidRPr="009672FC">
              <w:rPr>
                <w:rFonts w:ascii="Garamond" w:hAnsi="Garamond" w:cs="Times New Roman"/>
                <w:lang w:val="en-US"/>
              </w:rPr>
              <w:t xml:space="preserve">The authors argue that social and relational mechanisms rather than legal mechanisms are critical controls </w:t>
            </w:r>
            <w:r w:rsidR="00813D37" w:rsidRPr="009672FC">
              <w:rPr>
                <w:rFonts w:ascii="Garamond" w:hAnsi="Garamond" w:cs="Times New Roman"/>
                <w:lang w:val="en-US"/>
              </w:rPr>
              <w:t xml:space="preserve">of </w:t>
            </w:r>
            <w:r w:rsidRPr="009672FC">
              <w:rPr>
                <w:rFonts w:ascii="Garamond" w:hAnsi="Garamond" w:cs="Times New Roman"/>
                <w:lang w:val="en-US"/>
              </w:rPr>
              <w:t>open-source innovation network projects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{"citationItems":[{"id":"ITEM-1","itemData":{"DOI":"10.1287/isre.1080.0207","ISSN":"15265536","abstract":"Peer production phenomena such as open source software (OSS) have been posited as a viable alternative to traditional production models. However, community-based development often falls short of creating software \"products\" in the sense that consumers understand. Our research identifies an emerging business network archetype in the OSS sector, the open source service network (OSSN), which seeks to address the \" productization\" challenge. To do so, OSSNs must overcome the problems associated with exchanging resources between firms. We demonstrate that OSSNs overcome exchange problems by primarily relying on social, rather than legal, mechanisms; similar to the OSS communities from which they emerged. This is made possible because OSSNs use IT infrastructures that provide high visibility for primary value-creating activities. The research utilizes a multimethod theory-building approach, deriving a model from extant research, refining the model through qualitative case study analysis, and further refining the model through quantitative analysis of survey data. The paper reveals the manifestation of social mechanisms in OSSNs and how these are used for coordinating and safeguarding exchanges between firms. Specifically, we illustrate the primary importance of a shared macroculture (goals and norms) and collective sanctions for punishing firms who violate these goals/norms. Furthermore, our research highlights the interplay between digital and social networks within OSSNs, demonstrating that the use of social mechanisms is inherently dependent upon the underlying IT infrastructure. © 2008 INFORMS.","author":[{"dropping-particle":"","family":"Feller","given":"Joseph","non-dropping-particle":"","parse-names":false,"suffix":""},{"dropping-particle":"","family":"Finnegan","given":"Patrick","non-dropping-particle":"","parse-names":false,"suffix":""},{"dropping-particle":"","family":"Fitzgerald","given":"Brian","non-dropping-particle":"","parse-names":false,"suffix":""},{"dropping-particle":"","family":"Hayes","given":"Jeremy","non-dropping-particle":"","parse-names":false,"suffix":""}],"container-title":"Information Systems Research","id":"ITEM-1","issue":"4","issued":{"date-parts":[["2008"]]},"page":"475-493","title":"From peer production to productization: A study of socially enabled business exchanges in open source service networks","type":"article-journal","volume":"19"},"uris":["http://www.mendeley.com/documents/?uuid=f1c4c521-4aaf-43be-a6dd-0e6ec41d8577"]}],"mendeley":{"formattedCitation":"(Feller et al., 2008)","manualFormatting":"Feller et al., 2008; Vaaland and Håkansson, 2003; Adnan et al. 2012; Spang and Riemann, 2014; Vaaland, 2004; Nordin, 2006)","plainTextFormattedCitation":"(Feller et al., 2008)","previouslyFormattedCitation":"(Feller &lt;i&gt;et al.&lt;/i&gt;, 2008)"},"properties":{"noteIndex":0},"schema":"https://github.com/citation-style-language/schema/raw/master/csl-citation.json"}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 xml:space="preserve">Feller et al., 2008;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{"citationItems":[{"id":"ITEM-1","itemData":{"DOI":"10.1016/S0019-8501(02)00227-4","ISSN":"00198501","abstract":"This article focuses on how the phenomenon of conflict between buyer and seller in complex projects can be approached from a theoretical and a methodological angle. Two paradigms for approaching conflict are discussed: conflict as a problem to be removed and conflict as a resource and tool for improvement. Constructs to be used include conflict events that indicate traces of conflict. It is further argued that the conflict events should be related to formal and informal governance mechanisms in order to understand how conflict can be used to strengthen the business relationship between the parties. © 2002 Elsevier Science Inc.","author":[{"dropping-particle":"","family":"Vaaland","given":"Terje I.","non-dropping-particle":"","parse-names":false,"suffix":""},{"dropping-particle":"","family":"Håkansson","given":"Håkan","non-dropping-particle":"","parse-names":false,"suffix":""}],"container-title":"Industrial Marketing Management","id":"ITEM-1","issue":"2","issued":{"date-parts":[["2003"]]},"page":"127-138","title":"Exploring interorganizational conflict in complex projects","type":"article-journal","volume":"32"},"uris":["http://www.mendeley.com/documents/?uuid=4edff275-b07f-4195-bc70-5509425e096b"]}],"mendeley":{"formattedCitation":"(Vaaland &amp; Håkansson, 2003)","manualFormatting":"Vaaland and Håkansson, 2003;","plainTextFormattedCitation":"(Vaaland &amp; Håkansson, 2003)","previouslyFormattedCitation":"(Vaaland and Håkansson, 2003)"},"properties":{"noteIndex":0},"schema":"https://github.com/citation-style-language/schema/raw/master/csl-citation.json"}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Vaaland and Håkansson, 2003;</w:t>
            </w:r>
            <w:r w:rsidRPr="009672FC">
              <w:rPr>
                <w:rFonts w:ascii="Garamond" w:hAnsi="Garamond" w:cs="Times New Roman"/>
                <w:noProof/>
                <w:lang w:val="en-US"/>
              </w:rPr>
              <w:fldChar w:fldCharType="end"/>
            </w:r>
            <w:r w:rsidRPr="009672FC">
              <w:rPr>
                <w:rFonts w:ascii="Garamond" w:hAnsi="Garamond" w:cs="Times New Roman"/>
                <w:noProof/>
                <w:lang w:val="en-US"/>
              </w:rPr>
              <w:t xml:space="preserve">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{"citationItems":[{"id":"ITEM-1","itemData":{"DOI":"10.1016/j.sbspro.2012.02.148","ISSN":"18770428","abstract":"This paper aims to identify conflicts in Partnering arrangement between contractors in Malaysia, the barrier encountered and suggestion in preventing conflict in Partnering. It was found that partnering is an effective way to improve conflict by having good relationships among parties involved which involves mutual objectives, commitment, trust and teamwork among the parties in achieving goals. It is recommended that by attending workshop is the best way to spell out partner responsibility and scope of work. It is hope that possible measure need to be carried out as early as possible to avoid conflicts in the partnership.","author":[{"dropping-particle":"","family":"Adnan","given":"Hamimah","non-dropping-particle":"","parse-names":false,"suffix":""},{"dropping-particle":"","family":"Shamsuddin","given":"Siti Mazuana","non-dropping-particle":"","parse-names":false,"suffix":""},{"dropping-particle":"","family":"Supardi","given":"Azizan","non-dropping-particle":"","parse-names":false,"suffix":""},{"dropping-particle":"","family":"Ahmad","given":"Norizan","non-dropping-particle":"","parse-names":false,"suffix":""}],"container-title":"Procedia - Social and Behavioral Sciences","id":"ITEM-1","issue":"December 2011","issued":{"date-parts":[["2012"]]},"page":"772-781","title":"Conflict Prevention in Partnering Projects","type":"article-journal","volume":"35"},"uris":["http://www.mendeley.com/documents/?uuid=25bd6a31-4509-4be4-aea7-9cc27cff0b60"]}],"mendeley":{"formattedCitation":"(Adnan et al., 2012)","manualFormatting":"Adnan et al. 2012","plainTextFormattedCitation":"(Adnan et al., 2012)","previouslyFormattedCitation":"(Adnan &lt;i&gt;et al.&lt;/i&gt;, 2012)"},"properties":{"noteIndex":0},"schema":"https://github.com/citation-style-language/schema/raw/master/csl-citation.json"}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Adnan et al. 2012</w:t>
            </w:r>
            <w:r w:rsidRPr="009672FC">
              <w:rPr>
                <w:rFonts w:ascii="Garamond" w:hAnsi="Garamond" w:cs="Times New Roman"/>
                <w:noProof/>
                <w:lang w:val="en-US"/>
              </w:rPr>
              <w:fldChar w:fldCharType="end"/>
            </w:r>
            <w:r w:rsidRPr="009672FC">
              <w:rPr>
                <w:rFonts w:ascii="Garamond" w:hAnsi="Garamond" w:cs="Times New Roman"/>
                <w:noProof/>
                <w:lang w:val="en-US"/>
              </w:rPr>
              <w:t xml:space="preserve">;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{"citationItems":[{"id":"ITEM-1","itemData":{"DOI":"10.1016/j.sbspro.2014.03.026","ISSN":"18770428","abstract":"The situation between client and contractor in infrastructure projects seems to be quite similar in Germany and all over the world. Cost and time overruns seem to be normal occurrences in these projects. Both, client and contractor complain about the bad conditions. Getting out of this situation different partnering approaches have been developed all over the world in the last years. A “partnering guideline for public financed infrastructure projects” has been developed at the University of Kassel in collaboration with the Federal Ministry of Transport, construction associations, client organizations and various construction companies for the special conditions in Germany. During the last four years this guideline has been tested in pilot projects accompanied by the Chair of Project Management to evaluate its usability, find elements which may need improvement and to proof the advantages of this form of project handling. The results of this testing phase show a clear change towards more collaboration. Conflicts could be avoided or at least solved faster and cost savings for the client respectively bonuses for the contractors could be achieved by using value engineering.","author":[{"dropping-particle":"","family":"Spang","given":"Konrad","non-dropping-particle":"","parse-names":false,"suffix":""},{"dropping-particle":"","family":"Riemann","given":"Stefan","non-dropping-particle":"","parse-names":false,"suffix":""}],"container-title":"Procedia - Social and Behavioral Sciences","id":"ITEM-1","issue":"0","issued":{"date-parts":[["2014"]]},"page":"219-228","publisher":"Elsevier B.V.","title":"Partnering in Infrastructure Projects in Germany","type":"article-journal","volume":"119"},"uris":["http://www.mendeley.com/documents/?uuid=b8d4eda4-5f7b-4537-8788-a8c5a32098f2"]}],"mendeley":{"formattedCitation":"(Spang &amp; Riemann, 2014)","manualFormatting":"Spang and Riemann, 2014; Vaaland, 2004; Nordin, 2006","plainTextFormattedCitation":"(Spang &amp; Riemann, 2014)","previouslyFormattedCitation":"(Spang and Riemann, 2014)"},"properties":{"noteIndex":0},"schema":"https://github.com/citation-style-language/schema/raw/master/csl-citation.json"}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 xml:space="preserve">Spang and Riemann, 2014; </w:t>
            </w:r>
            <w:r w:rsidRPr="009672FC">
              <w:rPr>
                <w:rFonts w:ascii="Garamond" w:hAnsi="Garamond" w:cs="Times New Roman"/>
                <w:noProof/>
                <w:lang w:val="en-US"/>
              </w:rPr>
              <w:fldChar w:fldCharType="begin" w:fldLock="1"/>
            </w:r>
            <w:r w:rsidRPr="009672FC">
              <w:rPr>
                <w:rFonts w:ascii="Garamond" w:hAnsi="Garamond" w:cs="Times New Roman"/>
                <w:noProof/>
                <w:lang w:val="en-US"/>
              </w:rPr>
              <w:instrText>ADDIN CSL_CITATION {"citationItems":[{"id":"ITEM-1","itemData":{"DOI":"10.1016/j.ijproman.2003.11.003","ISSN":"02637863","abstract":"The paper aims at exploring how collaboration between clients and major contractors can be improved in situations where tension is challenging relationship continuation. Relationship conflict is reduced through the identification of conflictual events and analysis of differences in both parties' perceptions. By addressing these events it is possible to reveal the underlying dimensions of tension and reluctance for relationship commitment and trust. In order to improve the level of collaboration a process is tested on a Norwegian construction project. The managerial implications of the process is that tension between the contractor and the client can be reduced to a level where the relationship can survive, and even grow stronger than prior to undertaking the process. © 2003 Elsevier Ltd and IPMA. All rights reserved.","author":[{"dropping-particle":"","family":"Vaaland","given":"Terje I.","non-dropping-particle":"","parse-names":false,"suffix":""}],"container-title":"International Journal of Project Management","id":"ITEM-1","issue":"6","issued":{"date-parts":[["2004"]]},"page":"447-454","title":"Improving project collaboration: Start with the conflicts","type":"article-journal","volume":"22"},"uris":["http://www.mendeley.com/documents/?uuid=1e80feaa-440d-4269-9789-66d278481be1"]}],"mendeley":{"formattedCitation":"(Vaaland, 2004)","manualFormatting":"Vaaland, 2004; Nordin, 2006","plainTextFormattedCitation":"(Vaaland, 2004)","previouslyFormattedCitation":"(Vaaland, 2004)"},"properties":{"noteIndex":0},"schema":"https://github.com/citation-style-language/schema/raw/master/csl-citation.json"}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 xml:space="preserve">Vaaland, 2004; </w:t>
            </w:r>
            <w:r w:rsidRPr="009672FC">
              <w:rPr>
                <w:rFonts w:ascii="Garamond" w:hAnsi="Garamond" w:cs="Times New Roman"/>
                <w:noProof/>
                <w:lang w:val="en-US"/>
              </w:rPr>
              <w:fldChar w:fldCharType="begin" w:fldLock="1"/>
            </w:r>
            <w:r w:rsidRPr="009672FC">
              <w:rPr>
                <w:rFonts w:ascii="Garamond" w:hAnsi="Garamond" w:cs="Times New Roman"/>
                <w:noProof/>
                <w:lang w:val="en-US"/>
              </w:rPr>
              <w:instrText>ADDIN CSL_CITATION {"citationItems":[{"id":"ITEM-1","itemData":{"DOI":"10.1016/j.indmarman.2004.12.010","ISSN":"00198501","abstract":"The extant literature on alliances tends to neglect the effects of intraorganisational relationships within each alliance partner on the implementation of the alliance. To address this gap, this paper investigates both interorganisational and intraorganisational conflicts occurring during the implementation of a service alliance and aims at developing categories of conflicts as well as analysing how these conflict categories affect the implementation of the alliance. Thus, the overall purpose is to contribute to our understanding of implementation issues in alliances for the delivery of services. In order to do so, one case of a high-technology alliance has been studied longitudinally, with the researcher acting as a participant observer. Three interrelated categories of conflicts are developed through an analysis of the data: 1) the scope of the alliance, 2) the customer relationship, and 3) the implementation process. One important conclusion of this study is that the perspectives of several of the stakeholders, including the customers indirectly involved in the alliance, should be included when implementing service alliances. © 2005 Elsevier Inc. All rights reserved.","author":[{"dropping-particle":"","family":"Nordin","given":"Fredrik","non-dropping-particle":"","parse-names":false,"suffix":""}],"container-title":"Industrial Marketing Management","id":"ITEM-1","issue":"2","issued":{"date-parts":[["2006"]]},"page":"116-127","title":"Identifying intraorganisational and interorganisational alliance conflicts - A longitudinal study of an alliance pilot project in the high technology industry","type":"article-journal","volume":"35"},"uris":["http://www.mendeley.com/documents/?uuid=9dd80825-b255-4fc9-90f7-33d6b1c2e3f7"]}],"mendeley":{"formattedCitation":"(Nordin, 2006)","manualFormatting":"Nordin, 2006","plainTextFormattedCitation":"(Nordin, 2006)","previouslyFormattedCitation":"(Nordin, 2006)"},"properties":{"noteIndex":0},"schema":"https://github.com/citation-style-language/schema/raw/master/csl-citation.json"}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Nordin, 2006</w:t>
            </w:r>
            <w:r w:rsidRPr="009672FC">
              <w:rPr>
                <w:rFonts w:ascii="Garamond" w:hAnsi="Garamond" w:cs="Times New Roman"/>
                <w:noProof/>
                <w:lang w:val="en-US"/>
              </w:rPr>
              <w:fldChar w:fldCharType="end"/>
            </w:r>
            <w:r w:rsidRPr="009672FC">
              <w:rPr>
                <w:rFonts w:ascii="Garamond" w:hAnsi="Garamond" w:cs="Times New Roman"/>
                <w:noProof/>
                <w:lang w:val="en-US"/>
              </w:rPr>
              <w:fldChar w:fldCharType="end"/>
            </w:r>
            <w:r w:rsidRPr="009672FC">
              <w:rPr>
                <w:rFonts w:ascii="Garamond" w:hAnsi="Garamond" w:cs="Times New Roman"/>
                <w:noProof/>
                <w:lang w:val="en-US"/>
              </w:rPr>
              <w:fldChar w:fldCharType="end"/>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While relational governance has a positive relationship with the acquisition of knowledge-based resources, formal contract-based control, on the other hand, is associated with a lower level of harmful knowledge spillover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{"citationItems":[{"id":"ITEM-1","itemData":{"DOI":"10.1007/s10799-013-0165-x","ISSN":"1385951X","abstract":"This research explores how inter-organizational relationship interacts with factors affecting the develop- ment and implementation of information sharing. On the basis of the resource-based view and relational risk per- spective, we developed a model which comprises three research hypotheses with three constructs, including rela- tional benefits, relational risk, and information sharing. The constructs are measured by well-supported measures in the literature. Structural equation modeling was used to ana- lyze survey data collected from 528 manufacturing firms that were among the top 1,000 Taiwanese manufacturing firms of 2011 listed by Business Weekly. The results of the empirical study suggest that relational benefits are critical in ensuring information sharing and mitigate relational risk in the process. The findings of the study provide useful insights into how supply chain members can reinforce their relational benefits and mitigate probable risks so as to improve their collaborative behaviors and in turn enhance information sharing for the supply chain as a whole.","author":[{"dropping-particle":"","family":"Cheng","given":"Jao Hong","non-dropping-particle":"","parse-names":false,"suffix":""},{"dropping-particle":"","family":"Chen","given":"Shu Wei","non-dropping-particle":"","parse-names":false,"suffix":""},{"dropping-particle":"","family":"Chen","given":"Fang Yuan","non-dropping-particle":"","parse-names":false,"suffix":""}],"container-title":"Information Technology and Management","id":"ITEM-1","issue":"4","issued":{"date-parts":[["2013"]]},"page":"283-294","title":"Exploring how inter-organizational relational benefits affect information sharing in supply chains","type":"article-journal","volume":"14"},"uris":["http://www.mendeley.com/documents/?uuid=fb367dbc-d533-4535-815e-5c6a26a6bf91"]}],"mendeley":{"formattedCitation":"(Cheng et al., 2013)","manualFormatting":"Cheng, Chen and Chen, 2013;","plainTextFormattedCitation":"(Cheng et al., 2013)","previouslyFormattedCitation":"(Cheng, Chen and Chen, 2013)"},"properties":{"noteIndex":0},"schema":"https://github.com/citation-style-language/schema/raw/master/csl-citation.json"}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Cheng, Chen and Chen, 2013;</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{"citationItems":[{"id":"ITEM-1","itemData":{"DOI":"10.1108/00251741211266714","ISSN":"00251747","abstract":"Purpose: This study aims to investigate the role of governance on knowledge acquisition and loss by new technology-based firms engaged in inter-firm collaborative new product development projects. Design/methodology/approach: This work draws on the relational exchange perspective, transaction cost theory and the resource-based view in order to develop hypotheses. Survey data collected from British new technology-based firms, operating in three industry sectors, was used to examine these hypotheses. Findings: Relational governance was found to have a positive relationship with the acquisition of knowledge-based resources. Increased comprehensiveness in the formal contractual governance structure was found to be associated with lower levels of harmful knowledge loss. Research limitations/implications: This study was conducted in one country. Future research should be done in different countries to determine the generalizability of the findings. Practical implications: Managers engaging in collaborative new product development projects need to develop both relational as well as formal contractual governance mechanisms, so that positive collaboration outcomes can be maximized, while negative outcomes are minimized. Originality/value: A review of the literature indicates that the study of the governance of short-term, focused inter-firm relationships has been neglected. Additionally, while there has been extensive examination of knowledge acquisition there has been much less exploration of knowledge loss within these inter-firm relationships. This study contributes to the literature by responding to this need. © Emerald Group Publishing Limited.","author":[{"dropping-particle":"","family":"Parker","given":"Hamieda","non-dropping-particle":"","parse-names":false,"suffix":""}],"container-title":"Management Decision","id":"ITEM-1","issue":"9","issued":{"date-parts":[["2012"]]},"page":"1618-1633","title":"Knowledge acquisition and leakage in inter-firm relationships involving new technology-based firms","type":"article-journal","volume":"50"},"uris":["http://www.mendeley.com/documents/?uuid=0c048f37-15d1-4a4e-a2f9-0b72d445e807"]}],"mendeley":{"formattedCitation":"(H. Parker, 2012)","manualFormatting":"Parker, 2012;","plainTextFormattedCitation":"(H. Parker, 2012)","previouslyFormattedCitation":"(Parker, 2012)"},"properties":{"noteIndex":0},"schema":"https://github.com/citation-style-language/schema/raw/master/csl-citation.json"}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Parker, 2012;</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{"citationItems":[{"id":"ITEM-1","itemData":{"DOI":"10.1016/j.ijproman.2017.09.009","ISSN":"02637863","abstract":"The importance of control in the success of a project was clearly established in project literature. However, the impact mechanisms of intra-organizational and inter-organizational control on the performance of new product development (NPD) performance did not receive considerable attention in the increasingly important context of open innovation. To fill this gap, this study explores intra-organizational and inter-organizational control and their interaction effect on NPD performance in open innovation. The results show that intra-organizational formal control and inter-organizational trust positively influence NPD performance, whereas intra-organizational professional control and inter-organizational contract control have no significant effect. The interaction effect between inter-organizational and inter-organizational control positively influence NPD performance. These findings provide new insights into effective control practices for improving NPD project performance in open innovation.","author":[{"dropping-particle":"","family":"Lu","given":"Ping","non-dropping-particle":"","parse-names":false,"suffix":""},{"dropping-particle":"","family":"Yuan","given":"Shimei","non-dropping-particle":"","parse-names":false,"suffix":""},{"dropping-particle":"","family":"Wu","given":"Jianlin","non-dropping-particle":"","parse-names":false,"suffix":""}],"container-title":"International Journal of Project Management","id":"ITEM-1","issue":"8","issued":{"date-parts":[["2017"]]},"page":"1627-1638","publisher":"Elsevier Ltd, APM and IPMA","title":"The interaction effect between intra-organizational and inter-organizational control on the project performance of new product development in open innovation","type":"article-journal","volume":"35"},"uris":["http://www.mendeley.com/documents/?uuid=fd5a6f9a-a027-4aa5-9942-93f871b24a3f"]}],"mendeley":{"formattedCitation":"(Lu et al., 2017)","manualFormatting":"Lu, Yuan and Wu, 2017)","plainTextFormattedCitation":"(Lu et al., 2017)","previouslyFormattedCitation":"(Lu, Yuan and Wu,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Lu, Yuan and Wu, 2017)</w:t>
            </w:r>
            <w:r w:rsidRPr="009672FC">
              <w:rPr>
                <w:rFonts w:ascii="Garamond" w:hAnsi="Garamond" w:cs="Times New Roman"/>
                <w:lang w:val="en-US"/>
              </w:rPr>
              <w:fldChar w:fldCharType="end"/>
            </w:r>
            <w:r w:rsidRPr="009672FC">
              <w:rPr>
                <w:rFonts w:ascii="Garamond" w:hAnsi="Garamond" w:cs="Times New Roman"/>
                <w:lang w:val="en-US"/>
              </w:rPr>
              <w:t>.</w:t>
            </w:r>
          </w:p>
        </w:tc>
      </w:tr>
      <w:tr w:rsidR="005C5F35" w:rsidRPr="009672FC" w14:paraId="713BE491" w14:textId="77777777" w:rsidTr="005C5F35">
        <w:trPr>
          <w:trHeight w:val="1430"/>
          <w:jc w:val="center"/>
        </w:trPr>
        <w:tc>
          <w:tcPr>
            <w:tcW w:w="2790" w:type="dxa"/>
            <w:shd w:val="clear" w:color="auto" w:fill="FFFFFF" w:themeFill="background1"/>
          </w:tcPr>
          <w:p w14:paraId="6DD30013"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 xml:space="preserve">IT and communication </w:t>
            </w:r>
          </w:p>
          <w:p w14:paraId="52B6D74E"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practices</w:t>
            </w:r>
          </w:p>
        </w:tc>
        <w:tc>
          <w:tcPr>
            <w:tcW w:w="7110" w:type="dxa"/>
            <w:shd w:val="clear" w:color="auto" w:fill="FFFFFF" w:themeFill="background1"/>
          </w:tcPr>
          <w:p w14:paraId="4B6EB5A9" w14:textId="0BC3AE8C" w:rsidR="005C5F35" w:rsidRPr="009672FC" w:rsidRDefault="005C5F35" w:rsidP="005C5F35">
            <w:pPr>
              <w:pStyle w:val="NoSpacing"/>
              <w:spacing w:line="360" w:lineRule="auto"/>
              <w:jc w:val="both"/>
              <w:rPr>
                <w:rFonts w:ascii="Garamond" w:hAnsi="Garamond" w:cs="Times New Roman"/>
              </w:rPr>
            </w:pPr>
            <w:r w:rsidRPr="009672FC">
              <w:rPr>
                <w:rFonts w:ascii="Garamond" w:hAnsi="Garamond" w:cs="Times New Roman"/>
                <w:lang w:val="en-US"/>
              </w:rPr>
              <w:t>Communication plays an important role in inter</w:t>
            </w:r>
            <w:r w:rsidR="00813D37" w:rsidRPr="009672FC">
              <w:rPr>
                <w:rFonts w:ascii="Garamond" w:hAnsi="Garamond" w:cs="Times New Roman"/>
                <w:lang w:val="en-US"/>
              </w:rPr>
              <w:t>-</w:t>
            </w:r>
            <w:r w:rsidRPr="009672FC">
              <w:rPr>
                <w:rFonts w:ascii="Garamond" w:hAnsi="Garamond" w:cs="Times New Roman"/>
                <w:lang w:val="en-US"/>
              </w:rPr>
              <w:t xml:space="preserve">organizational networks, allowing the exchange of knowledge between and among actors. </w:t>
            </w:r>
            <w:r w:rsidRPr="009672FC">
              <w:rPr>
                <w:rFonts w:ascii="Garamond" w:hAnsi="Garamond" w:cs="Times New Roman"/>
              </w:rPr>
              <w:t>Information technology is a conduit for virtual knowledge-based exchange which provides as a source of information, enabling the interaction between actors (</w:t>
            </w:r>
            <w:r w:rsidRPr="009672FC">
              <w:rPr>
                <w:rFonts w:ascii="Garamond" w:hAnsi="Garamond" w:cs="Times New Roman"/>
              </w:rPr>
              <w:fldChar w:fldCharType="begin" w:fldLock="1"/>
            </w:r>
            <w:r w:rsidR="00813D37" w:rsidRPr="009672FC">
              <w:rPr>
                <w:rFonts w:ascii="Garamond" w:hAnsi="Garamond" w:cs="Times New Roman"/>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et al., 2018)","manualFormatting":"Shamsuzzoha, Al-Kindi and Al-Hinai, 2018;","plainTextFormattedCitation":"(Shamsuzzoha et al., 2018)","previouslyFormattedCitation":"(Shamsuzzoha, Al-Kindi and Al-Hinai, 2018)"},"properties":{"noteIndex":0},"schema":"https://github.com/citation-style-language/schema/raw/master/csl-citation.json"}</w:instrText>
            </w:r>
            <w:r w:rsidRPr="009672FC">
              <w:rPr>
                <w:rFonts w:ascii="Garamond" w:hAnsi="Garamond" w:cs="Times New Roman"/>
              </w:rPr>
              <w:fldChar w:fldCharType="separate"/>
            </w:r>
            <w:r w:rsidRPr="009672FC">
              <w:rPr>
                <w:rFonts w:ascii="Garamond" w:hAnsi="Garamond" w:cs="Times New Roman"/>
                <w:noProof/>
              </w:rPr>
              <w:t>Shamsuzzoha, Al-Kindi and Al-Hinai, 2018;</w:t>
            </w:r>
            <w:r w:rsidRPr="009672FC">
              <w:rPr>
                <w:rFonts w:ascii="Garamond" w:hAnsi="Garamond" w:cs="Times New Roman"/>
              </w:rPr>
              <w:fldChar w:fldCharType="end"/>
            </w:r>
            <w:r w:rsidRPr="009672FC">
              <w:rPr>
                <w:rFonts w:ascii="Garamond" w:hAnsi="Garamond" w:cs="Times New Roman"/>
              </w:rPr>
              <w:t xml:space="preserve"> </w:t>
            </w:r>
            <w:r w:rsidRPr="009672FC">
              <w:rPr>
                <w:rFonts w:ascii="Garamond" w:hAnsi="Garamond" w:cs="Times New Roman"/>
              </w:rPr>
              <w:fldChar w:fldCharType="begin" w:fldLock="1"/>
            </w:r>
            <w:r w:rsidR="00813D37" w:rsidRPr="009672FC">
              <w:rPr>
                <w:rFonts w:ascii="Garamond" w:hAnsi="Garamond" w:cs="Times New Roman"/>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et al., 2010)","manualFormatting":"Vaccaro, Parente and Veloso, 2010)","plainTextFormattedCitation":"(Vaccaro et al., 2010)","previouslyFormattedCitation":"(Vaccaro, Parente and Veloso, 2010)"},"properties":{"noteIndex":0},"schema":"https://github.com/citation-style-language/schema/raw/master/csl-citation.json"}</w:instrText>
            </w:r>
            <w:r w:rsidRPr="009672FC">
              <w:rPr>
                <w:rFonts w:ascii="Garamond" w:hAnsi="Garamond" w:cs="Times New Roman"/>
              </w:rPr>
              <w:fldChar w:fldCharType="separate"/>
            </w:r>
            <w:r w:rsidRPr="009672FC">
              <w:rPr>
                <w:rFonts w:ascii="Garamond" w:hAnsi="Garamond" w:cs="Times New Roman"/>
                <w:noProof/>
              </w:rPr>
              <w:t>Vaccaro, Parente and Veloso, 2010)</w:t>
            </w:r>
            <w:r w:rsidRPr="009672FC">
              <w:rPr>
                <w:rFonts w:ascii="Garamond" w:hAnsi="Garamond" w:cs="Times New Roman"/>
              </w:rPr>
              <w:fldChar w:fldCharType="end"/>
            </w:r>
            <w:r w:rsidRPr="009672FC">
              <w:rPr>
                <w:rFonts w:ascii="Garamond" w:hAnsi="Garamond" w:cs="Times New Roman"/>
              </w:rPr>
              <w:t xml:space="preserve"> </w:t>
            </w:r>
            <w:r w:rsidRPr="009672FC">
              <w:rPr>
                <w:rFonts w:ascii="Garamond" w:hAnsi="Garamond" w:cs="Times New Roman"/>
                <w:lang w:val="en-US"/>
              </w:rPr>
              <w:t>a monitoring and controlling tool (</w:t>
            </w:r>
            <w:r w:rsidRPr="009672FC">
              <w:rPr>
                <w:rFonts w:ascii="Garamond" w:hAnsi="Garamond" w:cs="Times New Roman"/>
                <w:lang w:val="en-US"/>
              </w:rPr>
              <w:fldChar w:fldCharType="begin" w:fldLock="1"/>
            </w:r>
            <w:r w:rsidRPr="009672FC">
              <w:rPr>
                <w:rFonts w:ascii="Garamond" w:hAnsi="Garamond" w:cs="Times New Roman"/>
                <w:lang w:val="en-US"/>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2016)","manualFormatting":"Nuroğlu, 2016; Comuzzi, Vonk and Grefen, 2012)","plainTextFormattedCitation":"(Nuroğlu, 2016)","previouslyFormattedCitation":"(Nuroğlu, 2016)"},"properties":{"noteIndex":0},"schema":"https://github.com/citation-style-language/schema/raw/master/csl-citation.json"}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 xml:space="preserve">Nuroğlu, 2016; </w:t>
            </w:r>
            <w:r w:rsidRPr="009672FC">
              <w:rPr>
                <w:rFonts w:ascii="Garamond" w:hAnsi="Garamond" w:cs="Times New Roman"/>
                <w:noProof/>
                <w:lang w:val="en-US"/>
              </w:rPr>
              <w:fldChar w:fldCharType="begin" w:fldLock="1"/>
            </w:r>
            <w:r w:rsidR="00813D37" w:rsidRPr="009672FC">
              <w:rPr>
                <w:rFonts w:ascii="Garamond" w:hAnsi="Garamond" w:cs="Times New Roman"/>
                <w:noProof/>
                <w:lang w:val="en-US"/>
              </w:rPr>
              <w:instrText>ADDIN CSL_CITATION {"citationItems":[{"id":"ITEM-1","itemData":{"DOI":"10.1016/j.datak.2011.07.004","ISSN":"0169023X","abstract":"The literature on monitoring of cross-organizational processes, executed within business networks, considers monitoring only in the network formation phase, since network establishment determines what can be monitored during process execution. In particular, the impact of evolution in such networks on monitoring is not considered. When a business network evolves, e.g. contracts are introduced, updated, or dropped, or actors join or leave the network, the monitoring requirements of the network actors change as well. As a result, the monitorability of processes in the network may be disrupted. This paper proposes a framework to solve the problem of preserving the monitorability of processes in an evolving business network. We first propose a formal model of business networks, contracts, and monitoring requirements. Then, we model network evolution and the mechanisms to preserve the monitorability of the processes in the network for different types of evolution. In particular, the preservation of monitorability requires the actors in the network to take appropriate actions in case of dependencies between already established contracts, and update their monitoring infrastructure to satisfy the new monitoring requirements introduced by evolution. We also define a set of metrics that can be used for supporting decisions regarding the potential evolution of a business network. A case study in healthcare and the discussion of a prototype implementation show the applicability of our framework in real-world scenarios. © 2011 Elsevier B.V.","author":[{"dropping-particle":"","family":"Comuzzi","given":"Marco","non-dropping-particle":"","parse-names":false,"suffix":""},{"dropping-particle":"","family":"Vonk","given":"Jochem","non-dropping-particle":"","parse-names":false,"suffix":""},{"dropping-particle":"","family":"Grefen","given":"Paul","non-dropping-particle":"","parse-names":false,"suffix":""}],"container-title":"Data and Knowledge Engineering","id":"ITEM-1","issue":"1","issued":{"date-parts":[["2012"]]},"page":"1-28","publisher":"Elsevier B.V.","title":"Measures and mechanisms for process monitoring in evolving business networks","type":"article-journal","volume":"71"},"uris":["http://www.mendeley.com/documents/?uuid=ba44821f-b29e-4281-8854-ae2c30867d33"]}],"mendeley":{"formattedCitation":"(Comuzzi et al., 2012)","manualFormatting":"Comuzzi, Vonk and Grefen, 2012","plainTextFormattedCitation":"(Comuzzi et al., 2012)","previouslyFormattedCitation":"(Comuzzi, Vonk and Grefen, 2012)"},"properties":{"noteIndex":0},"schema":"https://github.com/citation-style-language/schema/raw/master/csl-citation.json"}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Comuzzi, Vonk and Grefen, 2012</w:t>
            </w:r>
            <w:r w:rsidRPr="009672FC">
              <w:rPr>
                <w:rFonts w:ascii="Garamond" w:hAnsi="Garamond" w:cs="Times New Roman"/>
                <w:noProof/>
                <w:lang w:val="en-US"/>
              </w:rPr>
              <w:fldChar w:fldCharType="end"/>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xml:space="preserve"> and a knowledge management tool for knowledge process management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et al., 2010)","manualFormatting":"Vaccaro, Parente and Veloso, 2010)","plainTextFormattedCitation":"(Vaccaro et al., 2010)","previouslyFormattedCitation":"(Vaccaro, Parente and Veloso, 2010)"},"properties":{"noteIndex":0},"schema":"https://github.com/citation-style-language/schema/raw/master/csl-citation.json"}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Vaccaro, Parente and Veloso, 2010)</w:t>
            </w:r>
            <w:r w:rsidRPr="009672FC">
              <w:rPr>
                <w:rFonts w:ascii="Garamond" w:hAnsi="Garamond" w:cs="Times New Roman"/>
                <w:lang w:val="en-US"/>
              </w:rPr>
              <w:fldChar w:fldCharType="end"/>
            </w:r>
            <w:r w:rsidRPr="009672FC">
              <w:rPr>
                <w:rFonts w:ascii="Garamond" w:hAnsi="Garamond" w:cs="Times New Roman"/>
                <w:lang w:val="en-US"/>
              </w:rPr>
              <w:t xml:space="preserve">. </w:t>
            </w:r>
          </w:p>
        </w:tc>
      </w:tr>
      <w:tr w:rsidR="005C5F35" w:rsidRPr="009672FC" w14:paraId="607A387C" w14:textId="77777777" w:rsidTr="005C5F35">
        <w:trPr>
          <w:trHeight w:val="710"/>
          <w:jc w:val="center"/>
        </w:trPr>
        <w:tc>
          <w:tcPr>
            <w:tcW w:w="2790" w:type="dxa"/>
            <w:shd w:val="clear" w:color="auto" w:fill="FFFFFF" w:themeFill="background1"/>
          </w:tcPr>
          <w:p w14:paraId="21BC7627"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lastRenderedPageBreak/>
              <w:t>Network management capability</w:t>
            </w:r>
          </w:p>
        </w:tc>
        <w:tc>
          <w:tcPr>
            <w:tcW w:w="7110" w:type="dxa"/>
            <w:shd w:val="clear" w:color="auto" w:fill="FFFFFF" w:themeFill="background1"/>
          </w:tcPr>
          <w:p w14:paraId="560D8A29" w14:textId="01260AE3" w:rsidR="005C5F35" w:rsidRPr="009672FC" w:rsidRDefault="005C5F35" w:rsidP="005C5F35">
            <w:pPr>
              <w:spacing w:line="360" w:lineRule="auto"/>
              <w:jc w:val="both"/>
              <w:rPr>
                <w:rFonts w:ascii="Garamond" w:hAnsi="Garamond"/>
              </w:rPr>
            </w:pPr>
            <w:r w:rsidRPr="009672FC">
              <w:rPr>
                <w:rFonts w:ascii="Garamond" w:hAnsi="Garamond"/>
              </w:rPr>
              <w:t>Scholars find that the management of the network promotes resource mobilization and builds actors’ ability to adapt to collective practices such as goal setting (</w:t>
            </w:r>
            <w:r w:rsidRPr="009672FC">
              <w:rPr>
                <w:rFonts w:ascii="Garamond" w:hAnsi="Garamond"/>
              </w:rPr>
              <w:fldChar w:fldCharType="begin" w:fldLock="1"/>
            </w:r>
            <w:r w:rsidR="00813D37" w:rsidRPr="009672FC">
              <w:rPr>
                <w:rFonts w:ascii="Garamond" w:hAnsi="Garamond"/>
              </w:rPr>
              <w:instrText>ADDIN CSL_CITATION {"citationItems":[{"id":"ITEM-1","itemData":{"DOI":"10.1016/j.indmarman.2017.06.011","ISSN":"00198501","abstract":"This study focuses on collective goal formation in business networks aimed toward new value creation and innovation. Previous research has depicted such networks as value-creating systems or meta-organizations pursuing a system-level goal. We develop these views by addressing a research question: How can multiple organizations collectively form a system-level goal, and how does this affect new value creation at the level of the whole network? We conducted a multi-case study of two Finnish health care networks in which multiple diverse organizations participated in the formation of a system-level goal for the network and developed innovative joint treatment practices for the better care of patients. We derived six propositions and developed a conceptual model explaining how the collective formation of a system-level goal is linked to network-level value creation by increasing network actors’ resource commitment. Furthermore, we introduced important moderating factors, network architects and domain similarity, which affect collective goal formation. We claim that the conceptual model strengthens pre-existing theories on managing business networks through a system-level goal, collective action, framing, agenda construction, and institutional mobilization. We contribute especially to previous research on networks aiming for new value creation.","author":[{"dropping-particle":"","family":"Matinheikki","given":"Juri","non-dropping-particle":"","parse-names":false,"suffix":""},{"dropping-particle":"","family":"Pesonen","given":"Teemu","non-dropping-particle":"","parse-names":false,"suffix":""},{"dropping-particle":"","family":"Artto","given":"Karlos","non-dropping-particle":"","parse-names":false,"suffix":""},{"dropping-particle":"","family":"Peltokorpi","given":"Antti","non-dropping-particle":"","parse-names":false,"suffix":""}],"container-title":"Industrial Marketing Management","id":"ITEM-1","issue":"April 2016","issued":{"date-parts":[["2017"]]},"page":"122-133","publisher":"Elsevier","title":"New value creation in business networks: The role of collective action in constructing system-level goals","type":"article-journal","volume":"67"},"uris":["http://www.mendeley.com/documents/?uuid=aba20923-c1ab-4a88-b8c2-b77b7a922875"]}],"mendeley":{"formattedCitation":"(Matinheikki et al., 2017)","manualFormatting":"Matinheikki et al., 2017; McGrath, Medlin and O’Toole, 2019; Töytäri et al., 2018)","plainTextFormattedCitation":"(Matinheikki et al., 2017)","previouslyFormattedCitation":"(Matinheikki &lt;i&gt;et al.&lt;/i&gt;,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 xml:space="preserve">Matinheikki et al., 2017; </w:t>
            </w:r>
            <w:r w:rsidRPr="009672FC">
              <w:rPr>
                <w:rFonts w:ascii="Garamond" w:hAnsi="Garamond"/>
                <w:noProof/>
              </w:rPr>
              <w:fldChar w:fldCharType="begin" w:fldLock="1"/>
            </w:r>
            <w:r w:rsidR="00813D37" w:rsidRPr="009672FC">
              <w:rPr>
                <w:rFonts w:ascii="Garamond" w:hAnsi="Garamond"/>
                <w:noProof/>
              </w:rPr>
              <w:instrText>ADDIN CSL_CITATION {"citationItems":[{"id":"ITEM-1","itemData":{"DOI":"10.1016/j.indmarman.2017.11.011","ISSN":"00198501","abstract":"Start-up firms are notoriously resource and time poor. One way of addressing these deficits is to develop strategic capability to access, activate and co-shape resources with other firms in the start-up's network. The capability literature assumes such a development is inevitable, provided a start-up survives. But developing network capability depends on the managers of other firms, the deepening managerial understanding of business relationships, and the ability of the start-up managers to adjust to and understand interdependence in networks. We present a processual model of how managerial understanding of network capability develops, comprising of three parts each building on the earlier: (i) in relationships, (ii) through relationships and (iii) in the network. The model was inductively developed from a longitudinal study of a start-up firm. Also, two sensemaking processes were found to predominate – problem solving and social-cognitive processes. Our model highlights the role of the start-up manager in sensemaking with managers across a number of firms to resolve commercial problems. Thus, the independence many start-up managers seek must turn towards interdependence. Second, managers' temporal horizons and the specific temporal profile of events and activities inside the involved business relationships are important in understanding and developing, with other firms, network capability.","author":[{"dropping-particle":"","family":"McGrath","given":"H.","non-dropping-particle":"","parse-names":false,"suffix":""},{"dropping-particle":"","family":"Medlin","given":"Christopher J.","non-dropping-particle":"","parse-names":false,"suffix":""},{"dropping-particle":"","family":"O'Toole","given":"Thomas","non-dropping-particle":"","parse-names":false,"suffix":""}],"container-title":"Industrial Marketing Management","id":"ITEM-1","issue":"December 2015","issued":{"date-parts":[["2019"]]},"page":"214-227","publisher":"Elsevier","title":"A process-based model of network capability development by a start-up firm","type":"article-journal","volume":"80"},"uris":["http://www.mendeley.com/documents/?uuid=71bdbd4e-e0f9-4adf-bb02-7eeaa7902fe6"]}],"mendeley":{"formattedCitation":"(McGrath et al., 2019)","manualFormatting":"McGrath, Medlin and O’Toole, 2019","plainTextFormattedCitation":"(McGrath et al., 2019)","previouslyFormattedCitation":"(McGrath, Medlin and O’Toole, 2019)"},"properties":{"noteIndex":0},"schema":"https://github.com/citation-style-language/schema/raw/master/csl-citation.json"}</w:instrText>
            </w:r>
            <w:r w:rsidRPr="009672FC">
              <w:rPr>
                <w:rFonts w:ascii="Garamond" w:hAnsi="Garamond"/>
                <w:noProof/>
              </w:rPr>
              <w:fldChar w:fldCharType="separate"/>
            </w:r>
            <w:r w:rsidRPr="009672FC">
              <w:rPr>
                <w:rFonts w:ascii="Garamond" w:hAnsi="Garamond"/>
                <w:noProof/>
              </w:rPr>
              <w:t>McGrath, Medlin and O’Toole, 2019</w:t>
            </w:r>
            <w:r w:rsidRPr="009672FC">
              <w:rPr>
                <w:rFonts w:ascii="Garamond" w:hAnsi="Garamond"/>
                <w:noProof/>
              </w:rPr>
              <w:fldChar w:fldCharType="end"/>
            </w:r>
            <w:r w:rsidRPr="009672FC">
              <w:rPr>
                <w:rFonts w:ascii="Garamond" w:hAnsi="Garamond"/>
                <w:noProof/>
              </w:rPr>
              <w:t>; Töytäri et al., 2018)</w:t>
            </w:r>
            <w:r w:rsidRPr="009672FC">
              <w:rPr>
                <w:rFonts w:ascii="Garamond" w:hAnsi="Garamond"/>
              </w:rPr>
              <w:fldChar w:fldCharType="end"/>
            </w:r>
            <w:r w:rsidRPr="009672FC">
              <w:rPr>
                <w:rFonts w:ascii="Garamond" w:hAnsi="Garamond"/>
              </w:rPr>
              <w:t xml:space="preserve"> and collective sensemaking and value co-creation (Corsaro, 2019; </w:t>
            </w:r>
            <w:r w:rsidRPr="009672FC">
              <w:rPr>
                <w:rFonts w:ascii="Garamond" w:hAnsi="Garamond"/>
              </w:rPr>
              <w:fldChar w:fldCharType="begin" w:fldLock="1"/>
            </w:r>
            <w:r w:rsidR="00813D37" w:rsidRPr="009672FC">
              <w:rPr>
                <w:rFonts w:ascii="Garamond" w:hAnsi="Garamond"/>
              </w:rPr>
              <w:instrText>ADDIN CSL_CITATION {"citationItems":[{"id":"ITEM-1","itemData":{"DOI":"10.1016/j.jbusres.2019.02.035","ISSN":"01482963","abstract":"Based on the combination of an interorganizational perspective and a processual view of solutions, this paper analyzes the provisioning of solutions in business networks. Drawing on a case study in a transportation industry setting, the interdependencies between solutions are uncovered. The case illustrates how 1) firms are simultaneously involved in the provisioning of multiple solutions, 2) firms take on multiple roles in the provisioning of solutions in the business network, and 3) solutions are subject to interdependencies via connected relationships and thus form “networks of solutions.” The paper concludes that interdependence among solutions is a significant characteristic, adding to previous research on solutions. Consequently, it is suggested that firms' interaction with various parties in the provisioning of solutions needs considerable managerial and theoretical attention.","author":[{"dropping-particle":"","family":"Hedvall","given":"Klas","non-dropping-particle":"","parse-names":false,"suffix":""},{"dropping-particle":"","family":"Jagstedt","given":"Siri","non-dropping-particle":"","parse-names":false,"suffix":""},{"dropping-particle":"","family":"Dubois","given":"Anna","non-dropping-particle":"","parse-names":false,"suffix":""}],"container-title":"Journal of Business Research","id":"ITEM-1","issue":"March","issued":{"date-parts":[["2019"]]},"page":"411-421","publisher":"Elsevier","title":"Solutions in business networks: Implications of an interorganizational perspective","type":"article-journal","volume":"104"},"uris":["http://www.mendeley.com/documents/?uuid=302e00ef-9670-4039-a234-c5cfc3ed309e"]}],"mendeley":{"formattedCitation":"(Hedvall et al., 2019)","manualFormatting":"Hedvall, Jagstedt and Dubois, 2019)","plainTextFormattedCitation":"(Hedvall et al., 2019)","previouslyFormattedCitation":"(Hedvall, Jagstedt and Dubois,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Hedvall, Jagstedt and Dubois, 2019)</w:t>
            </w:r>
            <w:r w:rsidRPr="009672FC">
              <w:rPr>
                <w:rFonts w:ascii="Garamond" w:hAnsi="Garamond"/>
              </w:rPr>
              <w:fldChar w:fldCharType="end"/>
            </w:r>
            <w:r w:rsidRPr="009672FC">
              <w:rPr>
                <w:rFonts w:ascii="Garamond" w:hAnsi="Garamond"/>
              </w:rPr>
              <w:t>. Total quality management ensures systematize</w:t>
            </w:r>
            <w:r w:rsidR="00813D37" w:rsidRPr="009672FC">
              <w:rPr>
                <w:rFonts w:ascii="Garamond" w:hAnsi="Garamond"/>
              </w:rPr>
              <w:t>d</w:t>
            </w:r>
            <w:r w:rsidRPr="009672FC">
              <w:rPr>
                <w:rFonts w:ascii="Garamond" w:hAnsi="Garamond"/>
              </w:rPr>
              <w:t xml:space="preserve"> and uniform innovation performance network projects </w:t>
            </w:r>
            <w:r w:rsidRPr="009672FC">
              <w:rPr>
                <w:rFonts w:ascii="Garamond" w:hAnsi="Garamond"/>
              </w:rPr>
              <w:fldChar w:fldCharType="begin" w:fldLock="1"/>
            </w:r>
            <w:r w:rsidR="00813D37" w:rsidRPr="009672FC">
              <w:rPr>
                <w:rFonts w:ascii="Garamond" w:hAnsi="Garamond"/>
              </w:rPr>
              <w:instrText>ADDIN CSL_CITATION {"citationItems":[{"id":"ITEM-1","itemData":{"DOI":"10.1016/j.ijproman.2019.05.005","ISSN":"02637863","abstract":"While research on the relationship between quality management practices and inter-organizational project performance has found inconsistent results, few studies have considered the contextual factors of quality management practices. Inter-organizational projects involve external participants in quality management and thus, this study tested the moderating role of governance mechanisms (contract governance and trust) on the relationship between quality management practices and inter-organizational project performance. Results of 265 valid questionnaires from China indicated that quality management practices contribute to inter-organizational project performance. Contract governance magnifies the positive effect of quality management practices on inter-organizational project performance while the moderating effect of trust is insignificant. The moderating effect of contract governance indicates a means for strengthening the effect of quality management practices in inter-organizational projects. Further research on more contextual factors of quality management practices should be conducted.","author":[{"dropping-particle":"","family":"Lu","given":"Ping","non-dropping-particle":"","parse-names":false,"suffix":""},{"dropping-particle":"","family":"Cai","given":"Xiangyang","non-dropping-particle":"","parse-names":false,"suffix":""},{"dropping-particle":"","family":"Wei","given":"Zhuping","non-dropping-particle":"","parse-names":false,"suffix":""},{"dropping-particle":"","family":"Song","given":"Yinqiu","non-dropping-particle":"","parse-names":false,"suffix":""},{"dropping-particle":"","family":"Wu","given":"Jianlin","non-dropping-particle":"","parse-names":false,"suffix":""}],"container-title":"International Journal of Project Management","id":"ITEM-1","issue":"6","issued":{"date-parts":[["2019"]]},"page":"855-869","publisher":"Elsevier Ltd and Association for Project Management and the International Project Management Association","title":"Quality management practices and inter-organizational project performance: Moderating effect of governance mechanisms","type":"article-journal","volume":"37"},"uris":["http://www.mendeley.com/documents/?uuid=05534784-aaca-4b17-9c56-056be3422304"]}],"mendeley":{"formattedCitation":"(Lu et al., 2019)","plainTextFormattedCitation":"(Lu et al., 2019)","previouslyFormattedCitation":"(Lu &lt;i&gt;et al.&lt;/i&gt;,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(Lu et al., 2019)</w:t>
            </w:r>
            <w:r w:rsidRPr="009672FC">
              <w:rPr>
                <w:rFonts w:ascii="Garamond" w:hAnsi="Garamond"/>
              </w:rPr>
              <w:fldChar w:fldCharType="end"/>
            </w:r>
            <w:r w:rsidRPr="009672FC">
              <w:rPr>
                <w:rFonts w:ascii="Garamond" w:hAnsi="Garamond"/>
              </w:rPr>
              <w:t>. Thus, managing collective actions also helps address the challenges of network connectedness (e.g., centrality, diversity, innovativeness) in projects (</w:t>
            </w:r>
            <w:r w:rsidRPr="009672FC">
              <w:rPr>
                <w:rFonts w:ascii="Garamond" w:hAnsi="Garamond"/>
              </w:rPr>
              <w:fldChar w:fldCharType="begin" w:fldLock="1"/>
            </w:r>
            <w:r w:rsidR="00813D37" w:rsidRPr="009672FC">
              <w:rPr>
                <w:rFonts w:ascii="Garamond" w:hAnsi="Garamond"/>
              </w:rPr>
              <w:instrText>ADDIN CSL_CITATION {"citationItems":[{"id":"ITEM-1","itemData":{"DOI":"10.1016/j.jcorpfin.2017.03.009","ISSN":"09291199","abstract":"This study examines how various dimensions of a firm's network affect innovation and pricing of innovation by market participants. We use board interlocks to build interfirm network and construct different network measures to capture firm centrality in the interfirm network, cohesion within firm network, and diversity, innovativeness, and propinquity of firm network. Our results show that these different characteristics of network connectedness affect firm innovation input and output, particularly for firms in relatively intangible industries. These results are robust to the use of an instrumental variables approach as well as a natural experiment of state-level changes in R&amp;D tax credits. We also find that innovation has a positive (negative) marginal effect on corporate bond yield spreads when firms have lower (higher) connectedness, suggesting that the market perceives innovative activities by more connected firms as less uncertain. Yield spread changes around patent filings further support this finding.","author":[{"dropping-particle":"","family":"Chuluun","given":"Tuugi","non-dropping-particle":"","parse-names":false,"suffix":""},{"dropping-particle":"","family":"Prevost","given":"Andrew","non-dropping-particle":"","parse-names":false,"suffix":""},{"dropping-particle":"","family":"Upadhyay","given":"Arun","non-dropping-particle":"","parse-names":false,"suffix":""}],"container-title":"Journal of Corporate Finance","id":"ITEM-1","issued":{"date-parts":[["2017"]]},"page":"193-214","publisher":"Elsevier B.V.","title":"Firm network structure and innovation","type":"article-journal","volume":"44"},"uris":["http://www.mendeley.com/documents/?uuid=02164458-fd74-4a2c-9f72-24e0368f88cd"]}],"mendeley":{"formattedCitation":"(Chuluun et al., 2017)","manualFormatting":"Chuluun, Prevost and Upadhyay, 2017)","plainTextFormattedCitation":"(Chuluun et al., 2017)","previouslyFormattedCitation":"(Chuluun, Prevost and Upadhyay, 2017)"},"properties":{"noteIndex":0},"schema":"https://github.com/citation-style-language/schema/raw/master/csl-citation.json"}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Chuluun, Prevost and Upadhyay, 2017)</w:t>
            </w:r>
            <w:r w:rsidRPr="009672FC">
              <w:rPr>
                <w:rFonts w:ascii="Garamond" w:hAnsi="Garamond"/>
              </w:rPr>
              <w:fldChar w:fldCharType="end"/>
            </w:r>
            <w:r w:rsidRPr="009672FC">
              <w:rPr>
                <w:rFonts w:ascii="Garamond" w:hAnsi="Garamond"/>
              </w:rPr>
              <w:t>.</w:t>
            </w:r>
          </w:p>
        </w:tc>
      </w:tr>
    </w:tbl>
    <w:p w14:paraId="1FE600F6" w14:textId="77777777" w:rsidR="00791631" w:rsidRPr="009672FC" w:rsidRDefault="00791631" w:rsidP="00791631">
      <w:pPr>
        <w:rPr>
          <w:rFonts w:ascii="Garamond" w:hAnsi="Garamond"/>
          <w:b/>
          <w:bCs/>
        </w:rPr>
      </w:pPr>
    </w:p>
    <w:p w14:paraId="34BF36A1" w14:textId="77777777" w:rsidR="00791631" w:rsidRPr="009672FC" w:rsidRDefault="00791631" w:rsidP="00791631">
      <w:pPr>
        <w:rPr>
          <w:rFonts w:ascii="Garamond" w:hAnsi="Garamond"/>
          <w:b/>
          <w:bCs/>
        </w:rPr>
      </w:pPr>
    </w:p>
    <w:p w14:paraId="50CC60E8" w14:textId="77777777" w:rsidR="00791631" w:rsidRPr="009672FC" w:rsidRDefault="00791631" w:rsidP="00791631">
      <w:pPr>
        <w:rPr>
          <w:rFonts w:ascii="Garamond" w:hAnsi="Garamond"/>
          <w:b/>
          <w:bCs/>
        </w:rPr>
      </w:pPr>
    </w:p>
    <w:p w14:paraId="011D91F2" w14:textId="77777777" w:rsidR="00791631" w:rsidRPr="009672FC" w:rsidRDefault="00791631" w:rsidP="00791631">
      <w:pPr>
        <w:rPr>
          <w:rFonts w:ascii="Garamond" w:hAnsi="Garamond"/>
          <w:b/>
          <w:bCs/>
        </w:rPr>
      </w:pPr>
    </w:p>
    <w:p w14:paraId="23018B72" w14:textId="77777777" w:rsidR="00791631" w:rsidRPr="009672FC" w:rsidRDefault="00791631" w:rsidP="00791631">
      <w:pPr>
        <w:rPr>
          <w:rFonts w:ascii="Garamond" w:hAnsi="Garamond"/>
          <w:b/>
          <w:bCs/>
        </w:rPr>
      </w:pPr>
    </w:p>
    <w:p w14:paraId="36437EF7" w14:textId="77777777" w:rsidR="00791631" w:rsidRPr="009672FC" w:rsidRDefault="00791631" w:rsidP="00791631">
      <w:pPr>
        <w:rPr>
          <w:rFonts w:ascii="Garamond" w:hAnsi="Garamond"/>
          <w:b/>
          <w:bCs/>
        </w:rPr>
      </w:pPr>
    </w:p>
    <w:p w14:paraId="537C706F" w14:textId="77777777" w:rsidR="00791631" w:rsidRPr="009672FC" w:rsidRDefault="00791631" w:rsidP="00791631">
      <w:pPr>
        <w:rPr>
          <w:rFonts w:ascii="Garamond" w:hAnsi="Garamond"/>
          <w:b/>
          <w:bCs/>
        </w:rPr>
      </w:pPr>
    </w:p>
    <w:p w14:paraId="53E232E8" w14:textId="77777777" w:rsidR="00791631" w:rsidRPr="009672FC" w:rsidRDefault="00791631" w:rsidP="00791631">
      <w:pPr>
        <w:rPr>
          <w:rFonts w:ascii="Garamond" w:hAnsi="Garamond"/>
          <w:b/>
          <w:bCs/>
        </w:rPr>
      </w:pPr>
    </w:p>
    <w:p w14:paraId="38AB0409" w14:textId="77777777" w:rsidR="00791631" w:rsidRPr="009672FC" w:rsidRDefault="00791631" w:rsidP="00791631">
      <w:pPr>
        <w:rPr>
          <w:rFonts w:ascii="Garamond" w:hAnsi="Garamond"/>
          <w:b/>
          <w:bCs/>
        </w:rPr>
      </w:pPr>
    </w:p>
    <w:p w14:paraId="44FA8662" w14:textId="77777777" w:rsidR="00791631" w:rsidRPr="009672FC" w:rsidRDefault="00791631" w:rsidP="00791631">
      <w:pPr>
        <w:rPr>
          <w:rFonts w:ascii="Garamond" w:hAnsi="Garamond"/>
          <w:b/>
          <w:bCs/>
        </w:rPr>
      </w:pPr>
    </w:p>
    <w:p w14:paraId="1F6F5A3F" w14:textId="77777777" w:rsidR="00791631" w:rsidRPr="009672FC" w:rsidRDefault="00791631" w:rsidP="00791631">
      <w:pPr>
        <w:rPr>
          <w:rFonts w:ascii="Garamond" w:hAnsi="Garamond"/>
          <w:b/>
          <w:bCs/>
        </w:rPr>
      </w:pPr>
    </w:p>
    <w:p w14:paraId="4751A8F4" w14:textId="77777777" w:rsidR="00791631" w:rsidRPr="009672FC" w:rsidRDefault="00791631" w:rsidP="00791631">
      <w:pPr>
        <w:rPr>
          <w:rFonts w:ascii="Garamond" w:hAnsi="Garamond"/>
          <w:b/>
          <w:bCs/>
        </w:rPr>
      </w:pPr>
    </w:p>
    <w:p w14:paraId="73A896B2" w14:textId="77777777" w:rsidR="00791631" w:rsidRPr="009672FC" w:rsidRDefault="00791631" w:rsidP="00791631">
      <w:pPr>
        <w:rPr>
          <w:rFonts w:ascii="Garamond" w:hAnsi="Garamond"/>
          <w:b/>
          <w:bCs/>
        </w:rPr>
      </w:pPr>
    </w:p>
    <w:p w14:paraId="0A472EE7" w14:textId="77777777" w:rsidR="00791631" w:rsidRPr="009672FC" w:rsidRDefault="00791631" w:rsidP="00791631">
      <w:pPr>
        <w:rPr>
          <w:rFonts w:ascii="Garamond" w:hAnsi="Garamond"/>
          <w:b/>
          <w:bCs/>
        </w:rPr>
      </w:pPr>
    </w:p>
    <w:p w14:paraId="715F688B" w14:textId="77777777" w:rsidR="00791631" w:rsidRPr="009672FC" w:rsidRDefault="00791631" w:rsidP="00791631">
      <w:pPr>
        <w:rPr>
          <w:rFonts w:ascii="Garamond" w:hAnsi="Garamond"/>
          <w:b/>
          <w:bCs/>
        </w:rPr>
      </w:pPr>
    </w:p>
    <w:p w14:paraId="05640A55" w14:textId="77777777" w:rsidR="00791631" w:rsidRPr="009672FC" w:rsidRDefault="00791631" w:rsidP="00791631">
      <w:pPr>
        <w:rPr>
          <w:rFonts w:ascii="Garamond" w:hAnsi="Garamond"/>
          <w:b/>
          <w:bCs/>
        </w:rPr>
      </w:pPr>
    </w:p>
    <w:p w14:paraId="441D1ECE" w14:textId="77777777" w:rsidR="00791631" w:rsidRPr="009672FC" w:rsidRDefault="00791631" w:rsidP="00791631">
      <w:pPr>
        <w:rPr>
          <w:rFonts w:ascii="Garamond" w:hAnsi="Garamond"/>
          <w:b/>
          <w:bCs/>
        </w:rPr>
      </w:pPr>
    </w:p>
    <w:p w14:paraId="5138FD17" w14:textId="77777777" w:rsidR="00791631" w:rsidRPr="009672FC" w:rsidRDefault="00791631" w:rsidP="00791631">
      <w:pPr>
        <w:rPr>
          <w:rFonts w:ascii="Garamond" w:hAnsi="Garamond"/>
          <w:b/>
          <w:bCs/>
        </w:rPr>
      </w:pPr>
    </w:p>
    <w:p w14:paraId="7919F673" w14:textId="77777777" w:rsidR="00791631" w:rsidRPr="009672FC" w:rsidRDefault="00791631" w:rsidP="00791631">
      <w:pPr>
        <w:rPr>
          <w:rFonts w:ascii="Garamond" w:hAnsi="Garamond"/>
          <w:b/>
          <w:bCs/>
        </w:rPr>
      </w:pPr>
    </w:p>
    <w:p w14:paraId="3C5D3F04" w14:textId="77777777" w:rsidR="00791631" w:rsidRPr="009672FC" w:rsidRDefault="00791631" w:rsidP="00791631">
      <w:pPr>
        <w:rPr>
          <w:rFonts w:ascii="Garamond" w:hAnsi="Garamond"/>
          <w:b/>
          <w:bCs/>
        </w:rPr>
      </w:pPr>
    </w:p>
    <w:p w14:paraId="2C4A86F8" w14:textId="77777777" w:rsidR="00791631" w:rsidRPr="009672FC" w:rsidRDefault="00791631" w:rsidP="00791631">
      <w:pPr>
        <w:rPr>
          <w:rFonts w:ascii="Garamond" w:hAnsi="Garamond"/>
          <w:b/>
          <w:bCs/>
        </w:rPr>
      </w:pPr>
    </w:p>
    <w:p w14:paraId="2E83EC65" w14:textId="77777777" w:rsidR="00791631" w:rsidRPr="009672FC" w:rsidRDefault="00791631" w:rsidP="00791631">
      <w:pPr>
        <w:rPr>
          <w:rFonts w:ascii="Garamond" w:hAnsi="Garamond"/>
          <w:b/>
          <w:bCs/>
        </w:rPr>
      </w:pPr>
    </w:p>
    <w:p w14:paraId="171FF223" w14:textId="77777777" w:rsidR="00791631" w:rsidRPr="009672FC" w:rsidRDefault="00791631" w:rsidP="00791631">
      <w:pPr>
        <w:rPr>
          <w:rFonts w:ascii="Garamond" w:hAnsi="Garamond"/>
          <w:b/>
          <w:bCs/>
        </w:rPr>
      </w:pPr>
    </w:p>
    <w:p w14:paraId="68BC7905" w14:textId="77777777" w:rsidR="00791631" w:rsidRPr="009672FC" w:rsidRDefault="00791631" w:rsidP="00791631">
      <w:pPr>
        <w:rPr>
          <w:rFonts w:ascii="Garamond" w:hAnsi="Garamond"/>
          <w:b/>
          <w:bCs/>
        </w:rPr>
      </w:pPr>
    </w:p>
    <w:p w14:paraId="1E27BD2B" w14:textId="77777777" w:rsidR="00791631" w:rsidRPr="009672FC" w:rsidRDefault="00791631" w:rsidP="00791631">
      <w:pPr>
        <w:rPr>
          <w:rFonts w:ascii="Garamond" w:hAnsi="Garamond"/>
          <w:b/>
          <w:bCs/>
        </w:rPr>
      </w:pPr>
    </w:p>
    <w:p w14:paraId="51C349C9" w14:textId="77777777" w:rsidR="00791631" w:rsidRPr="009672FC" w:rsidRDefault="00791631" w:rsidP="00791631">
      <w:pPr>
        <w:rPr>
          <w:rFonts w:ascii="Garamond" w:hAnsi="Garamond"/>
          <w:b/>
          <w:bCs/>
        </w:rPr>
      </w:pPr>
    </w:p>
    <w:p w14:paraId="306BB740" w14:textId="2065656D" w:rsidR="00791631" w:rsidRDefault="00791631" w:rsidP="00791631">
      <w:pPr>
        <w:rPr>
          <w:rFonts w:ascii="Garamond" w:hAnsi="Garamond"/>
          <w:b/>
          <w:bCs/>
        </w:rPr>
      </w:pPr>
    </w:p>
    <w:p w14:paraId="6CF0BD12" w14:textId="0C491A64" w:rsidR="00205681" w:rsidRDefault="00205681" w:rsidP="00791631">
      <w:pPr>
        <w:rPr>
          <w:rFonts w:ascii="Garamond" w:hAnsi="Garamond"/>
          <w:b/>
          <w:bCs/>
        </w:rPr>
      </w:pPr>
    </w:p>
    <w:p w14:paraId="6B861C1B" w14:textId="445CC4F4" w:rsidR="00205681" w:rsidRDefault="00205681" w:rsidP="00791631">
      <w:pPr>
        <w:rPr>
          <w:rFonts w:ascii="Garamond" w:hAnsi="Garamond"/>
          <w:b/>
          <w:bCs/>
        </w:rPr>
      </w:pPr>
    </w:p>
    <w:p w14:paraId="35FCAD9E" w14:textId="3D84B4F6" w:rsidR="00205681" w:rsidRDefault="00205681" w:rsidP="00791631">
      <w:pPr>
        <w:rPr>
          <w:rFonts w:ascii="Garamond" w:hAnsi="Garamond"/>
          <w:b/>
          <w:bCs/>
        </w:rPr>
      </w:pPr>
    </w:p>
    <w:p w14:paraId="271F1EA8" w14:textId="77777777" w:rsidR="00205681" w:rsidRPr="009672FC" w:rsidRDefault="00205681" w:rsidP="00791631">
      <w:pPr>
        <w:rPr>
          <w:rFonts w:ascii="Garamond" w:hAnsi="Garamond"/>
          <w:b/>
          <w:bCs/>
        </w:rPr>
      </w:pPr>
    </w:p>
    <w:p w14:paraId="57DB6312" w14:textId="457BE518" w:rsidR="005C5F35" w:rsidRPr="00205681" w:rsidRDefault="00791631" w:rsidP="00EB5D6B">
      <w:pPr>
        <w:pStyle w:val="Heading1"/>
        <w:rPr>
          <w:rFonts w:ascii="Garamond" w:hAnsi="Garamond" w:cs="Times New Roman"/>
          <w:b/>
          <w:color w:val="auto"/>
          <w:sz w:val="24"/>
          <w:szCs w:val="28"/>
        </w:rPr>
      </w:pPr>
      <w:bookmarkStart w:id="260" w:name="_Toc85709802"/>
      <w:r w:rsidRPr="00205681">
        <w:rPr>
          <w:rFonts w:ascii="Garamond" w:hAnsi="Garamond" w:cs="Times New Roman"/>
          <w:b/>
          <w:color w:val="auto"/>
          <w:sz w:val="24"/>
          <w:szCs w:val="28"/>
        </w:rPr>
        <w:lastRenderedPageBreak/>
        <w:t xml:space="preserve">Appendix 3. </w:t>
      </w:r>
      <w:r w:rsidR="005C5F35" w:rsidRPr="00205681">
        <w:rPr>
          <w:rFonts w:ascii="Garamond" w:hAnsi="Garamond" w:cs="Times New Roman"/>
          <w:b/>
          <w:color w:val="auto"/>
          <w:sz w:val="24"/>
          <w:szCs w:val="28"/>
        </w:rPr>
        <w:t>Network performance issues</w:t>
      </w:r>
      <w:bookmarkEnd w:id="260"/>
    </w:p>
    <w:tbl>
      <w:tblPr>
        <w:tblStyle w:val="TableGrid"/>
        <w:tblW w:w="9900" w:type="dxa"/>
        <w:jc w:val="center"/>
        <w:tblBorders>
          <w:left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790"/>
        <w:gridCol w:w="7110"/>
      </w:tblGrid>
      <w:tr w:rsidR="005C5F35" w:rsidRPr="009672FC" w14:paraId="5FD60D0E" w14:textId="77777777" w:rsidTr="005C5F35">
        <w:trPr>
          <w:jc w:val="center"/>
        </w:trPr>
        <w:tc>
          <w:tcPr>
            <w:tcW w:w="2790" w:type="dxa"/>
            <w:shd w:val="clear" w:color="auto" w:fill="FFFFFF" w:themeFill="background1"/>
          </w:tcPr>
          <w:p w14:paraId="6BEFF089" w14:textId="5F2859E9" w:rsidR="005C5F35" w:rsidRPr="009672FC" w:rsidRDefault="005C5F35" w:rsidP="005C5F35">
            <w:pPr>
              <w:spacing w:line="360" w:lineRule="auto"/>
              <w:rPr>
                <w:rFonts w:ascii="Garamond" w:hAnsi="Garamond"/>
                <w:b/>
                <w:bCs/>
              </w:rPr>
            </w:pPr>
            <w:r w:rsidRPr="009672FC">
              <w:rPr>
                <w:rFonts w:ascii="Garamond" w:hAnsi="Garamond"/>
                <w:b/>
                <w:bCs/>
              </w:rPr>
              <w:t>Network performance</w:t>
            </w:r>
          </w:p>
        </w:tc>
        <w:tc>
          <w:tcPr>
            <w:tcW w:w="7110" w:type="dxa"/>
            <w:shd w:val="clear" w:color="auto" w:fill="FFFFFF" w:themeFill="background1"/>
          </w:tcPr>
          <w:p w14:paraId="6EEB9C3F" w14:textId="77777777" w:rsidR="005C5F35" w:rsidRPr="009672FC" w:rsidRDefault="005C5F35" w:rsidP="005C5F35">
            <w:pPr>
              <w:pStyle w:val="NoSpacing"/>
              <w:spacing w:line="360" w:lineRule="auto"/>
              <w:jc w:val="center"/>
              <w:rPr>
                <w:rFonts w:ascii="Garamond" w:hAnsi="Garamond" w:cs="Times New Roman"/>
                <w:b/>
                <w:bCs/>
              </w:rPr>
            </w:pPr>
            <w:r w:rsidRPr="009672FC">
              <w:rPr>
                <w:rFonts w:ascii="Garamond" w:hAnsi="Garamond" w:cs="Times New Roman"/>
                <w:b/>
                <w:bCs/>
              </w:rPr>
              <w:t>Summary</w:t>
            </w:r>
          </w:p>
        </w:tc>
      </w:tr>
      <w:tr w:rsidR="005C5F35" w:rsidRPr="009672FC" w14:paraId="3686238D" w14:textId="77777777" w:rsidTr="005C5F35">
        <w:trPr>
          <w:jc w:val="center"/>
        </w:trPr>
        <w:tc>
          <w:tcPr>
            <w:tcW w:w="2790" w:type="dxa"/>
            <w:shd w:val="clear" w:color="auto" w:fill="FFFFFF" w:themeFill="background1"/>
          </w:tcPr>
          <w:p w14:paraId="31BFA8C7"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Internal organizational performance</w:t>
            </w:r>
          </w:p>
        </w:tc>
        <w:tc>
          <w:tcPr>
            <w:tcW w:w="7110" w:type="dxa"/>
            <w:shd w:val="clear" w:color="auto" w:fill="FFFFFF" w:themeFill="background1"/>
          </w:tcPr>
          <w:p w14:paraId="20BABA34" w14:textId="40AAF2EC" w:rsidR="005C5F35" w:rsidRPr="009672FC" w:rsidRDefault="005C5F35" w:rsidP="005C5F35">
            <w:pPr>
              <w:pStyle w:val="NoSpacing"/>
              <w:spacing w:line="360" w:lineRule="auto"/>
              <w:jc w:val="both"/>
              <w:rPr>
                <w:rFonts w:ascii="Garamond" w:hAnsi="Garamond" w:cs="Times New Roman"/>
              </w:rPr>
            </w:pPr>
            <w:r w:rsidRPr="009672FC">
              <w:rPr>
                <w:rFonts w:ascii="Garamond" w:hAnsi="Garamond" w:cs="Times New Roman"/>
                <w:lang w:val="en-US"/>
              </w:rPr>
              <w:t>Interorganizational partnerships bring a lot of advantages to firms such as innovation capabilities in new product development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{"citationItems":[{"id":"ITEM-1","itemData":{"DOI":"10.1016/j.ijinfomgt.2015.11.004","ISSN":"02684012","abstract":"Innovation networks are vital in advancing new product and service development. Particularly for small and medium-sized enterprises, partnering within innovation networks allows to enlarge innovation capabilities and to reach new markets. In order to create effective innovation networks, however, firms are required to adapt to the network. To do so, they must overcome three principal challenges: they need to build partnerships, integrate the partners' value contributions, and coordinate innovation processes. We followed three innovation networks over a three-year period and examined how they successfully used information systems (IS) to respond to these challenges. On the basis of their experiences we identify IS categories and measures that support setting up an information management for networked innovation. We explicate relevant tasks for managing the aspects of \"who, what and how\" in networked innovation.","author":[{"dropping-particle":"","family":"Rehm","given":"Sven Volker","non-dropping-particle":"","parse-names":false,"suffix":""},{"dropping-particle":"","family":"Goel","given":"Lakshmi","non-dropping-particle":"","parse-names":false,"suffix":""},{"dropping-particle":"","family":"Junglas","given":"Iris","non-dropping-particle":"","parse-names":false,"suffix":""}],"container-title":"International Journal of Information Management","id":"ITEM-1","issue":"3","issued":{"date-parts":[["2016"]]},"page":"348-359","publisher":"Elsevier Ltd","title":"Information management for innovation networks - An empirical study on the \"who, what and how\" in networked innovation","type":"article-journal","volume":"36"},"uris":["http://www.mendeley.com/documents/?uuid=529368b2-7d7c-49e5-ba25-196d1752cfbe"]}],"mendeley":{"formattedCitation":"(Rehm et al., 2016)","manualFormatting":"Rehm, Goel and Junglas, 2016)","plainTextFormattedCitation":"(Rehm et al., 2016)","previouslyFormattedCitation":"(Rehm, Goel and Junglas, 2016)"},"properties":{"noteIndex":0},"schema":"https://github.com/citation-style-language/schema/raw/master/csl-citation.json"}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Rehm, Goel and Junglas, 2016)</w:t>
            </w:r>
            <w:r w:rsidRPr="009672FC">
              <w:rPr>
                <w:rFonts w:ascii="Garamond" w:hAnsi="Garamond" w:cs="Times New Roman"/>
                <w:lang w:val="en-US"/>
              </w:rPr>
              <w:fldChar w:fldCharType="end"/>
            </w:r>
            <w:r w:rsidRPr="009672FC">
              <w:rPr>
                <w:rFonts w:ascii="Garamond" w:hAnsi="Garamond" w:cs="Times New Roman"/>
                <w:lang w:val="en-US"/>
              </w:rPr>
              <w:t xml:space="preserve"> firms’ dynamic capabilities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{"citationItems":[{"id":"ITEM-1","itemData":{"DOI":"10.1108/JBIM-09-2017-0211","ISSN":"08858624","abstract":"Purpose The purpose of this study is to investigate the capabilities and roles of three types of actors, specifically technology-based start-ups, incumbent firms and intermediaries, in co-constructing a network for development and commercialization of an emerging technology. In particular, the research aims to understand how the roles played by network actors evolve during the development and commercialization process and what operational and dynamic capabilities are developed by actors through collaboration. Design/methodology/approach A single longitudinal case study methodology was applied to analyse roles and operational and dynamic capabilities developed in a network setting by multiple parties over time. Findings The findings indicate that actors need to take on new roles to be successful when dealing with an emerging technology in a network context and they need to develop certain dynamic capabilities to enact these roles. The study categorizes roles and capabilities of network actors through vario...","author":[{"dropping-particle":"","family":"Salehi","given":"Fatemeh","non-dropping-particle":"","parse-names":false,"suffix":""},{"dropping-particle":"","family":"Zolkiewski","given":"Judith","non-dropping-particle":"","parse-names":false,"suffix":""},{"dropping-particle":"","family":"Perks","given":"Helen","non-dropping-particle":"","parse-names":false,"suffix":""},{"dropping-particle":"","family":"Bahreini","given":"Mohammad Ali","non-dropping-particle":"","parse-names":false,"suffix":""}],"container-title":"Journal of Business and Industrial Marketing","id":"ITEM-1","issue":"7","issued":{"date-parts":[["2018"]]},"page":"931-944","title":"Exploration of capability and role development in an emerging technology network","type":"article-journal","volume":"33"},"uris":["http://www.mendeley.com/documents/?uuid=f4422c70-a371-4d79-8a50-e32b276090df"]}],"mendeley":{"formattedCitation":"(Salehi et al., 2018)","manualFormatting":"Salehi et al. 2018)","plainTextFormattedCitation":"(Salehi et al., 2018)","previouslyFormattedCitation":"(Salehi &lt;i&gt;et al.&lt;/i&gt;, 2018)"},"properties":{"noteIndex":0},"schema":"https://github.com/citation-style-language/schema/raw/master/csl-citation.json"}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Salehi et al. 2018)</w:t>
            </w:r>
            <w:r w:rsidRPr="009672FC">
              <w:rPr>
                <w:rFonts w:ascii="Garamond" w:hAnsi="Garamond" w:cs="Times New Roman"/>
                <w:lang w:val="en-US"/>
              </w:rPr>
              <w:fldChar w:fldCharType="end"/>
            </w:r>
            <w:r w:rsidRPr="009672FC">
              <w:rPr>
                <w:rFonts w:ascii="Garamond" w:hAnsi="Garamond" w:cs="Times New Roman"/>
                <w:lang w:val="en-US"/>
              </w:rPr>
              <w:t xml:space="preserve"> as a result of cooperative practices, based on stronger ties and mutual interdependence. Exploratory and exploitative learning </w:t>
            </w:r>
            <w:r w:rsidR="00813D37" w:rsidRPr="009672FC">
              <w:rPr>
                <w:rFonts w:ascii="Garamond" w:hAnsi="Garamond" w:cs="Times New Roman"/>
                <w:lang w:val="en-US"/>
              </w:rPr>
              <w:t>is</w:t>
            </w:r>
            <w:r w:rsidRPr="009672FC">
              <w:rPr>
                <w:rFonts w:ascii="Garamond" w:hAnsi="Garamond" w:cs="Times New Roman"/>
                <w:lang w:val="en-US"/>
              </w:rPr>
              <w:t xml:space="preserve"> challenging for single firms, however, at the level of the network, firms could harness this opportunity to increase the knowledge base of organizations through knowledge transfer (Medlin and Törnroos, 2015), resource mobilization and co-creation of new opportunities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{"citationItems":[{"id":"ITEM-1","itemData":{"DOI":"10.1016/j.indmarman.2012.01.013","ISSN":"00198501","abstract":"In this paper, we argue that industrial innovation processes can productively be analysed as consisting of two sub-processes that over time create and mobilise contrary forces within both internal and external interactions of the innovation project. One of these forces emerges from the process of mobilising resources, activities, and actors in ensuring commitments to the project over time. The other is the process of explorative learning, which continues to create revised or even new propositions about the realities of the project and its opportunities. We argue that this analytical distinction permits us to expand our understanding of how friction forces develop over time in business networks (Håkansson &amp; Waluszewski, 2001a,b), the patterns of divergence and convergence in innovation processes as identified by Van de Ven et al. (1999) and the processes of \"path creation through mindful deviation\" as argued by Garud and Karnøe (2001). © 2012 Elsevier Inc..","author":[{"dropping-particle":"","family":"Hoholm","given":"Thomas","non-dropping-particle":"","parse-names":false,"suffix":""},{"dropping-particle":"","family":"Olsen","given":"Per Ingvar","non-dropping-particle":"","parse-names":false,"suffix":""}],"container-title":"Industrial Marketing Management","id":"ITEM-1","issue":"2","issued":{"date-parts":[["2012"]]},"page":"344-356","publisher":"Elsevier Inc.","title":"The contrary forces of innovation. A conceptual model for studying networked innovation processes.","type":"article-journal","volume":"41"},"uris":["http://www.mendeley.com/documents/?uuid=3b16a75f-091c-48fe-8f3d-5126e100268f"]}],"mendeley":{"formattedCitation":"(Hoholm &amp; Olsen, 2012)","manualFormatting":"Hoholm and Olsen, 2012)","plainTextFormattedCitation":"(Hoholm &amp; Olsen, 2012)","previouslyFormattedCitation":"(Hoholm and Olsen, 2012)"},"properties":{"noteIndex":0},"schema":"https://github.com/citation-style-language/schema/raw/master/csl-citation.json"}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Hoholm and Olsen, 2012)</w:t>
            </w:r>
            <w:r w:rsidRPr="009672FC">
              <w:rPr>
                <w:rFonts w:ascii="Garamond" w:hAnsi="Garamond" w:cs="Times New Roman"/>
                <w:lang w:val="en-US"/>
              </w:rPr>
              <w:fldChar w:fldCharType="end"/>
            </w:r>
            <w:r w:rsidRPr="009672FC">
              <w:rPr>
                <w:rFonts w:ascii="Garamond" w:hAnsi="Garamond" w:cs="Times New Roman"/>
                <w:lang w:val="en-US"/>
              </w:rPr>
              <w:t xml:space="preserve"> that are </w:t>
            </w:r>
            <w:r w:rsidR="00813D37" w:rsidRPr="009672FC">
              <w:rPr>
                <w:rFonts w:ascii="Garamond" w:hAnsi="Garamond" w:cs="Times New Roman"/>
                <w:lang w:val="en-US"/>
              </w:rPr>
              <w:t xml:space="preserve">a </w:t>
            </w:r>
            <w:r w:rsidRPr="009672FC">
              <w:rPr>
                <w:rFonts w:ascii="Garamond" w:hAnsi="Garamond" w:cs="Times New Roman"/>
                <w:lang w:val="en-US"/>
              </w:rPr>
              <w:t>critical part of inter</w:t>
            </w:r>
            <w:r w:rsidR="00813D37" w:rsidRPr="009672FC">
              <w:rPr>
                <w:rFonts w:ascii="Garamond" w:hAnsi="Garamond" w:cs="Times New Roman"/>
                <w:lang w:val="en-US"/>
              </w:rPr>
              <w:t>-</w:t>
            </w:r>
            <w:r w:rsidRPr="009672FC">
              <w:rPr>
                <w:rFonts w:ascii="Garamond" w:hAnsi="Garamond" w:cs="Times New Roman"/>
                <w:lang w:val="en-US"/>
              </w:rPr>
              <w:t>organizational innovation process. Research also shows different organizational outcomes such as public confidence and legitimacy (Stuart, 2000), organizational agility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{"citationItems":[{"id":"ITEM-1","itemData":{"DOI":"10.1017/jmo.2014.32","ISSN":"18333672","abstract":"Firms face a rapidly changing market environment under the pressure of difficult challenges such as limited resources and increasing costs. Organizations may actively seek to cooperate with other members for benefits from knowledge sharing. Establishing quality network ties among suppliers and customers is a significant study subject. Here, we assessed the impact of the signing of the Economic Cooperation Framework Agreement on Taiwan flat glass industry and study measures adopted by the manufacturers. The effective sample size is 250. We found that through the intermediary of organizational agility and strong network ties, a firm can enhance its organizational performance.","author":[{"dropping-particle":"","family":"Lee","given":"Yu Muo","non-dropping-particle":"","parse-names":false,"suffix":""},{"dropping-particle":"","family":"Yang","given":"Chyan","non-dropping-particle":"","parse-names":false,"suffix":""}],"container-title":"Journal of Management and Organization","id":"ITEM-1","issue":"2","issued":{"date-parts":[["2014"]]},"page":"206-226","title":"The relationships among network ties, organizational agility, and organizational performance: A study of the flat glass industry in Taiwan","type":"article-journal","volume":"20"},"uris":["http://www.mendeley.com/documents/?uuid=f577a138-c744-4a41-be32-c3bad0eb07c5"]}],"mendeley":{"formattedCitation":"(Lee &amp; Yang, 2014)","manualFormatting":"Lee and Yang, 2014)","plainTextFormattedCitation":"(Lee &amp; Yang, 2014)","previouslyFormattedCitation":"(Lee and Yang, 2014)"},"properties":{"noteIndex":0},"schema":"https://github.com/citation-style-language/schema/raw/master/csl-citation.json"}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Lee and Yang, 2014)</w:t>
            </w:r>
            <w:r w:rsidRPr="009672FC">
              <w:rPr>
                <w:rFonts w:ascii="Garamond" w:hAnsi="Garamond" w:cs="Times New Roman"/>
                <w:lang w:val="en-US"/>
              </w:rPr>
              <w:fldChar w:fldCharType="end"/>
            </w:r>
            <w:r w:rsidRPr="009672FC">
              <w:rPr>
                <w:rFonts w:ascii="Garamond" w:hAnsi="Garamond" w:cs="Times New Roman"/>
                <w:lang w:val="en-US"/>
              </w:rPr>
              <w:t>, network dynamism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{"citationItems":[{"id":"ITEM-1","itemData":{"DOI":"10.1080/19420862.2017.1356527","ISSN":"19420870","abstract":"© 2017 Taylor &amp; Francis Group, LLC. We investigated the evolution process of collaborative inter-organizational network of the research and development (R&amp;D) on monoclonal antibody (mAb) over the past 30 y. The annual detection of the collaboration network provides dynamics on network structures and relationship changes among different organizations. Our research showed continuous growth of the network's scale and complexity due to the constant entry of new organizations and the forging of new partnering relationships. The evolving topological features reveal a core-periphery structure that became clearer over time and an increasing heterogeneity within the collaborative mAb R&amp;D network. As measured by the number of network participants, dedicated biotechnology firms (DBFs) were the dominant organization form in the field of mAb development, but their average centrality was reduced during the period of 2004–2009, when pharmaceutical companies took over the positions of DBFs. Along with the network evolution, 2 waves of substitution on the leading positions were driven by technological innovations and mergers and acquisitions (M&amp;A). In addition, this study analyzed organizational-level behaviors to help understand the evolution of network structures over the field of mAb development across the different technologically innovative or economic contexts.","author":[{"dropping-particle":"","family":"Kong","given":"Xiangjun","non-dropping-particle":"","parse-names":false,"suffix":""},{"dropping-particle":"","family":"Wan","given":"Jian bo","non-dropping-particle":"","parse-names":false,"suffix":""},{"dropping-particle":"","family":"Hu","given":"Hao","non-dropping-particle":"","parse-names":false,"suffix":""},{"dropping-particle":"","family":"Su","given":"Shibing","non-dropping-particle":"","parse-names":false,"suffix":""},{"dropping-particle":"","family":"Hu","given":"Yuanjia","non-dropping-particle":"","parse-names":false,"suffix":""}],"container-title":"MABS","id":"ITEM-1","issue":"7","issued":{"date-parts":[["2017"]]},"page":"1041-1051","publisher":"Taylor &amp; Francis","title":"Evolving patterns in a collaboration network of global R&amp;D on monoclonal antibodies","type":"article-journal","volume":"9"},"uris":["http://www.mendeley.com/documents/?uuid=86543542-361b-484b-bdfe-7bf9ead3cb07"]}],"mendeley":{"formattedCitation":"(Kong et al., 2017)","manualFormatting":"Kong et al., 2017)","plainTextFormattedCitation":"(Kong et al., 2017)","previouslyFormattedCitation":"(Kong &lt;i&gt;et al.&lt;/i&gt;,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Kong et al., 2017)</w:t>
            </w:r>
            <w:r w:rsidRPr="009672FC">
              <w:rPr>
                <w:rFonts w:ascii="Garamond" w:hAnsi="Garamond" w:cs="Times New Roman"/>
                <w:lang w:val="en-US"/>
              </w:rPr>
              <w:fldChar w:fldCharType="end"/>
            </w:r>
            <w:r w:rsidRPr="009672FC">
              <w:rPr>
                <w:rFonts w:ascii="Garamond" w:hAnsi="Garamond" w:cs="Times New Roman"/>
                <w:lang w:val="en-US"/>
              </w:rPr>
              <w:t xml:space="preserve"> absorptive capacity and sensemaking capability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{"citationItems":[{"id":"ITEM-1","itemData":{"author":[{"dropping-particle":"","family":"Brown","given":"John Seely","non-dropping-particle":"","parse-names":false,"suffix":""},{"dropping-particle":"","family":"Duguid","given":"Paul","non-dropping-particle":"","parse-names":false,"suffix":""}],"container-title":"Organization Science","id":"ITEM-1","issue":"2","issued":{"date-parts":[["2001"]]},"page":"198-213","title":"Knowledge and Organization: A Social-Practice Perspective","type":"article-journal","volume":"12"},"uris":["http://www.mendeley.com/documents/?uuid=df0e9f48-41eb-471e-9f20-c858ffe6c8c9"]}],"mendeley":{"formattedCitation":"(Brown &amp; Duguid, 2001)","manualFormatting":"(Brown and Duguid, 2001; Grant, 1996)","plainTextFormattedCitation":"(Brown &amp; Duguid, 2001)","previouslyFormattedCitation":"(Brown and Duguid, 2001)"},"properties":{"noteIndex":0},"schema":"https://github.com/citation-style-language/schema/raw/master/csl-citation.json"}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 xml:space="preserve">(Brown and Duguid, 2001; </w:t>
            </w:r>
            <w:r w:rsidRPr="009672FC">
              <w:rPr>
                <w:rFonts w:ascii="Garamond" w:hAnsi="Garamond" w:cs="Times New Roman"/>
                <w:noProof/>
                <w:lang w:val="en-US"/>
              </w:rPr>
              <w:fldChar w:fldCharType="begin" w:fldLock="1"/>
            </w:r>
            <w:r w:rsidRPr="009672FC">
              <w:rPr>
                <w:rFonts w:ascii="Garamond" w:hAnsi="Garamond" w:cs="Times New Roman"/>
                <w:noProof/>
                <w:lang w:val="en-US"/>
              </w:rPr>
              <w:instrText>ADDIN CSL_CITATION {"citationItems":[{"id":"ITEM-1","itemData":{"author":[{"dropping-particle":"","family":"Grant","given":"Robert M","non-dropping-particle":"","parse-names":false,"suffix":""}],"container-title":"Strategic Management Journal","id":"ITEM-1","issued":{"date-parts":[["1996"]]},"page":"109-122","title":"Toward a knowledge</w:instrText>
            </w:r>
            <w:r w:rsidRPr="009672FC">
              <w:rPr>
                <w:rFonts w:ascii="Times New Roman" w:hAnsi="Times New Roman" w:cs="Times New Roman"/>
                <w:noProof/>
                <w:lang w:val="en-US"/>
              </w:rPr>
              <w:instrText>‐</w:instrText>
            </w:r>
            <w:r w:rsidRPr="009672FC">
              <w:rPr>
                <w:rFonts w:ascii="Garamond" w:hAnsi="Garamond" w:cs="Times New Roman"/>
                <w:noProof/>
                <w:lang w:val="en-US"/>
              </w:rPr>
              <w:instrText>based theory of the firm","type":"article-journal","volume":"17"},"uris":["http://www.mendeley.com/documents/?uuid=c574dccb-428f-4479-9c49-692d619f6e4b"]}],"mendeley":{"formattedCitation":"(Grant, 1996)","manualFormatting":"Grant, 1996","plainTextFormattedCitation":"(Grant, 1996)","previouslyFormattedCitation":"(Grant, 1996)"},"properties":{"noteIndex":0},"schema":"https://github.com/citation-style-language/schema/raw/master/csl-citation.json"}</w:instrText>
            </w:r>
            <w:r w:rsidRPr="009672FC">
              <w:rPr>
                <w:rFonts w:ascii="Garamond" w:hAnsi="Garamond" w:cs="Times New Roman"/>
                <w:noProof/>
                <w:lang w:val="en-US"/>
              </w:rPr>
              <w:fldChar w:fldCharType="separate"/>
            </w:r>
            <w:r w:rsidRPr="009672FC">
              <w:rPr>
                <w:rFonts w:ascii="Garamond" w:hAnsi="Garamond" w:cs="Times New Roman"/>
                <w:noProof/>
                <w:lang w:val="en-US"/>
              </w:rPr>
              <w:t>Grant, 1996</w:t>
            </w:r>
            <w:r w:rsidRPr="009672FC">
              <w:rPr>
                <w:rFonts w:ascii="Garamond" w:hAnsi="Garamond" w:cs="Times New Roman"/>
                <w:noProof/>
                <w:lang w:val="en-US"/>
              </w:rPr>
              <w:fldChar w:fldCharType="end"/>
            </w:r>
            <w:r w:rsidRPr="009672FC">
              <w:rPr>
                <w:rFonts w:ascii="Garamond" w:hAnsi="Garamond" w:cs="Times New Roman"/>
                <w:noProof/>
                <w:lang w:val="en-US"/>
              </w:rPr>
              <w:t>)</w:t>
            </w:r>
            <w:r w:rsidRPr="009672FC">
              <w:rPr>
                <w:rFonts w:ascii="Garamond" w:hAnsi="Garamond" w:cs="Times New Roman"/>
                <w:lang w:val="en-US"/>
              </w:rPr>
              <w:fldChar w:fldCharType="end"/>
            </w:r>
            <w:r w:rsidRPr="009672FC">
              <w:rPr>
                <w:rFonts w:ascii="Garamond" w:hAnsi="Garamond" w:cs="Times New Roman"/>
                <w:lang w:val="en-US"/>
              </w:rPr>
              <w:t>, and business model/strategy-based innovation performance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author":[{"dropping-particle":"","family":"Krause","given":"W.","non-dropping-particle":"","parse-names":false,"suffix":""},{"dropping-particle":"","family":"Schutte","given":"C.S.L","non-dropping-particle":"","parse-names":false,"suffix":""}],"container-title":"South African Journal of Industrial Engineering","id":"ITEM-1","issue":"May 2015","issued":{"date-parts":[["2015"]]},"page":"163-178","title":"A perspective on open innovation in small- and medium-sized enterprises in South Africa, and design requirements for an open innovation approach","type":"article-journal","volume":"26"},"uris":["http://www.mendeley.com/documents/?uuid=56bb3f08-1ef5-474b-90e4-ed51344a7540"]}],"mendeley":{"formattedCitation":"(Krause &amp; Schutte, 2015)","manualFormatting":"Krause and Schutte, 2015)","plainTextFormattedCitation":"(Krause &amp; Schutte, 2015)","previouslyFormattedCitation":"(Krause and Schutte, 2015)"},"properties":{"noteIndex":0},"schema":"https://github.com/citation-style-language/schema/raw/master/csl-citation.json"}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Krause and Schutte, 2015)</w:t>
            </w:r>
            <w:r w:rsidRPr="009672FC">
              <w:rPr>
                <w:rFonts w:ascii="Garamond" w:hAnsi="Garamond" w:cs="Times New Roman"/>
                <w:lang w:val="en-US"/>
              </w:rPr>
              <w:fldChar w:fldCharType="end"/>
            </w:r>
            <w:r w:rsidRPr="009672FC">
              <w:rPr>
                <w:rFonts w:ascii="Garamond" w:hAnsi="Garamond" w:cs="Times New Roman"/>
                <w:lang w:val="en-US"/>
              </w:rPr>
              <w:t xml:space="preserve"> are some of the benefits firms derived from inter</w:t>
            </w:r>
            <w:r w:rsidR="00813D37" w:rsidRPr="009672FC">
              <w:rPr>
                <w:rFonts w:ascii="Garamond" w:hAnsi="Garamond" w:cs="Times New Roman"/>
                <w:lang w:val="en-US"/>
              </w:rPr>
              <w:t>-</w:t>
            </w:r>
            <w:r w:rsidRPr="009672FC">
              <w:rPr>
                <w:rFonts w:ascii="Garamond" w:hAnsi="Garamond" w:cs="Times New Roman"/>
                <w:lang w:val="en-US"/>
              </w:rPr>
              <w:t>organizational collaborations.</w:t>
            </w:r>
          </w:p>
        </w:tc>
      </w:tr>
      <w:tr w:rsidR="005C5F35" w:rsidRPr="009672FC" w14:paraId="555F3158" w14:textId="77777777" w:rsidTr="005C5F35">
        <w:trPr>
          <w:jc w:val="center"/>
        </w:trPr>
        <w:tc>
          <w:tcPr>
            <w:tcW w:w="2790" w:type="dxa"/>
            <w:shd w:val="clear" w:color="auto" w:fill="FFFFFF" w:themeFill="background1"/>
          </w:tcPr>
          <w:p w14:paraId="530E96B6"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Relational performance</w:t>
            </w:r>
          </w:p>
        </w:tc>
        <w:tc>
          <w:tcPr>
            <w:tcW w:w="7110" w:type="dxa"/>
            <w:shd w:val="clear" w:color="auto" w:fill="FFFFFF" w:themeFill="background1"/>
          </w:tcPr>
          <w:p w14:paraId="71B8B0B0" w14:textId="5E178004" w:rsidR="005C5F35" w:rsidRPr="009672FC" w:rsidRDefault="005C5F35" w:rsidP="005C5F35">
            <w:pPr>
              <w:pStyle w:val="NoSpacing"/>
              <w:spacing w:line="360" w:lineRule="auto"/>
              <w:jc w:val="both"/>
              <w:rPr>
                <w:rFonts w:ascii="Garamond" w:hAnsi="Garamond" w:cs="Times New Roman"/>
              </w:rPr>
            </w:pPr>
            <w:r w:rsidRPr="009672FC">
              <w:rPr>
                <w:rFonts w:ascii="Garamond" w:hAnsi="Garamond" w:cs="Times New Roman"/>
                <w:lang w:val="en-US"/>
              </w:rPr>
              <w:t>Interfirm relationships are importan</w:t>
            </w:r>
            <w:r w:rsidR="00813D37" w:rsidRPr="009672FC">
              <w:rPr>
                <w:rFonts w:ascii="Garamond" w:hAnsi="Garamond" w:cs="Times New Roman"/>
                <w:lang w:val="en-US"/>
              </w:rPr>
              <w:t>t</w:t>
            </w:r>
            <w:r w:rsidRPr="009672FC">
              <w:rPr>
                <w:rFonts w:ascii="Garamond" w:hAnsi="Garamond" w:cs="Times New Roman"/>
                <w:lang w:val="en-US"/>
              </w:rPr>
              <w:t xml:space="preserve"> sources of market opportunity. In fact, scholars posit that stronger interfirm trust allows for the flow of specific know-how, skill and information through team dynamics because interaction fosters knowledge transfer and joint problem-solving (e.g., Sarkar, Aulakh and Cavusgil, 1998). Moreover, authors argue that more relational building practices such as joint opportunity seeking, joint decision making, and risk-sharing further strengthen social ties and hence, interfirm trust (e.g., Laan et al., 2011; Nell and Andersson, 2012).</w:t>
            </w:r>
          </w:p>
        </w:tc>
      </w:tr>
      <w:tr w:rsidR="005C5F35" w:rsidRPr="009672FC" w14:paraId="69CD28F7" w14:textId="77777777" w:rsidTr="005C5F35">
        <w:trPr>
          <w:jc w:val="center"/>
        </w:trPr>
        <w:tc>
          <w:tcPr>
            <w:tcW w:w="2790" w:type="dxa"/>
            <w:shd w:val="clear" w:color="auto" w:fill="FFFFFF" w:themeFill="background1"/>
          </w:tcPr>
          <w:p w14:paraId="3FF4DBE7" w14:textId="77777777" w:rsidR="005C5F35" w:rsidRPr="009672FC" w:rsidRDefault="005C5F35" w:rsidP="005C5F35">
            <w:pPr>
              <w:pStyle w:val="NoSpacing"/>
              <w:spacing w:line="360" w:lineRule="auto"/>
              <w:rPr>
                <w:rFonts w:ascii="Garamond" w:hAnsi="Garamond" w:cs="Times New Roman"/>
                <w:i/>
                <w:iCs/>
              </w:rPr>
            </w:pPr>
            <w:r w:rsidRPr="009672FC">
              <w:rPr>
                <w:rFonts w:ascii="Garamond" w:hAnsi="Garamond" w:cs="Times New Roman"/>
                <w:i/>
                <w:iCs/>
              </w:rPr>
              <w:t xml:space="preserve">Market performance </w:t>
            </w:r>
          </w:p>
        </w:tc>
        <w:tc>
          <w:tcPr>
            <w:tcW w:w="7110" w:type="dxa"/>
            <w:shd w:val="clear" w:color="auto" w:fill="FFFFFF" w:themeFill="background1"/>
          </w:tcPr>
          <w:p w14:paraId="2FA50C14" w14:textId="516AA87D" w:rsidR="005C5F35" w:rsidRPr="009672FC" w:rsidRDefault="005C5F35" w:rsidP="005C5F35">
            <w:pPr>
              <w:pStyle w:val="NoSpacing"/>
              <w:spacing w:line="360" w:lineRule="auto"/>
              <w:jc w:val="both"/>
              <w:rPr>
                <w:rFonts w:ascii="Garamond" w:hAnsi="Garamond" w:cs="Times New Roman"/>
                <w:lang w:val="en-US"/>
              </w:rPr>
            </w:pPr>
            <w:r w:rsidRPr="009672FC">
              <w:rPr>
                <w:rFonts w:ascii="Garamond" w:hAnsi="Garamond" w:cs="Times New Roman"/>
                <w:lang w:val="en-US"/>
              </w:rPr>
              <w:t>Technological innovations are a result of the use of web-based communication portals, performance management, and reviews of network performance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{"citationItems":[{"id":"ITEM-1","itemData":{"ISSN":"2226-809X","abstract":"Open innovation is a growing concern in today's manufacturing industries, especially within small and medium size enterprises (SMEs). Due to the resource scarcity, SMEs need to be collaborated with the objective to share knowledge and expertise to develop innovative product, which lead them to become more competitive in market segment. In this research study, generic concept and a novel framework on open innovation are elaborated. In addition, a methodological guideline to form and execute a collaborative business network is proposed. The framework and the methodological guidelines are presented to facilitate an open innovation management within the collaborative partner industries. Moreover, associated factors to manage a successful business network with open innovation are also identified along with possible challenges. Finally, within the scope of this research study, a case business network is presented, where the concept of open innovation is orchestrated within the partner organizations via web-enabled communication portal.","author":[{"dropping-particle":"","family":"Shamsuzzoha","given":"Ahm","non-dropping-particle":"","parse-names":false,"suffix":""},{"dropping-particle":"","family":"Al-Kindi","given":"Mahmood","non-dropping-particle":"","parse-names":false,"suffix":""},{"dropping-particle":"","family":"Al-Hinai","given":"Nasr","non-dropping-particle":"","parse-names":false,"suffix":""}],"container-title":"International Journal of Engineering and Technology Innovation","id":"ITEM-1","issue":"3","issued":{"date-parts":[["2018"]]},"page":"173-190","title":"Open innovation in small and medium size enterprises-perspective from virtual collaboration","type":"article-journal","volume":"8"},"uris":["http://www.mendeley.com/documents/?uuid=919d162d-2998-4a59-b0ac-1e2ee8bedef1"]}],"mendeley":{"formattedCitation":"(Shamsuzzoha et al., 2018)","manualFormatting":"Shamsuzzoha, Al-Kindi and Al-Hinai, 2018)","plainTextFormattedCitation":"(Shamsuzzoha et al., 2018)","previouslyFormattedCitation":"(Shamsuzzoha, Al-Kindi and Al-Hinai, 2018)"},"properties":{"noteIndex":0},"schema":"https://github.com/citation-style-language/schema/raw/master/csl-citation.json"}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Shamsuzzoha, Al-Kindi and Al-Hinai, 2018)</w:t>
            </w:r>
            <w:r w:rsidRPr="009672FC">
              <w:rPr>
                <w:rFonts w:ascii="Garamond" w:hAnsi="Garamond" w:cs="Times New Roman"/>
                <w:lang w:val="en-US"/>
              </w:rPr>
              <w:fldChar w:fldCharType="end"/>
            </w:r>
            <w:r w:rsidRPr="009672FC">
              <w:rPr>
                <w:rFonts w:ascii="Garamond" w:hAnsi="Garamond" w:cs="Times New Roman"/>
                <w:lang w:val="en-US"/>
              </w:rPr>
              <w:t>. Some of these innovation performances include technological development and commercialization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{"citationItems":[{"id":"ITEM-1","itemData":{"DOI":"10.1016/j.jik.2018.04.001","ISSN":"2444569X","abstract":"a b s t r a c t This paper aims at investigating the role of makers in open innovation networks by focusing on whether and how knowledge leaks occur in open innovation networks with makers. In the last years, makers have been widely recognized as conducive to innovation and growth in different fields through a novel and open approach. However, little is known about the role played by makers and, more specifically, about the flow of unintended knowledge – i.e. knowledge leaks. Data have been collected by iteratively deploying a snowball sampling technique in an Italian high-tech cluster with a dense and heterogeneous ecosystem of makers. Data analysis relied on social network analysis method and techniques. Findings shed light on a totally unexplored phenomenon and suggest intriguing implications both for theory and practice on whether and how knowledge is exchanged in innovation networks and how knowledge leaks occur.","author":[{"dropping-particle":"","family":"Giusti","given":"Jessica D.","non-dropping-particle":"","parse-names":false,"suffix":""},{"dropping-particle":"","family":"Alberti","given":"Fernando G.","non-dropping-particle":"","parse-names":false,"suffix":""},{"dropping-particle":"","family":"Belfanti","given":"Federica","non-dropping-particle":"","parse-names":false,"suffix":""}],"container-title":"Journal of Innovation &amp; Knowledge","id":"ITEM-1","issue":"2017","issued":{"date-parts":[["2017"]]},"page":"1-9","publisher":"Journal of Innovation &amp; Knowledge","title":"Makers and clusters. Knowledge leaks in open innovation networks","type":"article-journal","volume":"85"},"uris":["http://www.mendeley.com/documents/?uuid=e14b5c92-d406-430b-9976-c8966ed5b3eb"]}],"mendeley":{"formattedCitation":"(Giusti et al., 2017)","manualFormatting":"Giusti, Alberti and Belfanti, 2017;","plainTextFormattedCitation":"(Giusti et al., 2017)","previouslyFormattedCitation":"(Giusti, Alberti and Belfanti,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Giusti, Alberti and Belfanti, 2017;</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{"citationItems":[{"id":"ITEM-1","itemData":{"DOI":"10.1016/j.indmarman.2015.05.036","ISSN":"00198501","abstract":"We seek to understand how ambidexterity of exploring and exploiting is managed in an innovation context. We contribute to the literature by elaborating exploring and exploiting as three processes shared between actors in a dynamic business network. An innovator firm needs to (1) explore the current business network to find partners and gain access to resources, (2) develop business relationships for exploiting the emerging network, and (3) explore and find a network-technology fit inside a future business network. The final process is essential to innovation and commercialization. Further, the quality of the network-technology fit will affect the speed and success of the other two processes. Our contribution provides an understanding of the way in which managers are exploring and exploiting the business network to adapt and commercialize a breakthrough technology. A longitudinal case study of biofuel development and commercialization exemplifies the conceptual issues. Final sections address managerial and research implications.","author":[{"dropping-particle":"","family":"Medlin","given":"Christopher J.","non-dropping-particle":"","parse-names":false,"suffix":""},{"dropping-particle":"","family":"Törnroos","given":"Jan Åke","non-dropping-particle":"","parse-names":false,"suffix":""}],"container-title":"Industrial Marketing Management","id":"ITEM-1","issued":{"date-parts":[["2015"]]},"page":"42-52","publisher":"Elsevier B.V.","title":"Exploring and exploiting network relationships to commercialize technology: A biofuel case","type":"article-journal","volume":"49"},"uris":["http://www.mendeley.com/documents/?uuid=21902d1f-e52e-4d25-8f4c-708d55560699"]}],"mendeley":{"formattedCitation":"(Medlin &amp; Törnroos, 2015)","manualFormatting":"Medlin and Törnroos, 2015)","plainTextFormattedCitation":"(Medlin &amp; Törnroos, 2015)","previouslyFormattedCitation":"(Medlin and Törnroos, 2015)"},"properties":{"noteIndex":0},"schema":"https://github.com/citation-style-language/schema/raw/master/csl-citation.json"}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Medlin and Törnroos, 2015)</w:t>
            </w:r>
            <w:r w:rsidRPr="009672FC">
              <w:rPr>
                <w:rFonts w:ascii="Garamond" w:hAnsi="Garamond" w:cs="Times New Roman"/>
                <w:lang w:val="en-US"/>
              </w:rPr>
              <w:fldChar w:fldCharType="end"/>
            </w:r>
            <w:r w:rsidRPr="009672FC">
              <w:rPr>
                <w:rFonts w:ascii="Garamond" w:hAnsi="Garamond" w:cs="Times New Roman"/>
                <w:lang w:val="en-US"/>
              </w:rPr>
              <w:t>, new product development performance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{"citationItems":[{"id":"ITEM-1","itemData":{"DOI":"10.1016/j.ijproman.2017.09.009","ISSN":"02637863","abstract":"The importance of control in the success of a project was clearly established in project literature. However, the impact mechanisms of intra-organizational and inter-organizational control on the performance of new product development (NPD) performance did not receive considerable attention in the increasingly important context of open innovation. To fill this gap, this study explores intra-organizational and inter-organizational control and their interaction effect on NPD performance in open innovation. The results show that intra-organizational formal control and inter-organizational trust positively influence NPD performance, whereas intra-organizational professional control and inter-organizational contract control have no significant effect. The interaction effect between inter-organizational and inter-organizational control positively influence NPD performance. These findings provide new insights into effective control practices for improving NPD project performance in open innovation.","author":[{"dropping-particle":"","family":"Lu","given":"Ping","non-dropping-particle":"","parse-names":false,"suffix":""},{"dropping-particle":"","family":"Yuan","given":"Shimei","non-dropping-particle":"","parse-names":false,"suffix":""},{"dropping-particle":"","family":"Wu","given":"Jianlin","non-dropping-particle":"","parse-names":false,"suffix":""}],"container-title":"International Journal of Project Management","id":"ITEM-1","issue":"8","issued":{"date-parts":[["2017"]]},"page":"1627-1638","publisher":"Elsevier Ltd, APM and IPMA","title":"The interaction effect between intra-organizational and inter-organizational control on the project performance of new product development in open innovation","type":"article-journal","volume":"35"},"uris":["http://www.mendeley.com/documents/?uuid=fd5a6f9a-a027-4aa5-9942-93f871b24a3f"]}],"mendeley":{"formattedCitation":"(Lu et al., 2017)","manualFormatting":"Lu, Yuan and Wu, 2017)","plainTextFormattedCitation":"(Lu et al., 2017)","previouslyFormattedCitation":"(Lu, Yuan and Wu, 2017)"},"properties":{"noteIndex":0},"schema":"https://github.com/citation-style-language/schema/raw/master/csl-citation.json"}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Lu, Yuan and Wu, 2017)</w:t>
            </w:r>
            <w:r w:rsidRPr="009672FC">
              <w:rPr>
                <w:rFonts w:ascii="Garamond" w:hAnsi="Garamond" w:cs="Times New Roman"/>
                <w:lang w:val="en-US"/>
              </w:rPr>
              <w:fldChar w:fldCharType="end"/>
            </w:r>
            <w:r w:rsidRPr="009672FC">
              <w:rPr>
                <w:rFonts w:ascii="Garamond" w:hAnsi="Garamond" w:cs="Times New Roman"/>
                <w:lang w:val="en-US"/>
              </w:rPr>
              <w:t>, and speed-to-market and financial performance (</w:t>
            </w:r>
            <w:r w:rsidRPr="009672FC">
              <w:rPr>
                <w:rFonts w:ascii="Garamond" w:hAnsi="Garamond" w:cs="Times New Roman"/>
                <w:lang w:val="en-US"/>
              </w:rPr>
              <w:fldChar w:fldCharType="begin" w:fldLock="1"/>
            </w:r>
            <w:r w:rsidRPr="009672FC">
              <w:rPr>
                <w:rFonts w:ascii="Garamond" w:hAnsi="Garamond" w:cs="Times New Roman"/>
                <w:lang w:val="en-US"/>
              </w:rPr>
              <w:instrText>ADDIN CSL_CITATION {"citationItems":[{"id":"ITEM-1","itemData":{"DOI":"10.1016/j.promfg.2019.02.091","ISSN":"23519789","abstract":"Research background: Innovation of enterprises continues to be conditional upon many exogenous and endogenous factors among which of crucial importance are inter-organizational relations understood as the relations of enterprises with other entities from the business environment. The aforementioned relations have become the subject of interest in numerous scientific areas, including management sciences. The issue of creating innovations by inter-organizational cooperation is of top importance. Cooperation with business associates could become an answer to challenges of an enterprise facing the need to possess resources and to develop potential in order to implement new business solutions.Purpose of the article: The purpose of this article is to present connections between inter-organizational relations, innovation and cooperation between enterprises operating in Podkarpackie region in Poland.Methodology: The paper uses empirical studies, carried out among enterprises from SME sector in the Podkarpackie region in Poland. It presents the intensity and level of cooperation between these firms and external entities in terms of the implementation of innovative practices.Outcome: the article points to possibilities of sharing experiences and implementing innovations based on cooperation between enterprises. It proves that the effective innovative operations is a tool of increasing the level of innovation of enterprises from SME sector in the Podkarpackie region in Poland.","author":[{"dropping-particle":"","family":"Rzepka","given":"Agnieszka","non-dropping-particle":"","parse-names":false,"suffix":""}],"container-title":"Procedia Manufacturing","id":"ITEM-1","issued":{"date-parts":[["2019"]]},"page":"642-649","publisher":"Elsevier B.V.","title":"Innovation, inter-organizational relation, and co-operation between enterprises in Podkarpacie region in Poland","type":"article-journal","volume":"30"},"uris":["http://www.mendeley.com/documents/?uuid=cf89d259-106f-45a8-a35b-1557db70a8f4"]}],"mendeley":{"formattedCitation":"(Rzepka, 2019)","manualFormatting":"Rzepka, 2019;","plainTextFormattedCitation":"(Rzepka, 2019)","previouslyFormattedCitation":"(Rzepka, 2019)"},"properties":{"noteIndex":0},"schema":"https://github.com/citation-style-language/schema/raw/master/csl-citation.json"}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Rzepka, 2019;</w:t>
            </w:r>
            <w:r w:rsidRPr="009672FC">
              <w:rPr>
                <w:rFonts w:ascii="Garamond" w:hAnsi="Garamond" w:cs="Times New Roman"/>
                <w:lang w:val="en-US"/>
              </w:rPr>
              <w:fldChar w:fldCharType="end"/>
            </w:r>
            <w:r w:rsidRPr="009672FC">
              <w:rPr>
                <w:rFonts w:ascii="Garamond" w:hAnsi="Garamond" w:cs="Times New Roman"/>
                <w:lang w:val="en-US"/>
              </w:rPr>
              <w:t xml:space="preserve"> </w:t>
            </w:r>
            <w:r w:rsidRPr="009672FC">
              <w:rPr>
                <w:rFonts w:ascii="Garamond" w:hAnsi="Garamond" w:cs="Times New Roman"/>
                <w:lang w:val="en-US"/>
              </w:rPr>
              <w:fldChar w:fldCharType="begin" w:fldLock="1"/>
            </w:r>
            <w:r w:rsidR="00813D37" w:rsidRPr="009672FC">
              <w:rPr>
                <w:rFonts w:ascii="Garamond" w:hAnsi="Garamond" w:cs="Times New Roman"/>
                <w:lang w:val="en-US"/>
              </w:rPr>
              <w:instrText>ADDIN CSL_CITATION {"citationItems":[{"id":"ITEM-1","itemData":{"DOI":"10.1016/j.techfore.2010.02.006","ISSN":"00401625","abstract":"The business value of information technology is an enduring research question. This research provides new insights to better understand the mechanisms supporting this relation by analyzing the impact of knowledge management tools (KMTs) on the performances of business units involved in inter-firm collaborative innovation projects. We extend current literature by developing and empirically testing a model where: (1) the use of KMTs is affected by critical organizational variables, (2) KMTs can impact the innovation and financial performances of business units. We find that mutual trust and culture for change do not affect the extent of the use of KMTs, while collaborative experience and naturalness in using ICTs as substitutive of face-to-face contacts have a significant impact. Moreover, we show that a more intense use of KMTs has a direct positive effect on new product performance and speed to market, as well as on financial performance. Yet, only new product performance acts as an indirect conduit linking KMT use and financial performances. This article provides a discussion and perspectives of further research concerning the impact of KMTs on innovation practices in inter-firm collaborative environments. © 2010 Elsevier Inc.","author":[{"dropping-particle":"","family":"Vaccaro","given":"Antonino","non-dropping-particle":"","parse-names":false,"suffix":""},{"dropping-particle":"","family":"Parente","given":"Ronaldo","non-dropping-particle":"","parse-names":false,"suffix":""},{"dropping-particle":"","family":"Veloso","given":"Francisco M.","non-dropping-particle":"","parse-names":false,"suffix":""}],"container-title":"Technological Forecasting and Social Change","id":"ITEM-1","issue":"7","issued":{"date-parts":[["2010"]]},"page":"1076-1089","publisher":"Elsevier Inc.","title":"Knowledge Management Tools, Inter-Organizational Relationships, Innovation and Firm Performance","type":"article-journal","volume":"77"},"uris":["http://www.mendeley.com/documents/?uuid=523d9811-4f4b-4095-952b-82fa98aa3457"]}],"mendeley":{"formattedCitation":"(Vaccaro et al., 2010)","manualFormatting":"Vaccaro, Parente and Veloso, 2010)","plainTextFormattedCitation":"(Vaccaro et al., 2010)","previouslyFormattedCitation":"(Vaccaro, Parente and Veloso, 2010)"},"properties":{"noteIndex":0},"schema":"https://github.com/citation-style-language/schema/raw/master/csl-citation.json"}</w:instrText>
            </w:r>
            <w:r w:rsidRPr="009672FC">
              <w:rPr>
                <w:rFonts w:ascii="Garamond" w:hAnsi="Garamond" w:cs="Times New Roman"/>
                <w:lang w:val="en-US"/>
              </w:rPr>
              <w:fldChar w:fldCharType="separate"/>
            </w:r>
            <w:r w:rsidRPr="009672FC">
              <w:rPr>
                <w:rFonts w:ascii="Garamond" w:hAnsi="Garamond" w:cs="Times New Roman"/>
                <w:noProof/>
                <w:lang w:val="en-US"/>
              </w:rPr>
              <w:t>Vaccaro, Parente and Veloso, 2010)</w:t>
            </w:r>
            <w:r w:rsidRPr="009672FC">
              <w:rPr>
                <w:rFonts w:ascii="Garamond" w:hAnsi="Garamond" w:cs="Times New Roman"/>
                <w:lang w:val="en-US"/>
              </w:rPr>
              <w:fldChar w:fldCharType="end"/>
            </w:r>
            <w:r w:rsidRPr="009672FC">
              <w:rPr>
                <w:rFonts w:ascii="Garamond" w:hAnsi="Garamond" w:cs="Times New Roman"/>
                <w:lang w:val="en-US"/>
              </w:rPr>
              <w:t>.</w:t>
            </w:r>
          </w:p>
        </w:tc>
      </w:tr>
    </w:tbl>
    <w:p w14:paraId="35810247" w14:textId="77777777" w:rsidR="005C5F35" w:rsidRPr="009672FC" w:rsidRDefault="005C5F35" w:rsidP="005C5F35">
      <w:pPr>
        <w:rPr>
          <w:rFonts w:ascii="Garamond" w:hAnsi="Garamond"/>
        </w:rPr>
      </w:pPr>
    </w:p>
    <w:p w14:paraId="3290C1B9" w14:textId="1B7E0926" w:rsidR="00890FB2" w:rsidRPr="00205681" w:rsidRDefault="007549AA" w:rsidP="00205681">
      <w:pPr>
        <w:pStyle w:val="Heading1"/>
        <w:spacing w:before="0"/>
        <w:rPr>
          <w:rFonts w:ascii="Garamond" w:hAnsi="Garamond" w:cs="Times New Roman"/>
          <w:b/>
          <w:color w:val="auto"/>
          <w:sz w:val="24"/>
          <w:szCs w:val="24"/>
        </w:rPr>
      </w:pPr>
      <w:bookmarkStart w:id="261" w:name="_Toc85708787"/>
      <w:bookmarkStart w:id="262" w:name="_Toc85709803"/>
      <w:r w:rsidRPr="009672FC">
        <w:rPr>
          <w:rFonts w:ascii="Garamond" w:hAnsi="Garamond" w:cs="Times New Roman"/>
          <w:b/>
          <w:color w:val="auto"/>
          <w:sz w:val="24"/>
          <w:szCs w:val="24"/>
        </w:rPr>
        <w:lastRenderedPageBreak/>
        <w:t xml:space="preserve">Appendix </w:t>
      </w:r>
      <w:r w:rsidR="00791631" w:rsidRPr="009672FC">
        <w:rPr>
          <w:rFonts w:ascii="Garamond" w:hAnsi="Garamond" w:cs="Times New Roman"/>
          <w:b/>
          <w:color w:val="auto"/>
          <w:sz w:val="24"/>
          <w:szCs w:val="24"/>
        </w:rPr>
        <w:t xml:space="preserve">4. </w:t>
      </w:r>
      <w:r w:rsidRPr="009672FC">
        <w:rPr>
          <w:rFonts w:ascii="Garamond" w:hAnsi="Garamond" w:cs="Times New Roman"/>
          <w:b/>
          <w:color w:val="auto"/>
          <w:sz w:val="24"/>
          <w:szCs w:val="24"/>
        </w:rPr>
        <w:t xml:space="preserve">Agenda </w:t>
      </w:r>
      <w:r w:rsidR="005C5F35" w:rsidRPr="009672FC">
        <w:rPr>
          <w:rFonts w:ascii="Garamond" w:hAnsi="Garamond" w:cs="Times New Roman"/>
          <w:b/>
          <w:color w:val="auto"/>
          <w:sz w:val="24"/>
          <w:szCs w:val="24"/>
        </w:rPr>
        <w:t>for Future Research</w:t>
      </w:r>
      <w:bookmarkEnd w:id="261"/>
      <w:bookmarkEnd w:id="262"/>
    </w:p>
    <w:tbl>
      <w:tblPr>
        <w:tblpPr w:leftFromText="180" w:rightFromText="180" w:vertAnchor="text" w:tblpX="-455" w:tblpY="1"/>
        <w:tblW w:w="9900" w:type="dxa"/>
        <w:tblLayout w:type="fixed"/>
        <w:tblLook w:val="04A0" w:firstRow="1" w:lastRow="0" w:firstColumn="1" w:lastColumn="0" w:noHBand="0" w:noVBand="1"/>
      </w:tblPr>
      <w:tblGrid>
        <w:gridCol w:w="2057"/>
        <w:gridCol w:w="5480"/>
        <w:gridCol w:w="2363"/>
      </w:tblGrid>
      <w:tr w:rsidR="003D5DE8" w:rsidRPr="009672FC" w14:paraId="1ED71833" w14:textId="77777777" w:rsidTr="005C5F35">
        <w:trPr>
          <w:trHeight w:val="200"/>
        </w:trPr>
        <w:tc>
          <w:tcPr>
            <w:tcW w:w="2057" w:type="dxa"/>
            <w:tcBorders>
              <w:top w:val="single" w:sz="4" w:space="0" w:color="000000"/>
              <w:bottom w:val="single" w:sz="4" w:space="0" w:color="000000"/>
            </w:tcBorders>
          </w:tcPr>
          <w:p w14:paraId="14C4447E" w14:textId="77777777" w:rsidR="003D5DE8" w:rsidRPr="009672FC" w:rsidRDefault="007549AA" w:rsidP="005C5F35">
            <w:pPr>
              <w:widowControl w:val="0"/>
              <w:spacing w:line="360" w:lineRule="auto"/>
              <w:jc w:val="both"/>
              <w:rPr>
                <w:rFonts w:ascii="Garamond" w:hAnsi="Garamond"/>
                <w:b/>
                <w:bCs/>
                <w:sz w:val="22"/>
                <w:szCs w:val="22"/>
              </w:rPr>
            </w:pPr>
            <w:r w:rsidRPr="009672FC">
              <w:rPr>
                <w:rFonts w:ascii="Garamond" w:hAnsi="Garamond"/>
                <w:b/>
                <w:bCs/>
                <w:sz w:val="22"/>
                <w:szCs w:val="22"/>
              </w:rPr>
              <w:t>Category</w:t>
            </w:r>
          </w:p>
        </w:tc>
        <w:tc>
          <w:tcPr>
            <w:tcW w:w="5480" w:type="dxa"/>
            <w:tcBorders>
              <w:top w:val="single" w:sz="4" w:space="0" w:color="000000"/>
              <w:bottom w:val="single" w:sz="4" w:space="0" w:color="000000"/>
            </w:tcBorders>
          </w:tcPr>
          <w:p w14:paraId="48845F21" w14:textId="77777777" w:rsidR="003D5DE8" w:rsidRPr="009672FC" w:rsidRDefault="007549AA" w:rsidP="005C5F35">
            <w:pPr>
              <w:widowControl w:val="0"/>
              <w:spacing w:line="360" w:lineRule="auto"/>
              <w:jc w:val="both"/>
              <w:rPr>
                <w:rFonts w:ascii="Garamond" w:hAnsi="Garamond"/>
                <w:b/>
                <w:bCs/>
                <w:sz w:val="22"/>
                <w:szCs w:val="22"/>
              </w:rPr>
            </w:pPr>
            <w:r w:rsidRPr="009672FC">
              <w:rPr>
                <w:rFonts w:ascii="Garamond" w:hAnsi="Garamond"/>
                <w:b/>
                <w:bCs/>
                <w:sz w:val="22"/>
                <w:szCs w:val="22"/>
              </w:rPr>
              <w:t>Future research</w:t>
            </w:r>
          </w:p>
        </w:tc>
        <w:tc>
          <w:tcPr>
            <w:tcW w:w="2363" w:type="dxa"/>
            <w:tcBorders>
              <w:top w:val="single" w:sz="4" w:space="0" w:color="000000"/>
              <w:bottom w:val="single" w:sz="4" w:space="0" w:color="000000"/>
            </w:tcBorders>
          </w:tcPr>
          <w:p w14:paraId="19424829" w14:textId="77777777" w:rsidR="003D5DE8" w:rsidRPr="009672FC" w:rsidRDefault="007549AA" w:rsidP="005C5F35">
            <w:pPr>
              <w:widowControl w:val="0"/>
              <w:spacing w:line="360" w:lineRule="auto"/>
              <w:jc w:val="both"/>
              <w:rPr>
                <w:rFonts w:ascii="Garamond" w:hAnsi="Garamond"/>
                <w:b/>
                <w:bCs/>
              </w:rPr>
            </w:pPr>
            <w:r w:rsidRPr="009672FC">
              <w:rPr>
                <w:rFonts w:ascii="Garamond" w:hAnsi="Garamond"/>
                <w:b/>
                <w:bCs/>
              </w:rPr>
              <w:t>Authors</w:t>
            </w:r>
          </w:p>
        </w:tc>
      </w:tr>
      <w:tr w:rsidR="003D5DE8" w:rsidRPr="009672FC" w14:paraId="70D780F8" w14:textId="77777777" w:rsidTr="005C5F35">
        <w:trPr>
          <w:trHeight w:val="421"/>
        </w:trPr>
        <w:tc>
          <w:tcPr>
            <w:tcW w:w="2057" w:type="dxa"/>
            <w:vMerge w:val="restart"/>
            <w:tcBorders>
              <w:top w:val="single" w:sz="4" w:space="0" w:color="000000"/>
              <w:bottom w:val="single" w:sz="4" w:space="0" w:color="000000"/>
            </w:tcBorders>
          </w:tcPr>
          <w:p w14:paraId="3CC8250F" w14:textId="77777777" w:rsidR="003D5DE8" w:rsidRPr="009672FC" w:rsidRDefault="003D5DE8" w:rsidP="005C5F35">
            <w:pPr>
              <w:widowControl w:val="0"/>
              <w:spacing w:line="360" w:lineRule="auto"/>
              <w:jc w:val="both"/>
              <w:rPr>
                <w:rFonts w:ascii="Garamond" w:hAnsi="Garamond"/>
                <w:sz w:val="22"/>
                <w:szCs w:val="22"/>
              </w:rPr>
            </w:pPr>
          </w:p>
          <w:p w14:paraId="654283B1" w14:textId="77777777" w:rsidR="003D5DE8" w:rsidRPr="009672FC" w:rsidRDefault="003D5DE8" w:rsidP="005C5F35">
            <w:pPr>
              <w:widowControl w:val="0"/>
              <w:spacing w:line="360" w:lineRule="auto"/>
              <w:jc w:val="both"/>
              <w:rPr>
                <w:rFonts w:ascii="Garamond" w:hAnsi="Garamond"/>
                <w:sz w:val="22"/>
                <w:szCs w:val="22"/>
              </w:rPr>
            </w:pPr>
          </w:p>
          <w:p w14:paraId="43C315EF" w14:textId="77777777" w:rsidR="003D5DE8" w:rsidRPr="009672FC" w:rsidRDefault="003D5DE8" w:rsidP="005C5F35">
            <w:pPr>
              <w:widowControl w:val="0"/>
              <w:spacing w:line="360" w:lineRule="auto"/>
              <w:jc w:val="both"/>
              <w:rPr>
                <w:rFonts w:ascii="Garamond" w:hAnsi="Garamond"/>
                <w:sz w:val="22"/>
                <w:szCs w:val="22"/>
              </w:rPr>
            </w:pPr>
          </w:p>
          <w:p w14:paraId="2E2D5C99" w14:textId="77777777" w:rsidR="003D5DE8" w:rsidRPr="009672FC" w:rsidRDefault="003D5DE8" w:rsidP="005C5F35">
            <w:pPr>
              <w:widowControl w:val="0"/>
              <w:spacing w:line="360" w:lineRule="auto"/>
              <w:jc w:val="both"/>
              <w:rPr>
                <w:rFonts w:ascii="Garamond" w:hAnsi="Garamond"/>
                <w:sz w:val="22"/>
                <w:szCs w:val="22"/>
              </w:rPr>
            </w:pPr>
          </w:p>
          <w:p w14:paraId="1D462D34" w14:textId="77777777" w:rsidR="003D5DE8" w:rsidRPr="009672FC" w:rsidRDefault="003D5DE8" w:rsidP="005C5F35">
            <w:pPr>
              <w:widowControl w:val="0"/>
              <w:spacing w:line="360" w:lineRule="auto"/>
              <w:jc w:val="both"/>
              <w:rPr>
                <w:rFonts w:ascii="Garamond" w:hAnsi="Garamond"/>
                <w:sz w:val="22"/>
                <w:szCs w:val="22"/>
              </w:rPr>
            </w:pPr>
          </w:p>
          <w:p w14:paraId="2840F2A4" w14:textId="77777777" w:rsidR="003D5DE8" w:rsidRPr="009672FC" w:rsidRDefault="003D5DE8" w:rsidP="005C5F35">
            <w:pPr>
              <w:widowControl w:val="0"/>
              <w:spacing w:line="360" w:lineRule="auto"/>
              <w:jc w:val="both"/>
              <w:rPr>
                <w:rFonts w:ascii="Garamond" w:hAnsi="Garamond"/>
                <w:sz w:val="22"/>
                <w:szCs w:val="22"/>
              </w:rPr>
            </w:pPr>
          </w:p>
          <w:p w14:paraId="5EA953BE" w14:textId="77777777" w:rsidR="003D5DE8" w:rsidRPr="009672FC" w:rsidRDefault="003D5DE8" w:rsidP="005C5F35">
            <w:pPr>
              <w:widowControl w:val="0"/>
              <w:spacing w:line="360" w:lineRule="auto"/>
              <w:jc w:val="both"/>
              <w:rPr>
                <w:rFonts w:ascii="Garamond" w:hAnsi="Garamond"/>
                <w:sz w:val="22"/>
                <w:szCs w:val="22"/>
              </w:rPr>
            </w:pPr>
          </w:p>
          <w:p w14:paraId="20FE9BE2"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Relational ties</w:t>
            </w:r>
          </w:p>
        </w:tc>
        <w:tc>
          <w:tcPr>
            <w:tcW w:w="5480" w:type="dxa"/>
            <w:tcBorders>
              <w:top w:val="single" w:sz="4" w:space="0" w:color="000000"/>
            </w:tcBorders>
          </w:tcPr>
          <w:p w14:paraId="62AEEA3E"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relationships between relational benefits and relational risk in inter-organizational information sharing between supply chain members.</w:t>
            </w:r>
          </w:p>
        </w:tc>
        <w:tc>
          <w:tcPr>
            <w:tcW w:w="2363" w:type="dxa"/>
            <w:tcBorders>
              <w:top w:val="single" w:sz="4" w:space="0" w:color="000000"/>
            </w:tcBorders>
          </w:tcPr>
          <w:p w14:paraId="6B5D2EC1"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{"citationItems":[{"id":"ITEM-1","itemData":{"DOI":"10.1007/s10799-013-0165-x","ISSN":"1385951X","abstract":"This research explores how inter-organizational relationship interacts with factors affecting the develop- ment and implementation of information sharing. On the basis of the resource-based view and relational risk per- spective, we developed a model which comprises three research hypotheses with three constructs, including rela- tional benefits, relational risk, and information sharing. The constructs are measured by well-supported measures in the literature. Structural equation modeling was used to ana- lyze survey data collected from 528 manufacturing firms that were among the top 1,000 Taiwanese manufacturing firms of 2011 listed by Business Weekly. The results of the empirical study suggest that relational benefits are critical in ensuring information sharing and mitigate relational risk in the process. The findings of the study provide useful insights into how supply chain members can reinforce their relational benefits and mitigate probable risks so as to improve their collaborative behaviors and in turn enhance information sharing for the supply chain as a whole.","author":[{"dropping-particle":"","family":"Cheng","given":"Jao Hong","non-dropping-particle":"","parse-names":false,"suffix":""},{"dropping-particle":"","family":"Chen","given":"Shu Wei","non-dropping-particle":"","parse-names":false,"suffix":""},{"dropping-particle":"","family":"Chen","given":"Fang Yuan","non-dropping-particle":"","parse-names":false,"suffix":""}],"container-title":"Information Technology and Management","id":"ITEM-1","issue":"4","issued":{"date-parts":[["2013"]]},"page":"283-294","title":"Exploring how inter-organizational relational benefits affect information sharing in supply chains","type":"article-journal","volume":"14"},"uris":["http://www.mendeley.com/documents/?uuid=fb367dbc-d533-4535-815e-5c6a26a6bf91"]}],"mendeley":{"formattedCitation":"(Cheng et al., 2013)","manualFormatting":"Cheng, Chen and Chen (2013)","plainTextFormattedCitation":"(Cheng et al., 2013)","previouslyFormattedCitation":"(Cheng et al., 2013)"},"properties":{"noteIndex":0},"schema":"https://github.com/citation-style-language/schema/raw/master/csl-citation.json"}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Cheng, Chen and Chen (2013)</w:t>
            </w:r>
            <w:r w:rsidRPr="009672FC">
              <w:rPr>
                <w:rFonts w:ascii="Garamond" w:hAnsi="Garamond"/>
              </w:rPr>
              <w:fldChar w:fldCharType="end"/>
            </w:r>
          </w:p>
        </w:tc>
      </w:tr>
      <w:tr w:rsidR="003D5DE8" w:rsidRPr="009672FC" w14:paraId="7C9714EB" w14:textId="77777777" w:rsidTr="005C5F35">
        <w:trPr>
          <w:trHeight w:val="421"/>
        </w:trPr>
        <w:tc>
          <w:tcPr>
            <w:tcW w:w="2057" w:type="dxa"/>
            <w:vMerge/>
          </w:tcPr>
          <w:p w14:paraId="167BA8CD"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210779F2"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Investigate the variables that may moderate the relationship between relational bonding, the development of collaborative behavioural processes and performance.</w:t>
            </w:r>
          </w:p>
        </w:tc>
        <w:tc>
          <w:tcPr>
            <w:tcW w:w="2363" w:type="dxa"/>
          </w:tcPr>
          <w:p w14:paraId="36DDF89B"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{"citationItems":[{"id":"ITEM-1","itemData":{"DOI":"10.1016/S1075-4253(98)00009-X","ISBN":"5173536381","ISSN":"10754253","abstract":"This article proposes that relational bonding, a concept that measures the strength of a collaborative relationship, mediates between ex-ante alliance variables, namely compatibility, role clarity, resource interdependence, and termination costs and collaborative behavioral processes. The authors theorize bonding to be manifest through two underlying dimensions, namely trust and commitment, and empirically substantiate this assertion. © 1998 Elsevier Science Inc.","author":[{"dropping-particle":"","family":"Sarkar","given":"M. B.","non-dropping-particle":"","parse-names":false,"suffix":""},{"dropping-particle":"","family":"Aulakh","given":"Preet S.","non-dropping-particle":"","parse-names":false,"suffix":""},{"dropping-particle":"","family":"Cavusgil","given":"S. Tamer","non-dropping-particle":"","parse-names":false,"suffix":""}],"container-title":"Journal of International Management","id":"ITEM-1","issue":"2","issued":{"date-parts":[["1998"]]},"page":"85-107","title":"The strategic role of relational bonding in interorganizational collaborations: An empirical study of the global construction industry","type":"article-journal","volume":"4"},"uris":["http://www.mendeley.com/documents/?uuid=59e9f75b-cfd8-4d89-b9e4-4e569dc07d8a"]}],"mendeley":{"formattedCitation":"(Sarkar et al., 1998)","manualFormatting":"Sarkar, Aulakh and Cavusgil (1998)","plainTextFormattedCitation":"(Sarkar et al., 1998)","previouslyFormattedCitation":"(Sarkar et al.,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Sarkar, Aulakh and Cavusgil (1998)</w:t>
            </w:r>
            <w:r w:rsidRPr="009672FC">
              <w:rPr>
                <w:rFonts w:ascii="Garamond" w:hAnsi="Garamond"/>
              </w:rPr>
              <w:fldChar w:fldCharType="end"/>
            </w:r>
          </w:p>
        </w:tc>
      </w:tr>
      <w:tr w:rsidR="003D5DE8" w:rsidRPr="009672FC" w14:paraId="35BAB730" w14:textId="77777777" w:rsidTr="005C5F35">
        <w:trPr>
          <w:trHeight w:val="421"/>
        </w:trPr>
        <w:tc>
          <w:tcPr>
            <w:tcW w:w="2057" w:type="dxa"/>
            <w:vMerge/>
          </w:tcPr>
          <w:p w14:paraId="4B0A6791"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69340A9A"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Focus on participatory observation on how the project alliance contractual form can provide an ex-ante foundation for trust development between the client and the contractor organizations.</w:t>
            </w:r>
          </w:p>
        </w:tc>
        <w:tc>
          <w:tcPr>
            <w:tcW w:w="2363" w:type="dxa"/>
          </w:tcPr>
          <w:p w14:paraId="0C87A97D" w14:textId="77777777" w:rsidR="003D5DE8" w:rsidRPr="009672FC" w:rsidRDefault="003D5DE8" w:rsidP="005C5F35">
            <w:pPr>
              <w:widowControl w:val="0"/>
              <w:spacing w:line="360" w:lineRule="auto"/>
              <w:jc w:val="both"/>
              <w:rPr>
                <w:rFonts w:ascii="Garamond" w:hAnsi="Garamond"/>
              </w:rPr>
            </w:pPr>
          </w:p>
          <w:p w14:paraId="4B7DD755"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{"citationItems":[{"id":"ITEM-1","itemData":{"DOI":"10.1016/j.pursup.2010.11.001","ISSN":"14784092","abstract":"This paper generates insights into the establishment and maintenance of cooperative, trusting relationships in partnering projects between client and contractor organizations. For this purpose we first explore the concept of trust, and review the literature on trust in inter-organizational relationships. We describe how trust is related to risk, control and performance, and how initial conditions and expectations may lead to positive cycles of increasing trust or, in contrast, to negative cycles of decreasing trust. We confront this stylized theoretical description of inter-organizational trust dynamics with rich data from a project alliance in railroad construction in the Netherlands. We conclude that the initial conditions of this project alliance were conducive to trust, both in terms of opportunities and incentives. However, virtuous trust dynamics do not develop automatically, in particular in the construction industry that has a heritage of adversarial relationships between clients and contractors. The organizations in our case study took some deliberate actions to overcome these adversarial relations, like selection of key employees, increasing informal interactions between these employees and stimulating openness and transparency. © 2010 Elsevier Ltd.","author":[{"dropping-particle":"","family":"Laan","given":"Albertus","non-dropping-particle":"","parse-names":false,"suffix":""},{"dropping-particle":"","family":"Noorderhaven","given":"Niels","non-dropping-particle":"","parse-names":false,"suffix":""},{"dropping-particle":"","family":"Voordijk","given":"Hans","non-dropping-particle":"","parse-names":false,"suffix":""},{"dropping-particle":"","family":"Dewulf","given":"Geert","non-dropping-particle":"","parse-names":false,"suffix":""}],"container-title":"Journal of Purchasing and Supply Management","id":"ITEM-1","issue":"2","issued":{"date-parts":[["2011"]]},"page":"98-108","publisher":"Elsevier","title":"Building trust in construction partnering projects: An exploratory case-study","type":"article-journal","volume":"17"},"uris":["http://www.mendeley.com/documents/?uuid=97dcadfc-b47b-4c26-9dd1-3530363af522"]}],"mendeley":{"formattedCitation":"(Laan et al., 2011)","manualFormatting":"Laan et al. (2011)","plainTextFormattedCitation":"(Laan et al., 2011)","previouslyFormattedCitation":"(Laan et al.,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Laan et al. (2011)</w:t>
            </w:r>
            <w:r w:rsidRPr="009672FC">
              <w:rPr>
                <w:rFonts w:ascii="Garamond" w:hAnsi="Garamond"/>
              </w:rPr>
              <w:fldChar w:fldCharType="end"/>
            </w:r>
          </w:p>
        </w:tc>
      </w:tr>
      <w:tr w:rsidR="003D5DE8" w:rsidRPr="009672FC" w14:paraId="521DD7ED" w14:textId="77777777" w:rsidTr="005C5F35">
        <w:trPr>
          <w:trHeight w:val="421"/>
        </w:trPr>
        <w:tc>
          <w:tcPr>
            <w:tcW w:w="2057" w:type="dxa"/>
            <w:vMerge/>
          </w:tcPr>
          <w:p w14:paraId="57128813"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7CFB205C"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processes of trust development, and in particular the constitution of inter-organizational trust through interpersonal trust, in other types of construction projects, governed by partners as well as by more traditional contracts.</w:t>
            </w:r>
          </w:p>
        </w:tc>
        <w:tc>
          <w:tcPr>
            <w:tcW w:w="2363" w:type="dxa"/>
          </w:tcPr>
          <w:p w14:paraId="491552FF"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{"citationItems":[{"id":"ITEM-1","itemData":{"DOI":"10.1016/j.pursup.2010.11.001","ISSN":"14784092","abstract":"This paper generates insights into the establishment and maintenance of cooperative, trusting relationships in partnering projects between client and contractor organizations. For this purpose we first explore the concept of trust, and review the literature on trust in inter-organizational relationships. We describe how trust is related to risk, control and performance, and how initial conditions and expectations may lead to positive cycles of increasing trust or, in contrast, to negative cycles of decreasing trust. We confront this stylized theoretical description of inter-organizational trust dynamics with rich data from a project alliance in railroad construction in the Netherlands. We conclude that the initial conditions of this project alliance were conducive to trust, both in terms of opportunities and incentives. However, virtuous trust dynamics do not develop automatically, in particular in the construction industry that has a heritage of adversarial relationships between clients and contractors. The organizations in our case study took some deliberate actions to overcome these adversarial relations, like selection of key employees, increasing informal interactions between these employees and stimulating openness and transparency. © 2010 Elsevier Ltd.","author":[{"dropping-particle":"","family":"Laan","given":"Albertus","non-dropping-particle":"","parse-names":false,"suffix":""},{"dropping-particle":"","family":"Noorderhaven","given":"Niels","non-dropping-particle":"","parse-names":false,"suffix":""},{"dropping-particle":"","family":"Voordijk","given":"Hans","non-dropping-particle":"","parse-names":false,"suffix":""},{"dropping-particle":"","family":"Dewulf","given":"Geert","non-dropping-particle":"","parse-names":false,"suffix":""}],"container-title":"Journal of Purchasing and Supply Management","id":"ITEM-1","issue":"2","issued":{"date-parts":[["2011"]]},"page":"98-108","publisher":"Elsevier","title":"Building trust in construction partnering projects: An exploratory case-study","type":"article-journal","volume":"17"},"uris":["http://www.mendeley.com/documents/?uuid=97dcadfc-b47b-4c26-9dd1-3530363af522"]}],"mendeley":{"formattedCitation":"(Laan et al., 2011)","manualFormatting":"Laan et al. (2011)","plainTextFormattedCitation":"(Laan et al., 2011)","previouslyFormattedCitation":"(Laan et al., 2011)"},"properties":{"noteIndex":0},"schema":"https://github.com/citation-style-language/schema/raw/master/csl-citation.json"}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Laan et al. (2011)</w:t>
            </w:r>
            <w:r w:rsidRPr="009672FC">
              <w:rPr>
                <w:rFonts w:ascii="Garamond" w:hAnsi="Garamond"/>
              </w:rPr>
              <w:fldChar w:fldCharType="end"/>
            </w:r>
          </w:p>
        </w:tc>
      </w:tr>
      <w:tr w:rsidR="003D5DE8" w:rsidRPr="009672FC" w14:paraId="487E27C1" w14:textId="77777777" w:rsidTr="005C5F35">
        <w:trPr>
          <w:trHeight w:val="421"/>
        </w:trPr>
        <w:tc>
          <w:tcPr>
            <w:tcW w:w="2057" w:type="dxa"/>
            <w:vMerge/>
            <w:tcBorders>
              <w:bottom w:val="single" w:sz="4" w:space="0" w:color="000000"/>
            </w:tcBorders>
          </w:tcPr>
          <w:p w14:paraId="5DF19063" w14:textId="77777777" w:rsidR="003D5DE8" w:rsidRPr="009672FC" w:rsidRDefault="003D5DE8" w:rsidP="005C5F35">
            <w:pPr>
              <w:widowControl w:val="0"/>
              <w:spacing w:line="360" w:lineRule="auto"/>
              <w:jc w:val="both"/>
              <w:rPr>
                <w:rFonts w:ascii="Garamond" w:hAnsi="Garamond"/>
                <w:sz w:val="22"/>
                <w:szCs w:val="22"/>
              </w:rPr>
            </w:pPr>
          </w:p>
        </w:tc>
        <w:tc>
          <w:tcPr>
            <w:tcW w:w="5480" w:type="dxa"/>
            <w:tcBorders>
              <w:bottom w:val="single" w:sz="4" w:space="0" w:color="000000"/>
            </w:tcBorders>
          </w:tcPr>
          <w:p w14:paraId="173D1862"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Future research may look at other moderators or mediators of trust development such as aversion to risk, business industry, length of relationship with a specific supplier, gender, rapport with individual representatives of a firm or the differences between small and large businesses.</w:t>
            </w:r>
          </w:p>
        </w:tc>
        <w:tc>
          <w:tcPr>
            <w:tcW w:w="2363" w:type="dxa"/>
            <w:tcBorders>
              <w:bottom w:val="single" w:sz="4" w:space="0" w:color="000000"/>
            </w:tcBorders>
          </w:tcPr>
          <w:p w14:paraId="1DDD2917"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{"citationItems":[{"id":"ITEM-1","itemData":{"DOI":"10.1016/j.indmarman.2018.10.002","ISSN":"00198501","abstract":"Trust enjoys wide acceptance among scholars as a key facilitator of inter-organisational relationship development, and successful relationship development demands an understanding of what drives the propensity to trust between organisations within both cognitive and affective dimensions of trust. The six most salient antecedents of trust within contemporary trust literature have been identified as satisfaction, communication, competence, shared values, benevolence and integrity. This research suggests that co-creation is also an important antecedent of trust in business-to-business relationships. Co-creation is described here as the active participation, interactions and collaboration of the buyer and seller and other actors in the marketing exchange to develop a deeper understanding of the customer problem solving context. The relative strength of the cognitive and affective aspects of trust antecedents, the moderating influence of business experience and seniority on the relationship between significant antecedents and trust is also explored. The analysis uses statistical tools and then probes deeper using fuzzy-set qualitative comparative analysis (fsQCA).","author":[{"dropping-particle":"","family":"Franklin","given":"Drew","non-dropping-particle":"","parse-names":false,"suffix":""},{"dropping-particle":"","family":"Marshall","given":"Roger","non-dropping-particle":"","parse-names":false,"suffix":""}],"container-title":"Industrial Marketing Management","id":"ITEM-1","issue":"October 2018","issued":{"date-parts":[["2019"]]},"page":"170-181","publisher":"Elsevier","title":"Adding co-creation as an antecedent condition leading to trust in business-to-business relationships","type":"article-journal","volume":"77"},"uris":["http://www.mendeley.com/documents/?uuid=762041cb-4766-40cd-b0ee-06ca8c4c2190"]}],"mendeley":{"formattedCitation":"(Franklin &amp; Marshall, 2019)","manualFormatting":"Franklin and Marshall (2019)","plainTextFormattedCitation":"(Franklin &amp; Marshall, 2019)","previouslyFormattedCitation":"(Franklin &amp; Marshall,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Franklin and Marshall (2019)</w:t>
            </w:r>
            <w:r w:rsidRPr="009672FC">
              <w:rPr>
                <w:rFonts w:ascii="Garamond" w:hAnsi="Garamond"/>
              </w:rPr>
              <w:fldChar w:fldCharType="end"/>
            </w:r>
          </w:p>
        </w:tc>
      </w:tr>
      <w:tr w:rsidR="003D5DE8" w:rsidRPr="009672FC" w14:paraId="60297DDC" w14:textId="77777777" w:rsidTr="005C5F35">
        <w:trPr>
          <w:trHeight w:val="273"/>
        </w:trPr>
        <w:tc>
          <w:tcPr>
            <w:tcW w:w="2057" w:type="dxa"/>
            <w:vMerge w:val="restart"/>
            <w:tcBorders>
              <w:top w:val="single" w:sz="4" w:space="0" w:color="000000"/>
              <w:bottom w:val="single" w:sz="4" w:space="0" w:color="000000"/>
            </w:tcBorders>
          </w:tcPr>
          <w:p w14:paraId="2AC7ED22" w14:textId="77777777" w:rsidR="003D5DE8" w:rsidRPr="009672FC" w:rsidRDefault="003D5DE8" w:rsidP="005C5F35">
            <w:pPr>
              <w:widowControl w:val="0"/>
              <w:spacing w:line="360" w:lineRule="auto"/>
              <w:jc w:val="both"/>
              <w:rPr>
                <w:rFonts w:ascii="Garamond" w:hAnsi="Garamond"/>
                <w:sz w:val="22"/>
                <w:szCs w:val="22"/>
              </w:rPr>
            </w:pPr>
          </w:p>
          <w:p w14:paraId="52E0F8E8" w14:textId="77777777" w:rsidR="003D5DE8" w:rsidRPr="009672FC" w:rsidRDefault="003D5DE8" w:rsidP="005C5F35">
            <w:pPr>
              <w:widowControl w:val="0"/>
              <w:spacing w:line="360" w:lineRule="auto"/>
              <w:jc w:val="both"/>
              <w:rPr>
                <w:rFonts w:ascii="Garamond" w:hAnsi="Garamond"/>
                <w:sz w:val="22"/>
                <w:szCs w:val="22"/>
              </w:rPr>
            </w:pPr>
          </w:p>
          <w:p w14:paraId="1BB9C808" w14:textId="77777777" w:rsidR="003D5DE8" w:rsidRPr="009672FC" w:rsidRDefault="003D5DE8" w:rsidP="005C5F35">
            <w:pPr>
              <w:widowControl w:val="0"/>
              <w:spacing w:line="360" w:lineRule="auto"/>
              <w:jc w:val="both"/>
              <w:rPr>
                <w:rFonts w:ascii="Garamond" w:hAnsi="Garamond"/>
                <w:sz w:val="22"/>
                <w:szCs w:val="22"/>
              </w:rPr>
            </w:pPr>
          </w:p>
          <w:p w14:paraId="413B9606" w14:textId="77777777" w:rsidR="003D5DE8" w:rsidRPr="009672FC" w:rsidRDefault="003D5DE8" w:rsidP="005C5F35">
            <w:pPr>
              <w:widowControl w:val="0"/>
              <w:spacing w:line="360" w:lineRule="auto"/>
              <w:jc w:val="both"/>
              <w:rPr>
                <w:rFonts w:ascii="Garamond" w:hAnsi="Garamond"/>
                <w:sz w:val="22"/>
                <w:szCs w:val="22"/>
              </w:rPr>
            </w:pPr>
          </w:p>
          <w:p w14:paraId="25F74A16" w14:textId="77777777" w:rsidR="003D5DE8" w:rsidRPr="009672FC" w:rsidRDefault="003D5DE8" w:rsidP="005C5F35">
            <w:pPr>
              <w:widowControl w:val="0"/>
              <w:spacing w:line="360" w:lineRule="auto"/>
              <w:jc w:val="both"/>
              <w:rPr>
                <w:rFonts w:ascii="Garamond" w:hAnsi="Garamond"/>
                <w:sz w:val="22"/>
                <w:szCs w:val="22"/>
              </w:rPr>
            </w:pPr>
          </w:p>
          <w:p w14:paraId="1AE1E2AB" w14:textId="77777777" w:rsidR="003D5DE8" w:rsidRPr="009672FC" w:rsidRDefault="003D5DE8" w:rsidP="005C5F35">
            <w:pPr>
              <w:widowControl w:val="0"/>
              <w:spacing w:line="360" w:lineRule="auto"/>
              <w:jc w:val="both"/>
              <w:rPr>
                <w:rFonts w:ascii="Garamond" w:hAnsi="Garamond"/>
                <w:sz w:val="22"/>
                <w:szCs w:val="22"/>
              </w:rPr>
            </w:pPr>
          </w:p>
          <w:p w14:paraId="66C18832" w14:textId="77777777" w:rsidR="003D5DE8" w:rsidRPr="009672FC" w:rsidRDefault="003D5DE8" w:rsidP="005C5F35">
            <w:pPr>
              <w:widowControl w:val="0"/>
              <w:spacing w:line="360" w:lineRule="auto"/>
              <w:jc w:val="both"/>
              <w:rPr>
                <w:rFonts w:ascii="Garamond" w:hAnsi="Garamond"/>
                <w:sz w:val="22"/>
                <w:szCs w:val="22"/>
              </w:rPr>
            </w:pPr>
          </w:p>
          <w:p w14:paraId="2992CA58" w14:textId="77777777" w:rsidR="003D5DE8" w:rsidRPr="009672FC" w:rsidRDefault="003D5DE8" w:rsidP="005C5F35">
            <w:pPr>
              <w:widowControl w:val="0"/>
              <w:spacing w:line="360" w:lineRule="auto"/>
              <w:jc w:val="both"/>
              <w:rPr>
                <w:rFonts w:ascii="Garamond" w:hAnsi="Garamond"/>
                <w:sz w:val="22"/>
                <w:szCs w:val="22"/>
              </w:rPr>
            </w:pPr>
          </w:p>
          <w:p w14:paraId="7F69662F" w14:textId="77777777" w:rsidR="003D5DE8" w:rsidRPr="009672FC" w:rsidRDefault="003D5DE8" w:rsidP="005C5F35">
            <w:pPr>
              <w:widowControl w:val="0"/>
              <w:spacing w:line="360" w:lineRule="auto"/>
              <w:jc w:val="both"/>
              <w:rPr>
                <w:rFonts w:ascii="Garamond" w:hAnsi="Garamond"/>
                <w:sz w:val="22"/>
                <w:szCs w:val="22"/>
              </w:rPr>
            </w:pPr>
          </w:p>
          <w:p w14:paraId="09821F93" w14:textId="77777777" w:rsidR="003D5DE8" w:rsidRPr="009672FC" w:rsidRDefault="003D5DE8" w:rsidP="005C5F35">
            <w:pPr>
              <w:widowControl w:val="0"/>
              <w:spacing w:line="360" w:lineRule="auto"/>
              <w:jc w:val="both"/>
              <w:rPr>
                <w:rFonts w:ascii="Garamond" w:hAnsi="Garamond"/>
                <w:sz w:val="22"/>
                <w:szCs w:val="22"/>
              </w:rPr>
            </w:pPr>
          </w:p>
          <w:p w14:paraId="6001FFAD"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Network management</w:t>
            </w:r>
          </w:p>
        </w:tc>
        <w:tc>
          <w:tcPr>
            <w:tcW w:w="5480" w:type="dxa"/>
            <w:tcBorders>
              <w:top w:val="single" w:sz="4" w:space="0" w:color="000000"/>
            </w:tcBorders>
          </w:tcPr>
          <w:p w14:paraId="47BA6F4E"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role of different organizational and national cultures on the alliances between firms with the purpose to see how this difference affects the stakeholder conflicts.</w:t>
            </w:r>
          </w:p>
        </w:tc>
        <w:tc>
          <w:tcPr>
            <w:tcW w:w="2363" w:type="dxa"/>
            <w:tcBorders>
              <w:top w:val="single" w:sz="4" w:space="0" w:color="000000"/>
            </w:tcBorders>
          </w:tcPr>
          <w:p w14:paraId="564CECE9"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{"citationItems":[{"id":"ITEM-1","itemData":{"DOI":"10.1016/j.indmarman.2004.12.010","ISSN":"00198501","abstract":"The extant literature on alliances tends to neglect the effects of intraorganisational relationships within each alliance partner on the implementation of the alliance. To address this gap, this paper investigates both interorganisational and intraorganisational conflicts occurring during the implementation of a service alliance and aims at developing categories of conflicts as well as analysing how these conflict categories affect the implementation of the alliance. Thus, the overall purpose is to contribute to our understanding of implementation issues in alliances for the delivery of services. In order to do so, one case of a high-technology alliance has been studied longitudinally, with the researcher acting as a participant observer. Three interrelated categories of conflicts are developed through an analysis of the data: 1) the scope of the alliance, 2) the customer relationship, and 3) the implementation process. One important conclusion of this study is that the perspectives of several of the stakeholders, including the customers indirectly involved in the alliance, should be included when implementing service alliances. © 2005 Elsevier Inc. All rights reserved.","author":[{"dropping-particle":"","family":"Nordin","given":"Fredrik","non-dropping-particle":"","parse-names":false,"suffix":""}],"container-title":"Industrial Marketing Management","id":"ITEM-1","issue":"2","issued":{"date-parts":[["2006"]]},"page":"116-127","title":"Identifying intraorganisational and interorganisational alliance conflicts - A longitudinal study of an alliance pilot project in the high technology industry","type":"article-journal","volume":"35"},"uris":["http://www.mendeley.com/documents/?uuid=9dd80825-b255-4fc9-90f7-33d6b1c2e3f7"]}],"mendeley":{"formattedCitation":"(Nordin, 2006)","manualFormatting":"Nordin (2006)","plainTextFormattedCitation":"(Nordin, 2006)","previouslyFormattedCitation":"(Nordin,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Nordin (2006)</w:t>
            </w:r>
            <w:r w:rsidRPr="009672FC">
              <w:rPr>
                <w:rFonts w:ascii="Garamond" w:hAnsi="Garamond"/>
              </w:rPr>
              <w:fldChar w:fldCharType="end"/>
            </w:r>
          </w:p>
        </w:tc>
      </w:tr>
      <w:tr w:rsidR="003D5DE8" w:rsidRPr="009672FC" w14:paraId="5A6AA604" w14:textId="77777777" w:rsidTr="005C5F35">
        <w:trPr>
          <w:trHeight w:val="291"/>
        </w:trPr>
        <w:tc>
          <w:tcPr>
            <w:tcW w:w="2057" w:type="dxa"/>
            <w:vMerge/>
            <w:tcBorders>
              <w:top w:val="single" w:sz="4" w:space="0" w:color="000000"/>
              <w:bottom w:val="single" w:sz="4" w:space="0" w:color="000000"/>
            </w:tcBorders>
          </w:tcPr>
          <w:p w14:paraId="32CE4B3F"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2F298010" w14:textId="2A8CD890"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Explore knowledge exchange and management among ecosystem stakeholders and, analyze commonalities and differences between ecosystem and territorial approach</w:t>
            </w:r>
            <w:r w:rsidR="00813D37" w:rsidRPr="009672FC">
              <w:rPr>
                <w:rFonts w:ascii="Garamond" w:hAnsi="Garamond"/>
                <w:sz w:val="22"/>
                <w:szCs w:val="22"/>
              </w:rPr>
              <w:t>es</w:t>
            </w:r>
            <w:r w:rsidRPr="009672FC">
              <w:rPr>
                <w:rFonts w:ascii="Garamond" w:hAnsi="Garamond"/>
                <w:sz w:val="22"/>
                <w:szCs w:val="22"/>
              </w:rPr>
              <w:t>.</w:t>
            </w:r>
          </w:p>
        </w:tc>
        <w:tc>
          <w:tcPr>
            <w:tcW w:w="2363" w:type="dxa"/>
          </w:tcPr>
          <w:p w14:paraId="6622A6EC"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{"citationItems":[{"id":"ITEM-1","itemData":{"DOI":"10.1016/j.techfore.2018.04.021","ISSN":"00401625","abstract":"Small- and medium-sized enterprises (SMEs) face the inherent tension of depending on external partners to complement their internal innovation activities while having limited resources to manage such open innovation processes. Given the importance of collaborative efforts between multiple stakeholders, we address the open innovation challenges from the SME perspective at the business-ecosystem level. We present an inductive case study of a particular regional ecosystem and focus on the inter-organizational collaboration between SMEs and other stakeholders in the ecosystem. With this focus, we explore how SMEs perceive, organize, and manage open innovation through strong collaborative ties with other ecosystem members. We identify a particular set of challenges for the SMEs due to the misalignment between their business model and that of their ecosystem. Specific findings include the link between innovation type expressed by diverging understandings of the notion of innovation across the ecosystem and the innovation form (here, open innovation), which should be organized and managed on multiple levels of analysis (SME, inter-organizational, and ecosystem). These findings highlight specific attention points for managing and developing open innovation in a regional business ecosystem, and they contribute both to the business-ecosystem literature as well as open innovation literature.","author":[{"dropping-particle":"","family":"Radziwon","given":"Agnieszka","non-dropping-particle":"","parse-names":false,"suffix":""},{"dropping-particle":"","family":"Bogers","given":"Marcel","non-dropping-particle":"","parse-names":false,"suffix":""}],"container-title":"Technological Forecasting and Social Change","id":"ITEM-1","issue":"October 2016","issued":{"date-parts":[["2019"]]},"page":"573-587","publisher":"Elsevier","title":"Open innovation in SMEs: Exploring inter-organizational relationships in an ecosystem","type":"article-journal","volume":"146"},"uris":["http://www.mendeley.com/documents/?uuid=1a929049-08a7-4ec6-a326-f7b11df8647b"]}],"mendeley":{"formattedCitation":"(Radziwon &amp; Bogers, 2019)","manualFormatting":"Radziwon and Bogers (2019)","plainTextFormattedCitation":"(Radziwon &amp; Bogers, 2019)","previouslyFormattedCitation":"(Radziwon &amp; Bogers,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Radziwon and Bogers (2019)</w:t>
            </w:r>
            <w:r w:rsidRPr="009672FC">
              <w:rPr>
                <w:rFonts w:ascii="Garamond" w:hAnsi="Garamond"/>
              </w:rPr>
              <w:fldChar w:fldCharType="end"/>
            </w:r>
          </w:p>
        </w:tc>
      </w:tr>
      <w:tr w:rsidR="003D5DE8" w:rsidRPr="009672FC" w14:paraId="46F5C77C" w14:textId="77777777" w:rsidTr="005C5F35">
        <w:trPr>
          <w:trHeight w:val="225"/>
        </w:trPr>
        <w:tc>
          <w:tcPr>
            <w:tcW w:w="2057" w:type="dxa"/>
            <w:vMerge/>
            <w:tcBorders>
              <w:top w:val="single" w:sz="4" w:space="0" w:color="000000"/>
              <w:bottom w:val="single" w:sz="4" w:space="0" w:color="000000"/>
            </w:tcBorders>
          </w:tcPr>
          <w:p w14:paraId="486FD213"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04DB0EF4"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Focus on empirical analysis of different project stakeholders, for the trust construct and its implications for project success. </w:t>
            </w:r>
          </w:p>
        </w:tc>
        <w:tc>
          <w:tcPr>
            <w:tcW w:w="2363" w:type="dxa"/>
          </w:tcPr>
          <w:p w14:paraId="62D95744"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{"citationItems":[{"id":"ITEM-1","itemData":{"DOI":"10.1016/j.ijproman.2008.09.010","ISSN":"02637863","abstract":"A great deal of literature has pointed to the importance of trust as a facilitator of positive relationships among project stakeholders. Trust is argued to enhance a variety of intra-organizational relationships, including project team dynamics, top management support, and coordination across functional departments. Likewise, trust is argued to improve the inter-organizational relationships among principal actors in project development, such as contractors, owners, and suppliers. This paper reports on the results of an empirical study that investigated the impact of trust between project owners and contractors in a number of large construction projects in Canada. We operationalized trust along the Hartman [Hartman FT. The role of trust in project management. In: Slevin DP, Cleland DI, Pinto JK, editors. The frontiers of project management research. Newtown Square, PA: Project Management Institute; 2002, p. 225-35] dimensions as incorporating both competence and integrity and compared the perspectives of project contractors and owners. Using regression and path analysis, we analyzed the differential effects of competence and integrity trust on enhanced owner/contractor relationships and project success. Our findings indicate that trust has different meanings for contractors and owners, as its impact on satisfaction with the relationship and positive project outcomes varies depending upon which group is surveyed. © 2008 Elsevier Ltd and IPMA.","author":[{"dropping-particle":"","family":"Pinto","given":"Jeffrey K.","non-dropping-particle":"","parse-names":false,"suffix":""},{"dropping-particle":"","family":"Slevin","given":"Dennis P.","non-dropping-particle":"","parse-names":false,"suffix":""},{"dropping-particle":"","family":"English","given":"Brent","non-dropping-particle":"","parse-names":false,"suffix":""}],"container-title":"International Journal of Project Management","id":"ITEM-1","issue":"6","issued":{"date-parts":[["2009"]]},"page":"638-648","publisher":"Elsevier Ltd and IPMA","title":"Trust in projects: An empirical assessment of owner/contractor relationships","type":"article-journal","volume":"27"},"uris":["http://www.mendeley.com/documents/?uuid=e6483679-fa52-414b-a769-5a22b04d6210"]}],"mendeley":{"formattedCitation":"(Pinto et al., 2009)","manualFormatting":"Pinto, Slevin and English (2009)","plainTextFormattedCitation":"(Pinto et al., 2009)","previouslyFormattedCitation":"(Pinto et al.,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Pinto, Slevin and English (2009)</w:t>
            </w:r>
            <w:r w:rsidRPr="009672FC">
              <w:rPr>
                <w:rFonts w:ascii="Garamond" w:hAnsi="Garamond"/>
              </w:rPr>
              <w:fldChar w:fldCharType="end"/>
            </w:r>
          </w:p>
        </w:tc>
      </w:tr>
      <w:tr w:rsidR="003D5DE8" w:rsidRPr="009672FC" w14:paraId="1DF87C56" w14:textId="77777777" w:rsidTr="005C5F35">
        <w:trPr>
          <w:trHeight w:val="273"/>
        </w:trPr>
        <w:tc>
          <w:tcPr>
            <w:tcW w:w="2057" w:type="dxa"/>
            <w:vMerge/>
            <w:tcBorders>
              <w:top w:val="single" w:sz="4" w:space="0" w:color="000000"/>
              <w:bottom w:val="single" w:sz="4" w:space="0" w:color="000000"/>
            </w:tcBorders>
          </w:tcPr>
          <w:p w14:paraId="5DF2BC95"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4439867B"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role of transformational leadership in interfirm project team building and project success.</w:t>
            </w:r>
          </w:p>
        </w:tc>
        <w:tc>
          <w:tcPr>
            <w:tcW w:w="2363" w:type="dxa"/>
          </w:tcPr>
          <w:p w14:paraId="6DE8FB2A"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{"citationItems":[{"id":"ITEM-1","itemData":{"DOI":"10.1016/j.ijproman.2016.02.012","ISSN":"02637863","abstract":"Although the effect of transformational leadership on project success is empirically supported, less is known about the mechanisms that explain this effect. To address this issue, we propose the mediating role of team-building as a possible explanation of the relationship between transformational leadership and project success. Based on a field survey of 200 development project managers in the Ethiopian Non-Governmental Organization (NGO) sector, the results of our study indicate that team-building partially mediates the effect of transformational leadership on project success. We discuss the theoretical and practical implications of these findings.","author":[{"dropping-particle":"","family":"Aga","given":"D. A.","non-dropping-particle":"","parse-names":false,"suffix":""},{"dropping-particle":"","family":"Noorderhaven","given":"N.","non-dropping-particle":"","parse-names":false,"suffix":""},{"dropping-particle":"","family":"Vallejo","given":"B.","non-dropping-particle":"","parse-names":false,"suffix":""}],"container-title":"International Journal of Project Management","id":"ITEM-1","issue":"5","issued":{"date-parts":[["2016"]]},"page":"806-818","publisher":"Elsevier Ltd and Association for Project Management and the International Project Management Association","title":"Transformational leadership and project success: The mediating role of team-building","type":"article-journal","volume":"34"},"uris":["http://www.mendeley.com/documents/?uuid=119907fa-81ba-4cab-939a-298630d1c403"]}],"mendeley":{"formattedCitation":"(Aga et al., 2016)","manualFormatting":"Aga, Noorderhaven and Vallejo (2016)","plainTextFormattedCitation":"(Aga et al., 2016)","previouslyFormattedCitation":"(Aga et al.,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Aga, Noorderhaven and Vallejo (2016)</w:t>
            </w:r>
            <w:r w:rsidRPr="009672FC">
              <w:rPr>
                <w:rFonts w:ascii="Garamond" w:hAnsi="Garamond"/>
              </w:rPr>
              <w:fldChar w:fldCharType="end"/>
            </w:r>
          </w:p>
        </w:tc>
      </w:tr>
      <w:tr w:rsidR="003D5DE8" w:rsidRPr="009672FC" w14:paraId="50EACB42" w14:textId="77777777" w:rsidTr="005C5F35">
        <w:trPr>
          <w:trHeight w:val="327"/>
        </w:trPr>
        <w:tc>
          <w:tcPr>
            <w:tcW w:w="2057" w:type="dxa"/>
            <w:vMerge/>
            <w:tcBorders>
              <w:top w:val="single" w:sz="4" w:space="0" w:color="000000"/>
              <w:bottom w:val="single" w:sz="4" w:space="0" w:color="000000"/>
            </w:tcBorders>
          </w:tcPr>
          <w:p w14:paraId="60C6AF4E"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414028CA"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Explore more on the individual level such as managers and company executives and their role in value creation, in open </w:t>
            </w:r>
            <w:r w:rsidRPr="009672FC">
              <w:rPr>
                <w:rFonts w:ascii="Garamond" w:hAnsi="Garamond"/>
                <w:sz w:val="22"/>
                <w:szCs w:val="22"/>
              </w:rPr>
              <w:lastRenderedPageBreak/>
              <w:t>innovation in a business ecosystem</w:t>
            </w:r>
          </w:p>
        </w:tc>
        <w:tc>
          <w:tcPr>
            <w:tcW w:w="2363" w:type="dxa"/>
          </w:tcPr>
          <w:p w14:paraId="5569A4F9"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lastRenderedPageBreak/>
              <w:fldChar w:fldCharType="begin" w:fldLock="1"/>
            </w:r>
            <w:r w:rsidRPr="009672FC">
              <w:rPr>
                <w:rFonts w:ascii="Garamond" w:hAnsi="Garamond"/>
              </w:rPr>
              <w:instrText>ADDIN CSL_CITATION {"citationItems":[{"id":"ITEM-1","itemData":{"DOI":"10.1016/j.techfore.2018.04.021","ISSN":"00401625","abstract":"Small- and medium-sized enterprises (SMEs) face the inherent tension of depending on external partners to complement their internal innovation activities while having limited resources to manage such open innovation processes. Given the importance of collaborative efforts between multiple stakeholders, we address the open innovation challenges from the SME perspective at the business-ecosystem level. We present an inductive case study of a particular regional ecosystem and focus on the inter-organizational collaboration between SMEs and other stakeholders in the ecosystem. With this focus, we explore how SMEs perceive, organize, and manage open innovation through strong collaborative ties with other ecosystem members. We identify a particular set of challenges for the SMEs due to the misalignment between their business model and that of their ecosystem. Specific findings include the link between innovation type expressed by diverging understandings of the notion of innovation across the ecosystem and the innovation form (here, open innovation), which should be organized and managed on multiple levels of analysis (SME, inter-organizational, and ecosystem). These findings highlight specific attention points for managing and developing open innovation in a regional business ecosystem, and they contribute both to the business-ecosystem literature as well as open innovation literature.","author":[{"dropping-particle":"","family":"Radziwon","given":"Agnieszka","non-dropping-particle":"","parse-names":false,"suffix":""},{"dropping-particle":"","family":"Bogers","given":"Marcel","non-dropping-particle":"","parse-names":false,"suffix":""}],"container-title":"Technological Forecasting and Social Change","id":"ITEM-1","issue":"October 2016","issued":{"date-parts":[["2019"]]},"page":"573-587","publisher":"Elsevier","title":"Open innovation in SMEs: Exploring inter-organizational relationships in an ecosystem","type":"article-journal","volume":"146"},"uris":["http://www.mendeley.com/documents/?uuid=1a929049-08a7-4ec6-a326-f7b11df8647b"]}],"mendeley":{"formattedCitation":"(Radziwon &amp; Bogers, 2019)","manualFormatting":"Radziwon and Bogers (2019)","plainTextFormattedCitation":"(Radziwon &amp; Bogers, 2019)","previouslyFormattedCitation":"(Radziwon &amp; Bogers,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Radziwon and Bogers (2019)</w:t>
            </w:r>
            <w:r w:rsidRPr="009672FC">
              <w:rPr>
                <w:rFonts w:ascii="Garamond" w:hAnsi="Garamond"/>
              </w:rPr>
              <w:fldChar w:fldCharType="end"/>
            </w:r>
          </w:p>
        </w:tc>
      </w:tr>
      <w:tr w:rsidR="003D5DE8" w:rsidRPr="009672FC" w14:paraId="2CBBC995" w14:textId="77777777" w:rsidTr="005C5F35">
        <w:trPr>
          <w:trHeight w:val="437"/>
        </w:trPr>
        <w:tc>
          <w:tcPr>
            <w:tcW w:w="2057" w:type="dxa"/>
            <w:vMerge/>
            <w:tcBorders>
              <w:top w:val="single" w:sz="4" w:space="0" w:color="000000"/>
              <w:bottom w:val="single" w:sz="4" w:space="0" w:color="000000"/>
            </w:tcBorders>
          </w:tcPr>
          <w:p w14:paraId="5A8484E8"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28EBA1A2"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Future research to explicate other possible network management activities (NMAs), outcomes, their relationships, and distinct processual patterns to uncover a further understanding of distinct NMAs, outcomes and processes.</w:t>
            </w:r>
          </w:p>
        </w:tc>
        <w:tc>
          <w:tcPr>
            <w:tcW w:w="2363" w:type="dxa"/>
          </w:tcPr>
          <w:p w14:paraId="72A48629"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{"citationItems":[{"id":"ITEM-1","itemData":{"DOI":"10.1016/j.indmarman.2019.08.010","ISSN":"00198501","abstract":"Earlier research has highlighted the dynamic nature of influencing in business networks, and shown that firms may vary considerably in their influence, defined as their potential to achieve changes in the activities, resources, or goals of other firms in the business network. There is, however, limited understanding of the specific means of influencing which may allow firms, over time, to increase their influence with other firms in the same network. Drawing on a longitudinal case study, we describe how a firm, through influencing others by the dynamic enactment of network management activities, gradually increased its influence with other firms in the business network. Based on our observations, we offer a processual model for influencing in business networks that links specific network management activities to conditions under which they are used.","author":[{"dropping-particle":"","family":"Ahola","given":"Tuomas","non-dropping-particle":"","parse-names":false,"suffix":""},{"dropping-particle":"","family":"Aaltonen","given":"K.","non-dropping-particle":"","parse-names":false,"suffix":""},{"dropping-particle":"","family":"Artto","given":"Karlos","non-dropping-particle":"","parse-names":false,"suffix":""},{"dropping-particle":"","family":"Lehtinen","given":"Jere","non-dropping-particle":"","parse-names":false,"suffix":""}],"container-title":"Industrial Marketing Management","id":"ITEM-1","issue":"November 2016","issued":{"date-parts":[["2019"]]},"page":"1-15","publisher":"Elsevier","title":"Making room to manoeuvre: How firms increase their influence with others in business networks","type":"article-journal"},"uris":["http://www.mendeley.com/documents/?uuid=eaeebbb1-7294-4f2b-bc57-f595d4bd2d2f"]}],"mendeley":{"formattedCitation":"(Ahola et al., 2019)","manualFormatting":"Ahola et al. (2019)","plainTextFormattedCitation":"(Ahola et al., 2019)","previouslyFormattedCitation":"(Ahola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Ahola</w:t>
            </w:r>
            <w:r w:rsidRPr="009672FC">
              <w:rPr>
                <w:rFonts w:ascii="Garamond" w:hAnsi="Garamond"/>
                <w:iCs/>
                <w:noProof/>
              </w:rPr>
              <w:t xml:space="preserve"> et al. </w:t>
            </w:r>
            <w:r w:rsidRPr="009672FC">
              <w:rPr>
                <w:rFonts w:ascii="Garamond" w:hAnsi="Garamond"/>
                <w:i/>
                <w:noProof/>
              </w:rPr>
              <w:t>(</w:t>
            </w:r>
            <w:r w:rsidRPr="009672FC">
              <w:rPr>
                <w:rFonts w:ascii="Garamond" w:hAnsi="Garamond"/>
                <w:noProof/>
              </w:rPr>
              <w:t>2019)</w:t>
            </w:r>
            <w:r w:rsidRPr="009672FC">
              <w:rPr>
                <w:rFonts w:ascii="Garamond" w:hAnsi="Garamond"/>
              </w:rPr>
              <w:fldChar w:fldCharType="end"/>
            </w:r>
          </w:p>
        </w:tc>
      </w:tr>
      <w:tr w:rsidR="003D5DE8" w:rsidRPr="009672FC" w14:paraId="356FDD3F" w14:textId="77777777" w:rsidTr="005C5F35">
        <w:trPr>
          <w:trHeight w:val="298"/>
        </w:trPr>
        <w:tc>
          <w:tcPr>
            <w:tcW w:w="2057" w:type="dxa"/>
            <w:vMerge/>
            <w:tcBorders>
              <w:top w:val="single" w:sz="4" w:space="0" w:color="000000"/>
              <w:bottom w:val="single" w:sz="4" w:space="0" w:color="000000"/>
            </w:tcBorders>
          </w:tcPr>
          <w:p w14:paraId="3B31282E"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67DF3863"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Focus on a systemic investigation of context-specific alliance management capabilities as applied by the business partners</w:t>
            </w:r>
          </w:p>
        </w:tc>
        <w:tc>
          <w:tcPr>
            <w:tcW w:w="2363" w:type="dxa"/>
          </w:tcPr>
          <w:p w14:paraId="79831955"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{"citationItems":[{"id":"ITEM-1","itemData":{"DOI":"10.1016/j.jbusres.2019.04.001","ISSN":"01482963","abstract":"While there is a significant amount of research on cross-sector collaboration, we still lack an adequate understanding of the nature and dynamics of Alliance Management Capabilities (AMC) that organizations demand when stretching their inter-organizational relationships beyond the boundaries of their sector. We address this gap by investigating the role of AMC in establishing and maintaining cross-sector collaborations, focusing on the perspective of nonprofit organizations (NPOs). Using qualitative data obtained from a diverse group of NPOs that are actively in collaboration with the business sector, we identified a unique set of AMC that are deployed at the pre- and post-formation stages of collaboration, and concomitantly at both stages (or cross-cutting AMC). Moreover, we provide an integrative framework that explains how these capabilities are leveraged and developed within the context of cross-sector collaboration which takes a circular path that comprises strategic actions and learning routines. We draw implications for theory and practice.","author":[{"dropping-particle":"","family":"Al-Tabbaa","given":"Omar","non-dropping-particle":"","parse-names":false,"suffix":""},{"dropping-particle":"","family":"Leach","given":"Desmond","non-dropping-particle":"","parse-names":false,"suffix":""},{"dropping-particle":"","family":"Khan","given":"Zaheer","non-dropping-particle":"","parse-names":false,"suffix":""}],"container-title":"Journal of Business Research","id":"ITEM-1","issue":"March","issued":{"date-parts":[["2019"]]},"page":"268-284","publisher":"Elsevier","title":"Examining alliance management capabilities in cross-sector collaborative partnerships","type":"article-journal","volume":"101"},"uris":["http://www.mendeley.com/documents/?uuid=6f9a0dad-538b-4968-821a-ef7b83e7ed43"]}],"mendeley":{"formattedCitation":"(Al-Tabbaa et al., 2019)","manualFormatting":"Al-Tabbaa, Leach and Khan (2019)","plainTextFormattedCitation":"(Al-Tabbaa et al., 2019)","previouslyFormattedCitation":"(Al-Tabbaa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Al-Tabbaa, Leach and Khan (2019)</w:t>
            </w:r>
            <w:r w:rsidRPr="009672FC">
              <w:rPr>
                <w:rFonts w:ascii="Garamond" w:hAnsi="Garamond"/>
              </w:rPr>
              <w:fldChar w:fldCharType="end"/>
            </w:r>
          </w:p>
        </w:tc>
      </w:tr>
      <w:tr w:rsidR="003D5DE8" w:rsidRPr="009672FC" w14:paraId="5EE29ED2" w14:textId="77777777" w:rsidTr="005C5F35">
        <w:trPr>
          <w:trHeight w:val="199"/>
        </w:trPr>
        <w:tc>
          <w:tcPr>
            <w:tcW w:w="2057" w:type="dxa"/>
            <w:vMerge/>
            <w:tcBorders>
              <w:top w:val="single" w:sz="4" w:space="0" w:color="000000"/>
              <w:bottom w:val="single" w:sz="4" w:space="0" w:color="000000"/>
            </w:tcBorders>
          </w:tcPr>
          <w:p w14:paraId="1F878E09"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2E60A213"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moderating effect of governance mechanisms as applied to quality management practices.</w:t>
            </w:r>
          </w:p>
        </w:tc>
        <w:tc>
          <w:tcPr>
            <w:tcW w:w="2363" w:type="dxa"/>
          </w:tcPr>
          <w:p w14:paraId="4C366C39"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{"citationItems":[{"id":"ITEM-1","itemData":{"DOI":"10.1016/j.ijproman.2019.05.005","ISSN":"02637863","abstract":"While research on the relationship between quality management practices and inter-organizational project performance has found inconsistent results, few studies have considered the contextual factors of quality management practices. Inter-organizational projects involve external participants in quality management and thus, this study tested the moderating role of governance mechanisms (contract governance and trust) on the relationship between quality management practices and inter-organizational project performance. Results of 265 valid questionnaires from China indicated that quality management practices contribute to inter-organizational project performance. Contract governance magnifies the positive effect of quality management practices on inter-organizational project performance while the moderating effect of trust is insignificant. The moderating effect of contract governance indicates a means for strengthening the effect of quality management practices in inter-organizational projects. Further research on more contextual factors of quality management practices should be conducted.","author":[{"dropping-particle":"","family":"Lu","given":"Ping","non-dropping-particle":"","parse-names":false,"suffix":""},{"dropping-particle":"","family":"Cai","given":"Xiangyang","non-dropping-particle":"","parse-names":false,"suffix":""},{"dropping-particle":"","family":"Wei","given":"Zhuping","non-dropping-particle":"","parse-names":false,"suffix":""},{"dropping-particle":"","family":"Song","given":"Yinqiu","non-dropping-particle":"","parse-names":false,"suffix":""},{"dropping-particle":"","family":"Wu","given":"Jianlin","non-dropping-particle":"","parse-names":false,"suffix":""}],"container-title":"International Journal of Project Management","id":"ITEM-1","issue":"6","issued":{"date-parts":[["2019"]]},"page":"855-869","publisher":"Elsevier Ltd and Association for Project Management and the International Project Management Association","title":"Quality management practices and inter-organizational project performance: Moderating effect of governance mechanisms","type":"article-journal","volume":"37"},"uris":["http://www.mendeley.com/documents/?uuid=05534784-aaca-4b17-9c56-056be3422304"]}],"mendeley":{"formattedCitation":"(Lu et al., 2019)","manualFormatting":"Lu et al. (2019)","plainTextFormattedCitation":"(Lu et al., 2019)","previouslyFormattedCitation":"(Lu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Lu et al. (2019)</w:t>
            </w:r>
            <w:r w:rsidRPr="009672FC">
              <w:rPr>
                <w:rFonts w:ascii="Garamond" w:hAnsi="Garamond"/>
              </w:rPr>
              <w:fldChar w:fldCharType="end"/>
            </w:r>
          </w:p>
        </w:tc>
      </w:tr>
      <w:tr w:rsidR="003D5DE8" w:rsidRPr="009672FC" w14:paraId="24FE5B83" w14:textId="77777777" w:rsidTr="005C5F35">
        <w:trPr>
          <w:trHeight w:val="421"/>
        </w:trPr>
        <w:tc>
          <w:tcPr>
            <w:tcW w:w="2057" w:type="dxa"/>
            <w:vMerge/>
            <w:tcBorders>
              <w:top w:val="single" w:sz="4" w:space="0" w:color="000000"/>
              <w:bottom w:val="single" w:sz="4" w:space="0" w:color="000000"/>
            </w:tcBorders>
          </w:tcPr>
          <w:p w14:paraId="36F3CF82" w14:textId="77777777" w:rsidR="003D5DE8" w:rsidRPr="009672FC" w:rsidRDefault="003D5DE8" w:rsidP="005C5F35">
            <w:pPr>
              <w:widowControl w:val="0"/>
              <w:spacing w:line="360" w:lineRule="auto"/>
              <w:jc w:val="both"/>
              <w:rPr>
                <w:rFonts w:ascii="Garamond" w:hAnsi="Garamond"/>
                <w:sz w:val="22"/>
                <w:szCs w:val="22"/>
              </w:rPr>
            </w:pPr>
          </w:p>
        </w:tc>
        <w:tc>
          <w:tcPr>
            <w:tcW w:w="5480" w:type="dxa"/>
            <w:tcBorders>
              <w:bottom w:val="single" w:sz="4" w:space="0" w:color="000000"/>
            </w:tcBorders>
          </w:tcPr>
          <w:p w14:paraId="426C7350" w14:textId="785CD6F0"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Evaluate the methods of multi-level network management such </w:t>
            </w:r>
            <w:r w:rsidR="00813D37" w:rsidRPr="009672FC">
              <w:rPr>
                <w:rFonts w:ascii="Garamond" w:hAnsi="Garamond"/>
                <w:sz w:val="22"/>
                <w:szCs w:val="22"/>
              </w:rPr>
              <w:t xml:space="preserve">as </w:t>
            </w:r>
            <w:r w:rsidRPr="009672FC">
              <w:rPr>
                <w:rFonts w:ascii="Garamond" w:hAnsi="Garamond"/>
                <w:sz w:val="22"/>
                <w:szCs w:val="22"/>
              </w:rPr>
              <w:t>using various performance metrics for evaluation purposes, the number of projects in collaboration, patents in collaboration, and collaborative publications.</w:t>
            </w:r>
          </w:p>
        </w:tc>
        <w:tc>
          <w:tcPr>
            <w:tcW w:w="2363" w:type="dxa"/>
            <w:tcBorders>
              <w:bottom w:val="single" w:sz="4" w:space="0" w:color="000000"/>
            </w:tcBorders>
          </w:tcPr>
          <w:p w14:paraId="559089AB"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{"citationItems":[{"id":"ITEM-1","itemData":{"DOI":"10.1016/j.jengtecman.2019.02.001","ISSN":"16084799","abstract":"Collaboration in inter-organizational networks is a major driver of innovation. Nevertheless, methods that practitioners can rely upon for managing innovation networks are still scarce. This research fills this gap by providing an approach that increases innovation output by intensifying collaboration in networks. An action research methodology with two cycles of action was adopted. The first cycle develops a method of network assessment designed to evaluate a network's collaboration potential. The second cycle iteratively builds on the first cycle and extends the method by a managerial approach to network management on an individual level.","author":[{"dropping-particle":"","family":"Cap","given":"Jan Patrick","non-dropping-particle":"","parse-names":false,"suffix":""},{"dropping-particle":"","family":"Blaich","given":"Erik","non-dropping-particle":"","parse-names":false,"suffix":""},{"dropping-particle":"","family":"Kohl","given":"Holger","non-dropping-particle":"","parse-names":false,"suffix":""},{"dropping-particle":"","family":"Raesfeld","given":"Ariane","non-dropping-particle":"von","parse-names":false,"suffix":""},{"dropping-particle":"","family":"Harms","given":"Rainer","non-dropping-particle":"","parse-names":false,"suffix":""},{"dropping-particle":"","family":"Will","given":"Markus","non-dropping-particle":"","parse-names":false,"suffix":""}],"container-title":"Journal of Engineering and Technology Management - JET-M","id":"ITEM-1","issue":"March","issued":{"date-parts":[["2019"]]},"page":"21-32","publisher":"Elsevier","title":"Multi level network management – A method for managing inter-organizational innovation networks","type":"article-journal","volume":"51"},"uris":["http://www.mendeley.com/documents/?uuid=dd0fce9b-0d5a-451a-bf8b-2d69a5dd06cc"]}],"mendeley":{"formattedCitation":"(Cap et al., 2019)","manualFormatting":"Cap et al. (2019)","plainTextFormattedCitation":"(Cap et al., 2019)","previouslyFormattedCitation":"(Cap et al.,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Cap et al. (2019)</w:t>
            </w:r>
            <w:r w:rsidRPr="009672FC">
              <w:rPr>
                <w:rFonts w:ascii="Garamond" w:hAnsi="Garamond"/>
              </w:rPr>
              <w:fldChar w:fldCharType="end"/>
            </w:r>
          </w:p>
        </w:tc>
      </w:tr>
      <w:tr w:rsidR="003D5DE8" w:rsidRPr="009672FC" w14:paraId="35C57302" w14:textId="77777777" w:rsidTr="005C5F35">
        <w:trPr>
          <w:trHeight w:val="105"/>
        </w:trPr>
        <w:tc>
          <w:tcPr>
            <w:tcW w:w="2057" w:type="dxa"/>
            <w:vMerge w:val="restart"/>
            <w:tcBorders>
              <w:top w:val="single" w:sz="4" w:space="0" w:color="000000"/>
              <w:bottom w:val="single" w:sz="4" w:space="0" w:color="000000"/>
            </w:tcBorders>
          </w:tcPr>
          <w:p w14:paraId="4D0963C4" w14:textId="77777777" w:rsidR="003D5DE8" w:rsidRPr="009672FC" w:rsidRDefault="003D5DE8" w:rsidP="005C5F35">
            <w:pPr>
              <w:widowControl w:val="0"/>
              <w:spacing w:line="360" w:lineRule="auto"/>
              <w:jc w:val="both"/>
              <w:rPr>
                <w:rFonts w:ascii="Garamond" w:hAnsi="Garamond"/>
                <w:sz w:val="22"/>
                <w:szCs w:val="22"/>
              </w:rPr>
            </w:pPr>
          </w:p>
          <w:p w14:paraId="7C45325D" w14:textId="77777777" w:rsidR="003D5DE8" w:rsidRPr="009672FC" w:rsidRDefault="003D5DE8" w:rsidP="005C5F35">
            <w:pPr>
              <w:widowControl w:val="0"/>
              <w:spacing w:line="360" w:lineRule="auto"/>
              <w:jc w:val="both"/>
              <w:rPr>
                <w:rFonts w:ascii="Garamond" w:hAnsi="Garamond"/>
                <w:sz w:val="22"/>
                <w:szCs w:val="22"/>
              </w:rPr>
            </w:pPr>
          </w:p>
          <w:p w14:paraId="05AA03AA"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IT capabilities</w:t>
            </w:r>
          </w:p>
        </w:tc>
        <w:tc>
          <w:tcPr>
            <w:tcW w:w="5480" w:type="dxa"/>
            <w:tcBorders>
              <w:top w:val="single" w:sz="4" w:space="0" w:color="000000"/>
            </w:tcBorders>
          </w:tcPr>
          <w:p w14:paraId="665B3732"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Examine the impact of IT as a controlling and monitoring device on the governance of business networks.</w:t>
            </w:r>
          </w:p>
        </w:tc>
        <w:tc>
          <w:tcPr>
            <w:tcW w:w="2363" w:type="dxa"/>
            <w:tcBorders>
              <w:top w:val="single" w:sz="4" w:space="0" w:color="000000"/>
            </w:tcBorders>
          </w:tcPr>
          <w:p w14:paraId="546159F8"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{"citationItems":[{"id":"ITEM-1","itemData":{"DOI":"10.1016/j.sbspro.2016.07.113","ISSN":"18770428","abstract":"This paper investigates the IT capability and its impact on the governance of business networks by offering a comprehensive IT capability concept especially for monitoring, controlling and coordination purposes. This concept focuses on IT as a monitoring and controlling tool. As business network, the research focus on franchising networks.","author":[{"dropping-particle":"","family":"Nuroğlu","given":"Hüseyin Hayri","non-dropping-particle":"","parse-names":false,"suffix":""}],"container-title":"Procedia - Social and Behavioral Sciences","id":"ITEM-1","issued":{"date-parts":[["2016"]]},"page":"50-59","title":"Business Network Governance Structure and IT Capabilities","type":"article-journal","volume":"229"},"uris":["http://www.mendeley.com/documents/?uuid=e1e1ce42-de31-4d0c-9192-bd0ad787b059"]}],"mendeley":{"formattedCitation":"(Nuroğlu, 2016)","manualFormatting":"Nuroğlu (2016","plainTextFormattedCitation":"(Nuroğlu, 2016)","previouslyFormattedCitation":"(Nuroğlu, 2016)"},"properties":{"noteIndex":0},"schema":"https://github.com/citation-style-language/schema/raw/master/csl-citation.json"}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Nuroğlu (2016</w:t>
            </w:r>
            <w:r w:rsidRPr="009672FC">
              <w:rPr>
                <w:rFonts w:ascii="Garamond" w:hAnsi="Garamond"/>
              </w:rPr>
              <w:fldChar w:fldCharType="end"/>
            </w:r>
            <w:r w:rsidRPr="009672FC">
              <w:rPr>
                <w:rFonts w:ascii="Garamond" w:hAnsi="Garamond"/>
              </w:rPr>
              <w:t>)</w:t>
            </w:r>
          </w:p>
        </w:tc>
      </w:tr>
      <w:tr w:rsidR="003D5DE8" w:rsidRPr="009672FC" w14:paraId="6D41B719" w14:textId="77777777" w:rsidTr="005C5F35">
        <w:trPr>
          <w:trHeight w:val="253"/>
        </w:trPr>
        <w:tc>
          <w:tcPr>
            <w:tcW w:w="2057" w:type="dxa"/>
            <w:vMerge/>
            <w:tcBorders>
              <w:top w:val="single" w:sz="4" w:space="0" w:color="000000"/>
              <w:bottom w:val="single" w:sz="4" w:space="0" w:color="000000"/>
            </w:tcBorders>
          </w:tcPr>
          <w:p w14:paraId="72D9ED7D" w14:textId="77777777" w:rsidR="003D5DE8" w:rsidRPr="009672FC" w:rsidRDefault="003D5DE8" w:rsidP="005C5F35">
            <w:pPr>
              <w:widowControl w:val="0"/>
              <w:spacing w:line="360" w:lineRule="auto"/>
              <w:jc w:val="both"/>
              <w:rPr>
                <w:rFonts w:ascii="Garamond" w:hAnsi="Garamond"/>
                <w:sz w:val="22"/>
                <w:szCs w:val="22"/>
              </w:rPr>
            </w:pPr>
          </w:p>
        </w:tc>
        <w:tc>
          <w:tcPr>
            <w:tcW w:w="5480" w:type="dxa"/>
            <w:tcBorders>
              <w:bottom w:val="single" w:sz="4" w:space="0" w:color="000000"/>
            </w:tcBorders>
          </w:tcPr>
          <w:p w14:paraId="2D78C57A" w14:textId="1CAEB218"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Explore the evolution of capabilities and roles in a network for </w:t>
            </w:r>
            <w:r w:rsidR="00813D37" w:rsidRPr="009672FC">
              <w:rPr>
                <w:rFonts w:ascii="Garamond" w:hAnsi="Garamond"/>
                <w:sz w:val="22"/>
                <w:szCs w:val="22"/>
              </w:rPr>
              <w:t xml:space="preserve">the </w:t>
            </w:r>
            <w:r w:rsidRPr="009672FC">
              <w:rPr>
                <w:rFonts w:ascii="Garamond" w:hAnsi="Garamond"/>
                <w:sz w:val="22"/>
                <w:szCs w:val="22"/>
              </w:rPr>
              <w:t>development and commercialization of process and service innovations and compare the type of capabilities developed and roles played by actors.</w:t>
            </w:r>
          </w:p>
        </w:tc>
        <w:tc>
          <w:tcPr>
            <w:tcW w:w="2363" w:type="dxa"/>
            <w:tcBorders>
              <w:bottom w:val="single" w:sz="4" w:space="0" w:color="000000"/>
            </w:tcBorders>
          </w:tcPr>
          <w:p w14:paraId="0D3CB6E9"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{"citationItems":[{"id":"ITEM-1","itemData":{"DOI":"10.1108/JBIM-09-2017-0211","ISSN":"08858624","abstract":"Purpose The purpose of this study is to investigate the capabilities and roles of three types of actors, specifically technology-based start-ups, incumbent firms and intermediaries, in co-constructing a network for development and commercialization of an emerging technology. In particular, the research aims to understand how the roles played by network actors evolve during the development and commercialization process and what operational and dynamic capabilities are developed by actors through collaboration. Design/methodology/approach A single longitudinal case study methodology was applied to analyse roles and operational and dynamic capabilities developed in a network setting by multiple parties over time. Findings The findings indicate that actors need to take on new roles to be successful when dealing with an emerging technology in a network context and they need to develop certain dynamic capabilities to enact these roles. The study categorizes roles and capabilities of network actors through vario...","author":[{"dropping-particle":"","family":"Salehi","given":"Fatemeh","non-dropping-particle":"","parse-names":false,"suffix":""},{"dropping-particle":"","family":"Zolkiewski","given":"Judith","non-dropping-particle":"","parse-names":false,"suffix":""},{"dropping-particle":"","family":"Perks","given":"Helen","non-dropping-particle":"","parse-names":false,"suffix":""},{"dropping-particle":"","family":"Bahreini","given":"Mohammad Ali","non-dropping-particle":"","parse-names":false,"suffix":""}],"container-title":"Journal of Business and Industrial Marketing","id":"ITEM-1","issue":"7","issued":{"date-parts":[["2018"]]},"page":"931-944","title":"Exploration of capability and role development in an emerging technology network","type":"article-journal","volume":"33"},"uris":["http://www.mendeley.com/documents/?uuid=f4422c70-a371-4d79-8a50-e32b276090df"]}],"mendeley":{"formattedCitation":"(Salehi et al., 2018)","manualFormatting":"Salehi et al. (2018)","plainTextFormattedCitation":"(Salehi et al., 2018)","previouslyFormattedCitation":"(Salehi et al.,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Salehi et al. (2018)</w:t>
            </w:r>
            <w:r w:rsidRPr="009672FC">
              <w:rPr>
                <w:rFonts w:ascii="Garamond" w:hAnsi="Garamond"/>
              </w:rPr>
              <w:fldChar w:fldCharType="end"/>
            </w:r>
          </w:p>
        </w:tc>
      </w:tr>
      <w:tr w:rsidR="003D5DE8" w:rsidRPr="009672FC" w14:paraId="4F3A91B7" w14:textId="77777777" w:rsidTr="005C5F35">
        <w:trPr>
          <w:trHeight w:val="327"/>
        </w:trPr>
        <w:tc>
          <w:tcPr>
            <w:tcW w:w="2057" w:type="dxa"/>
            <w:vMerge w:val="restart"/>
            <w:tcBorders>
              <w:top w:val="single" w:sz="4" w:space="0" w:color="000000"/>
            </w:tcBorders>
          </w:tcPr>
          <w:p w14:paraId="0D1A2B9A" w14:textId="77777777" w:rsidR="003D5DE8" w:rsidRPr="009672FC" w:rsidRDefault="003D5DE8" w:rsidP="005C5F35">
            <w:pPr>
              <w:widowControl w:val="0"/>
              <w:spacing w:line="360" w:lineRule="auto"/>
              <w:jc w:val="both"/>
              <w:rPr>
                <w:rFonts w:ascii="Garamond" w:hAnsi="Garamond"/>
                <w:sz w:val="22"/>
                <w:szCs w:val="22"/>
              </w:rPr>
            </w:pPr>
          </w:p>
          <w:p w14:paraId="40076D9D" w14:textId="77777777" w:rsidR="003D5DE8" w:rsidRPr="009672FC" w:rsidRDefault="003D5DE8" w:rsidP="005C5F35">
            <w:pPr>
              <w:widowControl w:val="0"/>
              <w:spacing w:line="360" w:lineRule="auto"/>
              <w:jc w:val="both"/>
              <w:rPr>
                <w:rFonts w:ascii="Garamond" w:hAnsi="Garamond"/>
                <w:sz w:val="22"/>
                <w:szCs w:val="22"/>
              </w:rPr>
            </w:pPr>
          </w:p>
          <w:p w14:paraId="7805027D" w14:textId="77777777" w:rsidR="003D5DE8" w:rsidRPr="009672FC" w:rsidRDefault="003D5DE8" w:rsidP="005C5F35">
            <w:pPr>
              <w:widowControl w:val="0"/>
              <w:spacing w:line="360" w:lineRule="auto"/>
              <w:jc w:val="both"/>
              <w:rPr>
                <w:rFonts w:ascii="Garamond" w:hAnsi="Garamond"/>
                <w:sz w:val="22"/>
                <w:szCs w:val="22"/>
              </w:rPr>
            </w:pPr>
          </w:p>
          <w:p w14:paraId="733D692C" w14:textId="77777777" w:rsidR="003D5DE8" w:rsidRPr="009672FC" w:rsidRDefault="003D5DE8" w:rsidP="005C5F35">
            <w:pPr>
              <w:widowControl w:val="0"/>
              <w:spacing w:line="360" w:lineRule="auto"/>
              <w:jc w:val="both"/>
              <w:rPr>
                <w:rFonts w:ascii="Garamond" w:hAnsi="Garamond"/>
                <w:sz w:val="22"/>
                <w:szCs w:val="22"/>
              </w:rPr>
            </w:pPr>
          </w:p>
          <w:p w14:paraId="15F8AF41"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Research methodology </w:t>
            </w:r>
          </w:p>
        </w:tc>
        <w:tc>
          <w:tcPr>
            <w:tcW w:w="5480" w:type="dxa"/>
            <w:tcBorders>
              <w:top w:val="single" w:sz="4" w:space="0" w:color="000000"/>
            </w:tcBorders>
          </w:tcPr>
          <w:p w14:paraId="0068043E"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Focus on quantitative studies on both young and incumbent firms as focal parties and discuss differences in social and economic ties and types of innovations related to these two types of firms.</w:t>
            </w:r>
          </w:p>
        </w:tc>
        <w:tc>
          <w:tcPr>
            <w:tcW w:w="2363" w:type="dxa"/>
            <w:tcBorders>
              <w:top w:val="single" w:sz="4" w:space="0" w:color="000000"/>
            </w:tcBorders>
          </w:tcPr>
          <w:p w14:paraId="317777C5"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{"citationItems":[{"id":"ITEM-1","itemData":{"DOI":"10.1016/j.jik.2017.10.001","ISSN":"2444569X","abstract":"A business network consists of directly and indirectly connected companies, where social and economic ties help to understand these connection. Innovations could be seen to relate to business networks in two ways: they may result from interaction between business partners, or they would need to fit into, or through changes to interaction patterns among various business partners, be fitted into new or current business networks. In the literature on innovation, the incremental, radical, or disruptive characteristics of the innovations are frequently described as degrees of newness. This paper categorizes characteristics of business networks based on their role to create various types of innovations, and based on the various types’ consequences for the business network. The empirical part of this paper is based on six case-study examples from interviews performed by the author. The findings suggest links between the type of innovation, and the role of the network and network consequences. The paper contributes to previous research through discussing the role of business networks for various types of innovation. Furthermore, the paper contributes to previous research through indicating the various types of innovations’ consequences for the business network. Most previous research on business networks and innovation only concerns itself with how various parties participate in idea generation and co-development of innovations, while the consequences for the business network is not described extensively.","author":[{"dropping-particle":"","family":"Öberg","given":"Christina","non-dropping-particle":"","parse-names":false,"suffix":""}],"container-title":"Journal of Innovation and Knowledge","id":"ITEM-1","issue":"2","issued":{"date-parts":[["2019"]]},"page":"124-128","publisher":"Journal of Innovation &amp; Knowledge","title":"The role of business networks for innovation","type":"article-journal","volume":"4"},"uris":["http://www.mendeley.com/documents/?uuid=ccc090d6-9325-4c8b-bbea-27bdae6ca0bb"]}],"mendeley":{"formattedCitation":"(Öberg, 2019)","manualFormatting":"Öberg (2019)","plainTextFormattedCitation":"(Öberg, 2019)","previouslyFormattedCitation":"(Öberg, 2019)"},"properties":{"noteIndex":0},"schema":"https://github.com/citation-style-language/schema/raw/master/csl-citation.json"}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Öberg (2019)</w:t>
            </w:r>
            <w:r w:rsidRPr="009672FC">
              <w:rPr>
                <w:rFonts w:ascii="Garamond" w:hAnsi="Garamond"/>
              </w:rPr>
              <w:fldChar w:fldCharType="end"/>
            </w:r>
          </w:p>
        </w:tc>
      </w:tr>
      <w:tr w:rsidR="003D5DE8" w:rsidRPr="009672FC" w14:paraId="1CA6C5BC" w14:textId="77777777" w:rsidTr="005C5F35">
        <w:trPr>
          <w:trHeight w:val="346"/>
        </w:trPr>
        <w:tc>
          <w:tcPr>
            <w:tcW w:w="2057" w:type="dxa"/>
            <w:vMerge/>
          </w:tcPr>
          <w:p w14:paraId="14F4F6D8"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14AE7C63"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Adopt new research approaches or methods to offer not only a theoretical pluralism but also spur contextual and methodological pluralism in the domain of project management.</w:t>
            </w:r>
          </w:p>
        </w:tc>
        <w:tc>
          <w:tcPr>
            <w:tcW w:w="2363" w:type="dxa"/>
          </w:tcPr>
          <w:p w14:paraId="04E6931F" w14:textId="155DDC58"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00813D37" w:rsidRPr="009672FC">
              <w:rPr>
                <w:rFonts w:ascii="Garamond" w:hAnsi="Garamond"/>
              </w:rPr>
              <w:instrText>ADDIN CSL_CITATION {"citationItems":[{"id":"ITEM-1","itemData":{"DOI":"10.1016/j.ijproman.2014.06.008","ISSN":"02637863","abstract":"In recent years, the linkages between project management and organization theory have become stronger. In an attempt to address this development, this paper analyzes the research on temporary and project-based organizing. It especially discusses the development associated with the EGOS sub-themes on project organizing and the potential avenues for future research. The paper also summarizes the key findings from the included papers in the special issue on project-based and temporary organizing, which is based on papers from the EGOS conference in 2013. One key argument is that project organizing needs to develop along three lines: new empirical contexts, new theoretical/conceptual issues, and new research methodologies. © 2014 Elsevier Inc.","author":[{"dropping-particle":"","family":"Söderlund","given":"Jonas","non-dropping-particle":"","parse-names":false,"suffix":""},{"dropping-particle":"","family":"Hobbs","given":"Brian","non-dropping-particle":"","parse-names":false,"suffix":""},{"dropping-particle":"","family":"Ahola","given":"Tuomas","non-dropping-particle":"","parse-names":false,"suffix":""}],"container-title":"International Journal of Project Management","id":"ITEM-1","issue":"7","issued":{"date-parts":[["2014"]]},"page":"1085-1090","title":"Project-based and temporary organizing: Reconnecting and rediscovering","type":"article-journal","volume":"32"},"uris":["http://www.mendeley.com/documents/?uuid=2889657a-91c2-490d-bea4-d51d12e25715"]}],"mendeley":{"formattedCitation":"(Söderlund, Hobbs, &amp; Ahola, 2014)","manualFormatting":"Söderlund, Hobbs and Ahola (2014)","plainTextFormattedCitation":"(Söderlund, Hobbs, &amp; Ahola, 2014)","previouslyFormattedCitation":"(Söderlund et al., 2014)"},"properties":{"noteIndex":0},"schema":"https://github.com/citation-style-language/schema/raw/master/csl-citation.json"}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Söderlund, Hobbs and Ahola (2014)</w:t>
            </w:r>
            <w:r w:rsidRPr="009672FC">
              <w:rPr>
                <w:rFonts w:ascii="Garamond" w:hAnsi="Garamond"/>
              </w:rPr>
              <w:fldChar w:fldCharType="end"/>
            </w:r>
          </w:p>
        </w:tc>
      </w:tr>
      <w:tr w:rsidR="003D5DE8" w:rsidRPr="009672FC" w14:paraId="3BFF3085" w14:textId="77777777" w:rsidTr="005C5F35">
        <w:trPr>
          <w:trHeight w:val="412"/>
        </w:trPr>
        <w:tc>
          <w:tcPr>
            <w:tcW w:w="2057" w:type="dxa"/>
            <w:vMerge/>
          </w:tcPr>
          <w:p w14:paraId="44FC7CFC" w14:textId="77777777" w:rsidR="003D5DE8" w:rsidRPr="009672FC" w:rsidRDefault="003D5DE8" w:rsidP="005C5F35">
            <w:pPr>
              <w:widowControl w:val="0"/>
              <w:spacing w:line="360" w:lineRule="auto"/>
              <w:jc w:val="both"/>
              <w:rPr>
                <w:rFonts w:ascii="Garamond" w:hAnsi="Garamond"/>
                <w:sz w:val="22"/>
                <w:szCs w:val="22"/>
              </w:rPr>
            </w:pPr>
          </w:p>
        </w:tc>
        <w:tc>
          <w:tcPr>
            <w:tcW w:w="5480" w:type="dxa"/>
          </w:tcPr>
          <w:p w14:paraId="2553B886" w14:textId="74F314C3"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 xml:space="preserve">Future scholars may consider more confirmative, quantitative research designs (e.g. regression or factor analysis) with larger sample sizes to further validate existing theories of interfirm project organizing. Additionally, mixed-method designs are proposed to further facilitate </w:t>
            </w:r>
            <w:r w:rsidR="00813D37" w:rsidRPr="009672FC">
              <w:rPr>
                <w:rFonts w:ascii="Garamond" w:hAnsi="Garamond"/>
                <w:sz w:val="22"/>
                <w:szCs w:val="22"/>
              </w:rPr>
              <w:t xml:space="preserve">the </w:t>
            </w:r>
            <w:r w:rsidRPr="009672FC">
              <w:rPr>
                <w:rFonts w:ascii="Garamond" w:hAnsi="Garamond"/>
                <w:sz w:val="22"/>
                <w:szCs w:val="22"/>
              </w:rPr>
              <w:t>triangulation of empirical evidence.</w:t>
            </w:r>
          </w:p>
        </w:tc>
        <w:tc>
          <w:tcPr>
            <w:tcW w:w="2363" w:type="dxa"/>
          </w:tcPr>
          <w:p w14:paraId="17DAB284"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{"citationItems":[{"id":"ITEM-1","itemData":{"DOI":"10.1016/j.ijproman.2017.11.004","ISSN":"0263-7863","author":[{"dropping-particle":"Von","family":"Danwitz","given":"Simon","non-dropping-particle":"","parse-names":false,"suffix":""}],"container-title":"International Journal of Project Management","id":"ITEM-1","issue":"3","issued":{"date-parts":[["2018"]]},"page":"525-541","publisher":"Elsevier Ltd and Association for Project Management and the International Project Management Association","title":"Managing inter- fi rm projects : A systematic review and directions for future research","type":"article-journal","volume":"36"},"uris":["http://www.mendeley.com/documents/?uuid=66da7ca1-5e82-4144-9eb0-ac60c50c2331"]}],"mendeley":{"formattedCitation":"(Danwitz, 2018)","manualFormatting":"Danwitz (2018)","plainTextFormattedCitation":"(Danwitz, 2018)","previouslyFormattedCitation":"(Danwitz, 2018)"},"properties":{"noteIndex":0},"schema":"https://github.com/citation-style-language/schema/raw/master/csl-citation.json"}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Danwitz (2018)</w:t>
            </w:r>
            <w:r w:rsidRPr="009672FC">
              <w:rPr>
                <w:rFonts w:ascii="Garamond" w:hAnsi="Garamond"/>
              </w:rPr>
              <w:fldChar w:fldCharType="end"/>
            </w:r>
          </w:p>
        </w:tc>
      </w:tr>
      <w:tr w:rsidR="003D5DE8" w:rsidRPr="009672FC" w14:paraId="4D6DA21D" w14:textId="77777777" w:rsidTr="005C5F35">
        <w:trPr>
          <w:trHeight w:val="465"/>
        </w:trPr>
        <w:tc>
          <w:tcPr>
            <w:tcW w:w="2057" w:type="dxa"/>
            <w:tcBorders>
              <w:bottom w:val="single" w:sz="4" w:space="0" w:color="000000"/>
            </w:tcBorders>
          </w:tcPr>
          <w:p w14:paraId="47F52B7E" w14:textId="77777777" w:rsidR="003D5DE8" w:rsidRPr="009672FC" w:rsidRDefault="003D5DE8" w:rsidP="005C5F35">
            <w:pPr>
              <w:widowControl w:val="0"/>
              <w:spacing w:line="360" w:lineRule="auto"/>
              <w:jc w:val="both"/>
              <w:rPr>
                <w:rFonts w:ascii="Garamond" w:hAnsi="Garamond"/>
                <w:sz w:val="22"/>
                <w:szCs w:val="22"/>
              </w:rPr>
            </w:pPr>
          </w:p>
        </w:tc>
        <w:tc>
          <w:tcPr>
            <w:tcW w:w="5480" w:type="dxa"/>
            <w:tcBorders>
              <w:bottom w:val="single" w:sz="4" w:space="0" w:color="000000"/>
            </w:tcBorders>
          </w:tcPr>
          <w:p w14:paraId="23925E10" w14:textId="77777777" w:rsidR="003D5DE8" w:rsidRPr="009672FC" w:rsidRDefault="007549AA" w:rsidP="005C5F35">
            <w:pPr>
              <w:widowControl w:val="0"/>
              <w:spacing w:line="360" w:lineRule="auto"/>
              <w:jc w:val="both"/>
              <w:rPr>
                <w:rFonts w:ascii="Garamond" w:hAnsi="Garamond"/>
                <w:sz w:val="22"/>
                <w:szCs w:val="22"/>
              </w:rPr>
            </w:pPr>
            <w:r w:rsidRPr="009672FC">
              <w:rPr>
                <w:rFonts w:ascii="Garamond" w:hAnsi="Garamond"/>
                <w:sz w:val="22"/>
                <w:szCs w:val="22"/>
              </w:rPr>
              <w:t>Adopt quantitative approaches to examine the different types of trust and their likely outcomes and antecedents. Moreover, in-depth qualitative approaches are needed to explore the complexity of trust, its formation, evolution and its likely role in acquiring and exploiting knowledge from outside project partners.</w:t>
            </w:r>
          </w:p>
        </w:tc>
        <w:tc>
          <w:tcPr>
            <w:tcW w:w="2363" w:type="dxa"/>
            <w:tcBorders>
              <w:bottom w:val="single" w:sz="4" w:space="0" w:color="000000"/>
            </w:tcBorders>
          </w:tcPr>
          <w:p w14:paraId="412F44C2" w14:textId="77777777" w:rsidR="003D5DE8" w:rsidRPr="009672FC" w:rsidRDefault="007549AA" w:rsidP="005C5F35">
            <w:pPr>
              <w:widowControl w:val="0"/>
              <w:spacing w:line="360" w:lineRule="auto"/>
              <w:jc w:val="both"/>
              <w:rPr>
                <w:rFonts w:ascii="Garamond" w:hAnsi="Garamond"/>
              </w:rPr>
            </w:pPr>
            <w:r w:rsidRPr="009672FC">
              <w:rPr>
                <w:rFonts w:ascii="Garamond" w:hAnsi="Garamond"/>
              </w:rPr>
              <w:fldChar w:fldCharType="begin" w:fldLock="1"/>
            </w:r>
            <w:r w:rsidRPr="009672FC">
              <w:rPr>
                <w:rFonts w:ascii="Garamond" w:hAnsi="Garamond"/>
              </w:rPr>
              <w:instrText>ADDIN CSL_CITATION {"citationItems":[{"id":"ITEM-1","itemData":{"DOI":"10.1016/j.ijproman.2009.11.006","ISSN":"02637863","abstract":"The importance of trust in projects that involve multiple project partners is widely acknowledged. This research analyzes both outcomes and antecedents of trust in inter-organizational projects. On the outcome side, the findings show that trust between project team members working on an inter-organizational project positively impacts the acquisition of external knowledge which, in turn, promotes product innovation. With respect to the antecedents of trust data reveal that a stable pool of project team members and objective project reward criteria facilitate the formation of inter-organizational trust. © 2009 Elsevier Ltd and IPMA.","author":[{"dropping-particle":"","family":"Maurer","given":"Indre","non-dropping-particle":"","parse-names":false,"suffix":""}],"container-title":"International Journal of Project Management","id":"ITEM-1","issue":"7","issued":{"date-parts":[["2010"]]},"page":"629-637","publisher":"Elsevier Ltd and IPMA","title":"How to build trust in inter-organizational projects: The impact of project staffing and project rewards on the formation of trust, knowledge acquisition and product innovation","type":"article-journal","volume":"28"},"uris":["http://www.mendeley.com/documents/?uuid=9f0794b5-78d2-487e-bf74-762e7e028353"]}],"mendeley":{"formattedCitation":"(Maurer, 2010)","manualFormatting":"Maurer (2010)","plainTextFormattedCitation":"(Maurer, 2010)","previouslyFormattedCitation":"(Maurer, 2010)"},"properties":{"noteIndex":0},"schema":"https://github.com/citation-style-language/schema/raw/master/csl-citation.json"}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Maurer (2010)</w:t>
            </w:r>
            <w:r w:rsidRPr="009672FC">
              <w:rPr>
                <w:rFonts w:ascii="Garamond" w:hAnsi="Garamond"/>
              </w:rPr>
              <w:fldChar w:fldCharType="end"/>
            </w:r>
          </w:p>
        </w:tc>
      </w:tr>
    </w:tbl>
    <w:p w14:paraId="01F111FF" w14:textId="77777777" w:rsidR="003D5DE8" w:rsidRPr="009672FC" w:rsidRDefault="003D5DE8">
      <w:pPr>
        <w:tabs>
          <w:tab w:val="left" w:pos="1582"/>
        </w:tabs>
        <w:rPr>
          <w:rFonts w:ascii="Garamond" w:hAnsi="Garamond"/>
        </w:rPr>
      </w:pPr>
    </w:p>
    <w:p w14:paraId="184C26DA" w14:textId="77777777" w:rsidR="003D5DE8" w:rsidRPr="00205681" w:rsidRDefault="007549AA" w:rsidP="00205681">
      <w:pPr>
        <w:pStyle w:val="Caption"/>
        <w:spacing w:after="0"/>
        <w:jc w:val="both"/>
        <w:rPr>
          <w:rFonts w:ascii="Garamond" w:hAnsi="Garamond"/>
          <w:sz w:val="24"/>
          <w:szCs w:val="24"/>
        </w:rPr>
      </w:pPr>
      <w:r w:rsidRPr="009672FC">
        <w:rPr>
          <w:rFonts w:ascii="Garamond" w:hAnsi="Garamond"/>
          <w:sz w:val="16"/>
          <w:szCs w:val="16"/>
        </w:rPr>
        <w:t xml:space="preserve"> </w:t>
      </w:r>
      <w:r w:rsidRPr="00205681">
        <w:rPr>
          <w:rFonts w:ascii="Garamond" w:hAnsi="Garamond"/>
          <w:sz w:val="22"/>
          <w:szCs w:val="22"/>
        </w:rPr>
        <w:t xml:space="preserve">Appendix 1A illustrate the agenda for future research. Literature on these areas is either absent or highly underdeveloped. Deducing from several papers, authors have recognized the increasing emergence of these issues both in theory and practice. </w:t>
      </w:r>
    </w:p>
    <w:p w14:paraId="5C090FAF" w14:textId="77777777" w:rsidR="003D5DE8" w:rsidRPr="009672FC" w:rsidRDefault="003D5DE8">
      <w:pPr>
        <w:spacing w:line="360" w:lineRule="auto"/>
        <w:ind w:firstLine="360"/>
        <w:jc w:val="both"/>
        <w:rPr>
          <w:rFonts w:ascii="Garamond" w:hAnsi="Garamond"/>
        </w:rPr>
      </w:pPr>
    </w:p>
    <w:p w14:paraId="30E06DEF" w14:textId="2CE63A00" w:rsidR="00813D37" w:rsidRPr="009672FC" w:rsidRDefault="00813D37" w:rsidP="00813D37">
      <w:pPr>
        <w:rPr>
          <w:rFonts w:ascii="Garamond" w:hAnsi="Garamond"/>
        </w:rPr>
      </w:pPr>
    </w:p>
    <w:p w14:paraId="174BD31E" w14:textId="52EED374" w:rsidR="00813D37" w:rsidRPr="009672FC" w:rsidRDefault="00813D37" w:rsidP="00813D37">
      <w:pPr>
        <w:rPr>
          <w:rFonts w:ascii="Garamond" w:hAnsi="Garamond"/>
        </w:rPr>
      </w:pPr>
    </w:p>
    <w:p w14:paraId="2F32F3C4" w14:textId="50BE6BE3" w:rsidR="00813D37" w:rsidRPr="009672FC" w:rsidRDefault="00813D37" w:rsidP="00813D37">
      <w:pPr>
        <w:rPr>
          <w:rFonts w:ascii="Garamond" w:hAnsi="Garamond"/>
        </w:rPr>
      </w:pPr>
    </w:p>
    <w:p w14:paraId="343DBA75" w14:textId="3F26EFEC" w:rsidR="00813D37" w:rsidRPr="009672FC" w:rsidRDefault="00813D37" w:rsidP="00813D37">
      <w:pPr>
        <w:rPr>
          <w:rFonts w:ascii="Garamond" w:hAnsi="Garamond"/>
        </w:rPr>
      </w:pPr>
    </w:p>
    <w:p w14:paraId="53CF0D45" w14:textId="493CF66B" w:rsidR="00813D37" w:rsidRPr="009672FC" w:rsidRDefault="00813D37" w:rsidP="00813D37">
      <w:pPr>
        <w:rPr>
          <w:rFonts w:ascii="Garamond" w:hAnsi="Garamond"/>
        </w:rPr>
      </w:pPr>
    </w:p>
    <w:p w14:paraId="42C6455B" w14:textId="4B5F8FC5" w:rsidR="00813D37" w:rsidRPr="009672FC" w:rsidRDefault="00813D37" w:rsidP="00813D37">
      <w:pPr>
        <w:rPr>
          <w:rFonts w:ascii="Garamond" w:hAnsi="Garamond"/>
        </w:rPr>
      </w:pPr>
    </w:p>
    <w:p w14:paraId="2C1B5EFF" w14:textId="31181BBA" w:rsidR="00813D37" w:rsidRPr="009672FC" w:rsidRDefault="00813D37" w:rsidP="00813D37">
      <w:pPr>
        <w:rPr>
          <w:rFonts w:ascii="Garamond" w:hAnsi="Garamond"/>
        </w:rPr>
      </w:pPr>
    </w:p>
    <w:p w14:paraId="04EC862A" w14:textId="00E3B9B3" w:rsidR="00813D37" w:rsidRPr="009672FC" w:rsidRDefault="00813D37" w:rsidP="00813D37">
      <w:pPr>
        <w:rPr>
          <w:rFonts w:ascii="Garamond" w:hAnsi="Garamond"/>
        </w:rPr>
      </w:pPr>
    </w:p>
    <w:p w14:paraId="3B57C399" w14:textId="30F78792" w:rsidR="00813D37" w:rsidRPr="009672FC" w:rsidRDefault="00813D37" w:rsidP="00813D37">
      <w:pPr>
        <w:rPr>
          <w:rFonts w:ascii="Garamond" w:hAnsi="Garamond"/>
        </w:rPr>
      </w:pPr>
    </w:p>
    <w:p w14:paraId="2318B9D1" w14:textId="069D4F3C" w:rsidR="00813D37" w:rsidRPr="009672FC" w:rsidRDefault="00813D37" w:rsidP="00813D37">
      <w:pPr>
        <w:rPr>
          <w:rFonts w:ascii="Garamond" w:hAnsi="Garamond"/>
        </w:rPr>
      </w:pPr>
    </w:p>
    <w:p w14:paraId="5BF56F23" w14:textId="71B57059" w:rsidR="00813D37" w:rsidRPr="009672FC" w:rsidRDefault="00813D37" w:rsidP="00813D37">
      <w:pPr>
        <w:rPr>
          <w:rFonts w:ascii="Garamond" w:hAnsi="Garamond"/>
        </w:rPr>
      </w:pPr>
    </w:p>
    <w:p w14:paraId="58A3EFFB" w14:textId="243A4E85" w:rsidR="00813D37" w:rsidRPr="009672FC" w:rsidRDefault="00813D37" w:rsidP="00813D37">
      <w:pPr>
        <w:rPr>
          <w:rFonts w:ascii="Garamond" w:hAnsi="Garamond"/>
        </w:rPr>
      </w:pPr>
    </w:p>
    <w:p w14:paraId="6BE31217" w14:textId="0139EB07" w:rsidR="00813D37" w:rsidRPr="009672FC" w:rsidRDefault="00813D37" w:rsidP="00813D37">
      <w:pPr>
        <w:rPr>
          <w:rFonts w:ascii="Garamond" w:hAnsi="Garamond"/>
        </w:rPr>
      </w:pPr>
    </w:p>
    <w:p w14:paraId="25FA29F6" w14:textId="0928819D" w:rsidR="00813D37" w:rsidRPr="009672FC" w:rsidRDefault="00813D37" w:rsidP="00813D37">
      <w:pPr>
        <w:rPr>
          <w:rFonts w:ascii="Garamond" w:hAnsi="Garamond"/>
        </w:rPr>
      </w:pPr>
    </w:p>
    <w:p w14:paraId="72010856" w14:textId="2CA9B874" w:rsidR="00813D37" w:rsidRPr="009672FC" w:rsidRDefault="00813D37" w:rsidP="00813D37">
      <w:pPr>
        <w:rPr>
          <w:rFonts w:ascii="Garamond" w:hAnsi="Garamond"/>
        </w:rPr>
      </w:pPr>
    </w:p>
    <w:p w14:paraId="0615F6E9" w14:textId="13AE0809" w:rsidR="00813D37" w:rsidRPr="009672FC" w:rsidRDefault="00813D37" w:rsidP="00813D37">
      <w:pPr>
        <w:rPr>
          <w:rFonts w:ascii="Garamond" w:hAnsi="Garamond"/>
        </w:rPr>
      </w:pPr>
    </w:p>
    <w:p w14:paraId="16770E60" w14:textId="706F28D4" w:rsidR="00813D37" w:rsidRPr="009672FC" w:rsidRDefault="00813D37" w:rsidP="00813D37">
      <w:pPr>
        <w:rPr>
          <w:rFonts w:ascii="Garamond" w:hAnsi="Garamond"/>
        </w:rPr>
      </w:pPr>
    </w:p>
    <w:p w14:paraId="737E3071" w14:textId="4B1560C0" w:rsidR="00813D37" w:rsidRPr="009672FC" w:rsidRDefault="00813D37" w:rsidP="00813D37">
      <w:pPr>
        <w:rPr>
          <w:rFonts w:ascii="Garamond" w:hAnsi="Garamond"/>
        </w:rPr>
      </w:pPr>
    </w:p>
    <w:p w14:paraId="0E2D8FC7" w14:textId="04F17999" w:rsidR="00813D37" w:rsidRPr="009672FC" w:rsidRDefault="00813D37" w:rsidP="00813D37">
      <w:pPr>
        <w:rPr>
          <w:rFonts w:ascii="Garamond" w:hAnsi="Garamond"/>
        </w:rPr>
      </w:pPr>
    </w:p>
    <w:p w14:paraId="3ED28DD1" w14:textId="2E975D59" w:rsidR="00813D37" w:rsidRPr="009672FC" w:rsidRDefault="00813D37" w:rsidP="00813D37">
      <w:pPr>
        <w:rPr>
          <w:rFonts w:ascii="Garamond" w:hAnsi="Garamond"/>
        </w:rPr>
      </w:pPr>
    </w:p>
    <w:p w14:paraId="7FE4F1AD" w14:textId="0D186B98" w:rsidR="00813D37" w:rsidRPr="009672FC" w:rsidRDefault="00813D37" w:rsidP="00813D37">
      <w:pPr>
        <w:rPr>
          <w:rFonts w:ascii="Garamond" w:hAnsi="Garamond"/>
        </w:rPr>
      </w:pPr>
    </w:p>
    <w:p w14:paraId="7CE44F80" w14:textId="3FA6592C" w:rsidR="00813D37" w:rsidRDefault="00813D37" w:rsidP="00813D37">
      <w:pPr>
        <w:rPr>
          <w:rFonts w:ascii="Garamond" w:hAnsi="Garamond"/>
        </w:rPr>
      </w:pPr>
    </w:p>
    <w:p w14:paraId="6BB7D5BB" w14:textId="068F6498" w:rsidR="00205681" w:rsidRDefault="00205681" w:rsidP="00813D37">
      <w:pPr>
        <w:rPr>
          <w:rFonts w:ascii="Garamond" w:hAnsi="Garamond"/>
        </w:rPr>
      </w:pPr>
    </w:p>
    <w:p w14:paraId="4612BFDC" w14:textId="0DB64CEF" w:rsidR="00205681" w:rsidRDefault="00205681" w:rsidP="00813D37">
      <w:pPr>
        <w:rPr>
          <w:rFonts w:ascii="Garamond" w:hAnsi="Garamond"/>
        </w:rPr>
      </w:pPr>
    </w:p>
    <w:p w14:paraId="25B218F5" w14:textId="3424513C" w:rsidR="00205681" w:rsidRDefault="00205681" w:rsidP="00813D37">
      <w:pPr>
        <w:rPr>
          <w:rFonts w:ascii="Garamond" w:hAnsi="Garamond"/>
        </w:rPr>
      </w:pPr>
    </w:p>
    <w:p w14:paraId="704D3666" w14:textId="29046443" w:rsidR="00205681" w:rsidRDefault="00205681" w:rsidP="00813D37">
      <w:pPr>
        <w:rPr>
          <w:rFonts w:ascii="Garamond" w:hAnsi="Garamond"/>
        </w:rPr>
      </w:pPr>
    </w:p>
    <w:p w14:paraId="288714AA" w14:textId="1F52C464" w:rsidR="00205681" w:rsidRDefault="00205681" w:rsidP="00813D37">
      <w:pPr>
        <w:rPr>
          <w:rFonts w:ascii="Garamond" w:hAnsi="Garamond"/>
        </w:rPr>
      </w:pPr>
    </w:p>
    <w:p w14:paraId="4544E959" w14:textId="6157CDB4" w:rsidR="00205681" w:rsidRDefault="00205681" w:rsidP="00813D37">
      <w:pPr>
        <w:rPr>
          <w:rFonts w:ascii="Garamond" w:hAnsi="Garamond"/>
        </w:rPr>
      </w:pPr>
    </w:p>
    <w:p w14:paraId="007B4D22" w14:textId="6C589EAF" w:rsidR="00205681" w:rsidRDefault="00205681" w:rsidP="00813D37">
      <w:pPr>
        <w:rPr>
          <w:rFonts w:ascii="Garamond" w:hAnsi="Garamond"/>
        </w:rPr>
      </w:pPr>
    </w:p>
    <w:p w14:paraId="1ECC9C7B" w14:textId="2F2D7375" w:rsidR="00205681" w:rsidRDefault="00205681" w:rsidP="00813D37">
      <w:pPr>
        <w:rPr>
          <w:rFonts w:ascii="Garamond" w:hAnsi="Garamond"/>
        </w:rPr>
      </w:pPr>
    </w:p>
    <w:p w14:paraId="7DB31D20" w14:textId="77777777" w:rsidR="00205681" w:rsidRPr="009672FC" w:rsidRDefault="00205681" w:rsidP="00813D37">
      <w:pPr>
        <w:rPr>
          <w:rFonts w:ascii="Garamond" w:hAnsi="Garamond"/>
        </w:rPr>
      </w:pPr>
    </w:p>
    <w:p w14:paraId="62AB9A0B" w14:textId="60E273B3" w:rsidR="003D5DE8" w:rsidRPr="009672FC" w:rsidRDefault="007549AA">
      <w:pPr>
        <w:pStyle w:val="Heading1"/>
        <w:rPr>
          <w:rFonts w:ascii="Garamond" w:hAnsi="Garamond" w:cs="Times New Roman"/>
          <w:b/>
          <w:bCs/>
          <w:color w:val="000000" w:themeColor="text1"/>
          <w:sz w:val="24"/>
          <w:szCs w:val="24"/>
        </w:rPr>
      </w:pPr>
      <w:bookmarkStart w:id="263" w:name="_Toc85708788"/>
      <w:bookmarkStart w:id="264" w:name="_Toc85709804"/>
      <w:r w:rsidRPr="009672FC">
        <w:rPr>
          <w:rFonts w:ascii="Garamond" w:hAnsi="Garamond" w:cs="Times New Roman"/>
          <w:b/>
          <w:bCs/>
          <w:color w:val="000000" w:themeColor="text1"/>
          <w:sz w:val="24"/>
          <w:szCs w:val="24"/>
        </w:rPr>
        <w:lastRenderedPageBreak/>
        <w:t xml:space="preserve">Appendix </w:t>
      </w:r>
      <w:r w:rsidR="00791631" w:rsidRPr="009672FC">
        <w:rPr>
          <w:rFonts w:ascii="Garamond" w:hAnsi="Garamond" w:cs="Times New Roman"/>
          <w:b/>
          <w:bCs/>
          <w:color w:val="000000" w:themeColor="text1"/>
          <w:sz w:val="24"/>
          <w:szCs w:val="24"/>
        </w:rPr>
        <w:t>5</w:t>
      </w:r>
      <w:r w:rsidRPr="009672FC">
        <w:rPr>
          <w:rFonts w:ascii="Garamond" w:hAnsi="Garamond" w:cs="Times New Roman"/>
          <w:b/>
          <w:bCs/>
          <w:color w:val="000000" w:themeColor="text1"/>
          <w:sz w:val="24"/>
          <w:szCs w:val="24"/>
        </w:rPr>
        <w:t>. (Ch.3): Construct, Items, and Scales</w:t>
      </w:r>
      <w:bookmarkEnd w:id="263"/>
      <w:bookmarkEnd w:id="264"/>
    </w:p>
    <w:tbl>
      <w:tblPr>
        <w:tblW w:w="9072" w:type="dxa"/>
        <w:tblLayout w:type="fixed"/>
        <w:tblLook w:val="04A0" w:firstRow="1" w:lastRow="0" w:firstColumn="1" w:lastColumn="0" w:noHBand="0" w:noVBand="1"/>
      </w:tblPr>
      <w:tblGrid>
        <w:gridCol w:w="2108"/>
        <w:gridCol w:w="4732"/>
        <w:gridCol w:w="2232"/>
      </w:tblGrid>
      <w:tr w:rsidR="003D5DE8" w:rsidRPr="009672FC" w14:paraId="6C50FBC8" w14:textId="77777777" w:rsidTr="000006EB">
        <w:tc>
          <w:tcPr>
            <w:tcW w:w="2108" w:type="dxa"/>
            <w:tcBorders>
              <w:top w:val="single" w:sz="4" w:space="0" w:color="000000"/>
              <w:bottom w:val="single" w:sz="4" w:space="0" w:color="000000"/>
            </w:tcBorders>
          </w:tcPr>
          <w:p w14:paraId="6C41804B" w14:textId="77777777" w:rsidR="003D5DE8" w:rsidRPr="009672FC" w:rsidRDefault="007549AA">
            <w:pPr>
              <w:widowControl w:val="0"/>
              <w:spacing w:line="360" w:lineRule="auto"/>
              <w:jc w:val="both"/>
              <w:rPr>
                <w:rFonts w:ascii="Garamond" w:hAnsi="Garamond"/>
                <w:b/>
                <w:bCs/>
                <w:color w:val="000000" w:themeColor="text1"/>
              </w:rPr>
            </w:pPr>
            <w:r w:rsidRPr="009672FC">
              <w:rPr>
                <w:rFonts w:ascii="Garamond" w:hAnsi="Garamond"/>
                <w:b/>
                <w:bCs/>
                <w:color w:val="000000" w:themeColor="text1"/>
              </w:rPr>
              <w:t xml:space="preserve">Code </w:t>
            </w:r>
          </w:p>
        </w:tc>
        <w:tc>
          <w:tcPr>
            <w:tcW w:w="4732" w:type="dxa"/>
            <w:tcBorders>
              <w:top w:val="single" w:sz="4" w:space="0" w:color="000000"/>
              <w:bottom w:val="single" w:sz="4" w:space="0" w:color="000000"/>
            </w:tcBorders>
          </w:tcPr>
          <w:p w14:paraId="27E3B775" w14:textId="77777777" w:rsidR="003D5DE8" w:rsidRPr="009672FC" w:rsidRDefault="007549AA">
            <w:pPr>
              <w:widowControl w:val="0"/>
              <w:spacing w:line="360" w:lineRule="auto"/>
              <w:jc w:val="both"/>
              <w:rPr>
                <w:rFonts w:ascii="Garamond" w:hAnsi="Garamond"/>
                <w:b/>
                <w:bCs/>
                <w:color w:val="000000" w:themeColor="text1"/>
              </w:rPr>
            </w:pPr>
            <w:r w:rsidRPr="009672FC">
              <w:rPr>
                <w:rFonts w:ascii="Garamond" w:hAnsi="Garamond"/>
                <w:b/>
                <w:bCs/>
                <w:color w:val="000000" w:themeColor="text1"/>
              </w:rPr>
              <w:t>Construct/item</w:t>
            </w:r>
          </w:p>
        </w:tc>
        <w:tc>
          <w:tcPr>
            <w:tcW w:w="2232" w:type="dxa"/>
            <w:tcBorders>
              <w:top w:val="single" w:sz="4" w:space="0" w:color="000000"/>
              <w:bottom w:val="single" w:sz="4" w:space="0" w:color="000000"/>
            </w:tcBorders>
          </w:tcPr>
          <w:p w14:paraId="6601C0DE" w14:textId="77777777" w:rsidR="003D5DE8" w:rsidRPr="009672FC" w:rsidRDefault="007549AA">
            <w:pPr>
              <w:widowControl w:val="0"/>
              <w:spacing w:line="360" w:lineRule="auto"/>
              <w:jc w:val="both"/>
              <w:rPr>
                <w:rFonts w:ascii="Garamond" w:hAnsi="Garamond"/>
                <w:b/>
                <w:bCs/>
                <w:color w:val="000000" w:themeColor="text1"/>
              </w:rPr>
            </w:pPr>
            <w:r w:rsidRPr="009672FC">
              <w:rPr>
                <w:rFonts w:ascii="Garamond" w:hAnsi="Garamond"/>
                <w:b/>
                <w:bCs/>
                <w:color w:val="000000" w:themeColor="text1"/>
              </w:rPr>
              <w:t>Scale reference</w:t>
            </w:r>
          </w:p>
        </w:tc>
      </w:tr>
      <w:tr w:rsidR="003D5DE8" w:rsidRPr="009672FC" w14:paraId="73644157" w14:textId="77777777">
        <w:tc>
          <w:tcPr>
            <w:tcW w:w="9072" w:type="dxa"/>
            <w:gridSpan w:val="3"/>
            <w:tcBorders>
              <w:top w:val="single" w:sz="4" w:space="0" w:color="000000"/>
            </w:tcBorders>
          </w:tcPr>
          <w:p w14:paraId="79D82083" w14:textId="77777777" w:rsidR="003D5DE8" w:rsidRPr="009672FC" w:rsidRDefault="007549AA">
            <w:pPr>
              <w:widowControl w:val="0"/>
              <w:spacing w:line="360" w:lineRule="auto"/>
              <w:rPr>
                <w:rFonts w:ascii="Garamond" w:hAnsi="Garamond"/>
              </w:rPr>
            </w:pPr>
            <w:r w:rsidRPr="009672FC">
              <w:rPr>
                <w:rFonts w:ascii="Garamond" w:hAnsi="Garamond"/>
              </w:rPr>
              <w:t>Competence trust</w:t>
            </w:r>
          </w:p>
        </w:tc>
      </w:tr>
      <w:tr w:rsidR="003D5DE8" w:rsidRPr="009672FC" w14:paraId="6BFF8812" w14:textId="77777777" w:rsidTr="000006EB">
        <w:trPr>
          <w:trHeight w:val="620"/>
        </w:trPr>
        <w:tc>
          <w:tcPr>
            <w:tcW w:w="2108" w:type="dxa"/>
          </w:tcPr>
          <w:p w14:paraId="682B9B44" w14:textId="77777777" w:rsidR="003D5DE8" w:rsidRPr="009672FC" w:rsidRDefault="007549AA">
            <w:pPr>
              <w:widowControl w:val="0"/>
              <w:spacing w:line="360" w:lineRule="auto"/>
              <w:rPr>
                <w:rFonts w:ascii="Garamond" w:hAnsi="Garamond"/>
              </w:rPr>
            </w:pPr>
            <w:r w:rsidRPr="009672FC">
              <w:rPr>
                <w:rFonts w:ascii="Garamond" w:hAnsi="Garamond"/>
              </w:rPr>
              <w:t>CT1</w:t>
            </w:r>
          </w:p>
          <w:p w14:paraId="6BF078DC" w14:textId="77777777" w:rsidR="003D5DE8" w:rsidRPr="009672FC" w:rsidRDefault="003D5DE8">
            <w:pPr>
              <w:widowControl w:val="0"/>
              <w:spacing w:line="360" w:lineRule="auto"/>
              <w:rPr>
                <w:rFonts w:ascii="Garamond" w:hAnsi="Garamond"/>
                <w:i/>
                <w:iCs/>
              </w:rPr>
            </w:pPr>
          </w:p>
        </w:tc>
        <w:tc>
          <w:tcPr>
            <w:tcW w:w="4732" w:type="dxa"/>
          </w:tcPr>
          <w:p w14:paraId="0359851D"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We always ensure to build our competence reputation for performing an excellent job in our relationship.</w:t>
            </w:r>
          </w:p>
        </w:tc>
        <w:tc>
          <w:tcPr>
            <w:tcW w:w="2232" w:type="dxa"/>
            <w:vMerge w:val="restart"/>
          </w:tcPr>
          <w:p w14:paraId="1C54604F"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{"citationItems":[{"id":"ITEM-1","itemData":{"DOI":"10.1016/j.jm.2004.02.002","ISSN":"01492063","abstract":"Because partners may behave opportunistically in alliances, contractual safeguards or trust between partners are necessary for successful outcomes. However, it remains controversial whether safeguards and trust substitute or complement each other. Drawing on transaction cost theory, this study conceptualizes both contractual safeguards and trust as important control mechanisms in non-equity alliances, and develops a model that relates contractual safeguards and trust to cooperative outcomes. We test our hypotheses with data collected from 233 architect-contractor partnerships in Hong Kong. The results show that the relationship between contractual safeguards and cooperative outcomes depends on both the level and type of trust. © 2004 Elsevier Inc. All rights reserved.","author":[{"dropping-particle":"","family":"Lui","given":"Steven S.","non-dropping-particle":"","parse-names":false,"suffix":""},{"dropping-particle":"","family":"Ngo","given":"Hang yue","non-dropping-particle":"","parse-names":false,"suffix":""}],"container-title":"Journal of Management","id":"ITEM-1","issue":"4","issued":{"date-parts":[["2004"]]},"page":"471-485","title":"The role of trust and contractual safeguards on cooperation in non-equity alliances","type":"article-journal","volume":"30"},"uris":["http://www.mendeley.com/documents/?uuid=40190992-2ee5-4b11-9ef1-dc05021e1268"]}],"mendeley":{"formattedCitation":"(Lui &amp; Ngo, 2004)","manualFormatting":"Lui and Ngo (2004, p. 478)","plainTextFormattedCitation":"(Lui &amp; Ngo, 2004)","previouslyFormattedCitation":"(Lui &amp; Ngo, 2004)"},"properties":{"noteIndex":0},"schema":"https://github.com/citation-style-language/schema/raw/master/csl-citation.json"}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Lui and Ngo (2004, p. 478)</w:t>
            </w:r>
            <w:r w:rsidRPr="009672FC">
              <w:rPr>
                <w:rFonts w:ascii="Garamond" w:hAnsi="Garamond"/>
              </w:rPr>
              <w:fldChar w:fldCharType="end"/>
            </w:r>
          </w:p>
        </w:tc>
      </w:tr>
      <w:tr w:rsidR="003D5DE8" w:rsidRPr="009672FC" w14:paraId="66A82E8E" w14:textId="77777777" w:rsidTr="000006EB">
        <w:tc>
          <w:tcPr>
            <w:tcW w:w="2108" w:type="dxa"/>
          </w:tcPr>
          <w:p w14:paraId="4513FE6B" w14:textId="77777777" w:rsidR="003D5DE8" w:rsidRPr="009672FC" w:rsidRDefault="007549AA">
            <w:pPr>
              <w:widowControl w:val="0"/>
              <w:spacing w:line="360" w:lineRule="auto"/>
              <w:rPr>
                <w:rFonts w:ascii="Garamond" w:hAnsi="Garamond"/>
              </w:rPr>
            </w:pPr>
            <w:r w:rsidRPr="009672FC">
              <w:rPr>
                <w:rFonts w:ascii="Garamond" w:hAnsi="Garamond"/>
              </w:rPr>
              <w:t>CT2</w:t>
            </w:r>
          </w:p>
        </w:tc>
        <w:tc>
          <w:tcPr>
            <w:tcW w:w="4732" w:type="dxa"/>
          </w:tcPr>
          <w:p w14:paraId="2B142DA8" w14:textId="77777777" w:rsidR="003D5DE8" w:rsidRPr="009672FC" w:rsidRDefault="007549AA">
            <w:pPr>
              <w:widowControl w:val="0"/>
              <w:spacing w:line="360" w:lineRule="auto"/>
              <w:rPr>
                <w:rFonts w:ascii="Garamond" w:hAnsi="Garamond"/>
              </w:rPr>
            </w:pPr>
            <w:r w:rsidRPr="009672FC">
              <w:rPr>
                <w:rFonts w:ascii="Garamond" w:hAnsi="Garamond"/>
                <w:shd w:val="clear" w:color="auto" w:fill="FFFFFF"/>
              </w:rPr>
              <w:t>Our partner selection decision is influenced by the technical (production) skill and expertise of a potential partner.</w:t>
            </w:r>
          </w:p>
        </w:tc>
        <w:tc>
          <w:tcPr>
            <w:tcW w:w="2232" w:type="dxa"/>
            <w:vMerge/>
          </w:tcPr>
          <w:p w14:paraId="40285741"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2BC66C37" w14:textId="77777777" w:rsidTr="000006EB">
        <w:tc>
          <w:tcPr>
            <w:tcW w:w="2108" w:type="dxa"/>
          </w:tcPr>
          <w:p w14:paraId="5D0EE489" w14:textId="77777777" w:rsidR="003D5DE8" w:rsidRPr="009672FC" w:rsidRDefault="007549AA">
            <w:pPr>
              <w:widowControl w:val="0"/>
              <w:spacing w:line="360" w:lineRule="auto"/>
              <w:rPr>
                <w:rFonts w:ascii="Garamond" w:hAnsi="Garamond"/>
              </w:rPr>
            </w:pPr>
            <w:r w:rsidRPr="009672FC">
              <w:rPr>
                <w:rFonts w:ascii="Garamond" w:hAnsi="Garamond"/>
              </w:rPr>
              <w:t>Openness trust</w:t>
            </w:r>
          </w:p>
        </w:tc>
        <w:tc>
          <w:tcPr>
            <w:tcW w:w="4732" w:type="dxa"/>
          </w:tcPr>
          <w:p w14:paraId="1F624BA4" w14:textId="77777777" w:rsidR="003D5DE8" w:rsidRPr="009672FC" w:rsidRDefault="003D5DE8">
            <w:pPr>
              <w:widowControl w:val="0"/>
              <w:spacing w:line="360" w:lineRule="auto"/>
              <w:rPr>
                <w:rFonts w:ascii="Garamond" w:hAnsi="Garamond"/>
              </w:rPr>
            </w:pPr>
          </w:p>
        </w:tc>
        <w:tc>
          <w:tcPr>
            <w:tcW w:w="2232" w:type="dxa"/>
          </w:tcPr>
          <w:p w14:paraId="18FC8D53"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0BDC91C4" w14:textId="77777777" w:rsidTr="000006EB">
        <w:tc>
          <w:tcPr>
            <w:tcW w:w="2108" w:type="dxa"/>
          </w:tcPr>
          <w:p w14:paraId="76324342" w14:textId="77777777" w:rsidR="003D5DE8" w:rsidRPr="009672FC" w:rsidRDefault="007549AA">
            <w:pPr>
              <w:widowControl w:val="0"/>
              <w:spacing w:line="360" w:lineRule="auto"/>
              <w:rPr>
                <w:rFonts w:ascii="Garamond" w:hAnsi="Garamond"/>
              </w:rPr>
            </w:pPr>
            <w:r w:rsidRPr="009672FC">
              <w:rPr>
                <w:rFonts w:ascii="Garamond" w:hAnsi="Garamond"/>
              </w:rPr>
              <w:t>OT1</w:t>
            </w:r>
          </w:p>
        </w:tc>
        <w:tc>
          <w:tcPr>
            <w:tcW w:w="4732" w:type="dxa"/>
          </w:tcPr>
          <w:p w14:paraId="014B2D8C"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We encourage openness to new information or ideas from our business partners during the course of our relationship.</w:t>
            </w:r>
          </w:p>
        </w:tc>
        <w:tc>
          <w:tcPr>
            <w:tcW w:w="2232" w:type="dxa"/>
            <w:vMerge w:val="restart"/>
          </w:tcPr>
          <w:p w14:paraId="3C1EFCFF"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{"citationItems":[{"id":"ITEM-1","itemData":{"DOI":"10.1057/ejis.2009.17","ISSN":"14769344","abstract":"Trust can have imperative influences on the use of interorganizational systems (IOSs). Management, sociology and psychology literature distinguish different types of trust and attribute distinctive impacts to these types. However, little is known regarding the influences of different types of trust on IOSs usage. This paper focuses on how trust based on partner competence and trust based on partner openness influence the use of IOS-related resources. Hypotheses are constructed relying on the use of the resource-based view and transaction-cost economics to analyse influences on relationship specificity of four types of IOS-related resources: business processes, human knowledge, organizational domain knowledge and IOS infrastructure. Three case studies are conducted on interorganizational relationships employing IOSs. Competence-trust is found to positively influence the use of human-knowledge resources, resources related to interlinkage of business processes and organizational domain knowledge resources. Openness-trust is found to positively influence use of human-knowledge resources and organizational domain-knowledge resources. © 2009 Operational Research Society Ltd.","author":[{"dropping-particle":"","family":"Ibrahim","given":"Mohammed","non-dropping-particle":"","parse-names":false,"suffix":""},{"dropping-particle":"","family":"Ribbers","given":"Pieter M.","non-dropping-particle":"","parse-names":false,"suffix":""}],"container-title":"European Journal of Information Systems","id":"ITEM-1","issue":"3","issued":{"date-parts":[["2009"]]},"page":"223-234","title":"The impacts of competence-trust and openness-trust on interorganizational systems","type":"article-journal","volume":"18"},"uris":["http://www.mendeley.com/documents/?uuid=af68ed43-3648-499d-9f88-92fb27199a2e"]}],"mendeley":{"formattedCitation":"(Ibrahim &amp; Ribbers, 2009)","manualFormatting":"Ibrahim and Ribbers (2009, p. 228)","plainTextFormattedCitation":"(Ibrahim &amp; Ribbers, 2009)","previouslyFormattedCitation":"(Ibrahim &amp; Ribbers, 2009)"},"properties":{"noteIndex":0},"schema":"https://github.com/citation-style-language/schema/raw/master/csl-citation.json"}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Ibrahim and Ribbers (2009, p. 228)</w:t>
            </w:r>
            <w:r w:rsidRPr="009672FC">
              <w:rPr>
                <w:rFonts w:ascii="Garamond" w:hAnsi="Garamond"/>
              </w:rPr>
              <w:fldChar w:fldCharType="end"/>
            </w:r>
          </w:p>
        </w:tc>
      </w:tr>
      <w:tr w:rsidR="003D5DE8" w:rsidRPr="009672FC" w14:paraId="1368C58F" w14:textId="77777777" w:rsidTr="000006EB">
        <w:tc>
          <w:tcPr>
            <w:tcW w:w="2108" w:type="dxa"/>
          </w:tcPr>
          <w:p w14:paraId="27D0C3F4" w14:textId="77777777" w:rsidR="003D5DE8" w:rsidRPr="009672FC" w:rsidRDefault="007549AA">
            <w:pPr>
              <w:widowControl w:val="0"/>
              <w:spacing w:line="360" w:lineRule="auto"/>
              <w:rPr>
                <w:rFonts w:ascii="Garamond" w:hAnsi="Garamond"/>
              </w:rPr>
            </w:pPr>
            <w:r w:rsidRPr="009672FC">
              <w:rPr>
                <w:rFonts w:ascii="Garamond" w:hAnsi="Garamond"/>
              </w:rPr>
              <w:t>OP2</w:t>
            </w:r>
          </w:p>
        </w:tc>
        <w:tc>
          <w:tcPr>
            <w:tcW w:w="4732" w:type="dxa"/>
          </w:tcPr>
          <w:p w14:paraId="0EFA2084" w14:textId="77777777" w:rsidR="003D5DE8" w:rsidRPr="009672FC" w:rsidRDefault="007549AA">
            <w:pPr>
              <w:widowControl w:val="0"/>
              <w:spacing w:line="360" w:lineRule="auto"/>
              <w:rPr>
                <w:rFonts w:ascii="Garamond" w:hAnsi="Garamond"/>
              </w:rPr>
            </w:pPr>
            <w:r w:rsidRPr="009672FC">
              <w:rPr>
                <w:rFonts w:ascii="Garamond" w:hAnsi="Garamond"/>
                <w:shd w:val="clear" w:color="auto" w:fill="FFFFFF"/>
              </w:rPr>
              <w:t>Our current business partner is not always willing to share relevant knowledge and information that concerns our business relationship. (R)</w:t>
            </w:r>
            <w:r w:rsidRPr="009672FC">
              <w:rPr>
                <w:rFonts w:ascii="Garamond" w:hAnsi="Garamond"/>
              </w:rPr>
              <w:t>.</w:t>
            </w:r>
          </w:p>
        </w:tc>
        <w:tc>
          <w:tcPr>
            <w:tcW w:w="2232" w:type="dxa"/>
            <w:vMerge/>
          </w:tcPr>
          <w:p w14:paraId="2CBE1643"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74B4194B" w14:textId="77777777" w:rsidTr="000006EB">
        <w:tc>
          <w:tcPr>
            <w:tcW w:w="2108" w:type="dxa"/>
          </w:tcPr>
          <w:p w14:paraId="356FC1C9" w14:textId="77777777" w:rsidR="003D5DE8" w:rsidRPr="009672FC" w:rsidRDefault="007549AA">
            <w:pPr>
              <w:widowControl w:val="0"/>
              <w:spacing w:line="360" w:lineRule="auto"/>
              <w:rPr>
                <w:rFonts w:ascii="Garamond" w:hAnsi="Garamond"/>
              </w:rPr>
            </w:pPr>
            <w:r w:rsidRPr="009672FC">
              <w:rPr>
                <w:rFonts w:ascii="Garamond" w:hAnsi="Garamond"/>
              </w:rPr>
              <w:t>Similarity/ Identification trust</w:t>
            </w:r>
          </w:p>
        </w:tc>
        <w:tc>
          <w:tcPr>
            <w:tcW w:w="4732" w:type="dxa"/>
          </w:tcPr>
          <w:p w14:paraId="1B6A16C3" w14:textId="77777777" w:rsidR="003D5DE8" w:rsidRPr="009672FC" w:rsidRDefault="003D5DE8">
            <w:pPr>
              <w:widowControl w:val="0"/>
              <w:spacing w:line="360" w:lineRule="auto"/>
              <w:rPr>
                <w:rFonts w:ascii="Garamond" w:hAnsi="Garamond"/>
              </w:rPr>
            </w:pPr>
          </w:p>
        </w:tc>
        <w:tc>
          <w:tcPr>
            <w:tcW w:w="2232" w:type="dxa"/>
          </w:tcPr>
          <w:p w14:paraId="4FF7E90B"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62EE4225" w14:textId="77777777" w:rsidTr="000006EB">
        <w:tc>
          <w:tcPr>
            <w:tcW w:w="2108" w:type="dxa"/>
          </w:tcPr>
          <w:p w14:paraId="3C3B4B55" w14:textId="77777777" w:rsidR="003D5DE8" w:rsidRPr="009672FC" w:rsidRDefault="007549AA">
            <w:pPr>
              <w:widowControl w:val="0"/>
              <w:spacing w:line="360" w:lineRule="auto"/>
              <w:rPr>
                <w:rFonts w:ascii="Garamond" w:hAnsi="Garamond"/>
              </w:rPr>
            </w:pPr>
            <w:r w:rsidRPr="009672FC">
              <w:rPr>
                <w:rFonts w:ascii="Garamond" w:hAnsi="Garamond"/>
              </w:rPr>
              <w:t>SIT1</w:t>
            </w:r>
          </w:p>
        </w:tc>
        <w:tc>
          <w:tcPr>
            <w:tcW w:w="4732" w:type="dxa"/>
          </w:tcPr>
          <w:p w14:paraId="49C5C3BC"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We always align our goals and objectives to ensure compatibility with (or similar to) that of our business partners.</w:t>
            </w:r>
          </w:p>
        </w:tc>
        <w:tc>
          <w:tcPr>
            <w:tcW w:w="2232" w:type="dxa"/>
            <w:vMerge w:val="restart"/>
          </w:tcPr>
          <w:p w14:paraId="42F2E48E"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{"citationItems":[{"id":"ITEM-1","itemData":{"DOI":"10.1016/j.jbusres.2005.09.001","ISSN":"01482963","abstract":"Coercive strategy is an influential conflict resolution technique in interfirm cooperation. This paper examines how the use of coercive strategy is affected by partner and relationship characteristics (specifically firm similarity, partner reputation, and asset specificity), and how these relationships are mediated by trust. We test our hypotheses with a cross-sectional sample of 228 cooperative relationships between architects and contractors in Hong Kong. Measures of both interpersonal and interorganizational trust are included. The findings highlight the critical role played by trust as a full mediator in the relationships of firm similarity and partner reputation with coercive strategy. Asset specificity, in contrast, has a direct and positive effect on coercive strategy that is unrelated to the level of interpersonal trust. © 2005 Elsevier Inc. All rights reserved.","author":[{"dropping-particle":"","family":"Lui","given":"Steven S.","non-dropping-particle":"","parse-names":false,"suffix":""},{"dropping-particle":"","family":"Ngo","given":"Hang Yue","non-dropping-particle":"","parse-names":false,"suffix":""},{"dropping-particle":"","family":"Hon","given":"Alice H.Y.","non-dropping-particle":"","parse-names":false,"suffix":""}],"container-title":"Journal of Business Research","id":"ITEM-1","issue":"4","issued":{"date-parts":[["2006"]]},"page":"466-474","title":"Coercive strategy in interfirm cooperation: Mediating roles of interpersonal and interorganizational trust","type":"article-journal","volume":"59"},"uris":["http://www.mendeley.com/documents/?uuid=82bf53b3-1fdd-4c0d-97cf-3b2471d63119"]}],"mendeley":{"formattedCitation":"(Lui et al., 2006)","manualFormatting":"Lui et al., (2006,","plainTextFormattedCitation":"(Lui et al., 2006)","previouslyFormattedCitation":"(Lui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Lui et al., (2006,</w:t>
            </w:r>
            <w:r w:rsidRPr="009672FC">
              <w:rPr>
                <w:rFonts w:ascii="Garamond" w:hAnsi="Garamond"/>
              </w:rPr>
              <w:fldChar w:fldCharType="end"/>
            </w:r>
            <w:r w:rsidRPr="009672FC">
              <w:rPr>
                <w:rFonts w:ascii="Garamond" w:hAnsi="Garamond"/>
                <w:color w:val="000000" w:themeColor="text1"/>
              </w:rPr>
              <w:t xml:space="preserve"> p. 468);</w:t>
            </w:r>
          </w:p>
          <w:p w14:paraId="7B36EC95" w14:textId="77777777" w:rsidR="003D5DE8" w:rsidRPr="009672FC" w:rsidRDefault="003D5DE8">
            <w:pPr>
              <w:widowControl w:val="0"/>
              <w:spacing w:line="360" w:lineRule="auto"/>
              <w:jc w:val="both"/>
              <w:rPr>
                <w:rFonts w:ascii="Garamond" w:hAnsi="Garamond"/>
                <w:color w:val="000000" w:themeColor="text1"/>
              </w:rPr>
            </w:pPr>
          </w:p>
          <w:p w14:paraId="051EF789"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{"citationItems":[{"id":"ITEM-1","itemData":{"author":[{"dropping-particle":"","family":"Saxton","given":"Todd","non-dropping-particle":"","parse-names":false,"suffix":""}],"container-title":"The Academy of management Journal","id":"ITEM-1","issue":"2","issued":{"date-parts":[["1997"]]},"page":"443-461","title":"The Effects of Partner and Relationship Characteristics on Alliance Outcomes","type":"article-journal","volume":"40"},"uris":["http://www.mendeley.com/documents/?uuid=7b55b860-229e-4ba4-8539-39368310e564"]}],"mendeley":{"formattedCitation":"(Saxton, 1997)","manualFormatting":"Saxton (1997)","plainTextFormattedCitation":"(Saxton, 1997)","previouslyFormattedCitation":"(Saxton, 1997)"},"properties":{"noteIndex":0},"schema":"https://github.com/citation-style-language/schema/raw/master/csl-citation.json"}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Saxton (1997)</w:t>
            </w:r>
            <w:r w:rsidRPr="009672FC">
              <w:rPr>
                <w:rFonts w:ascii="Garamond" w:hAnsi="Garamond"/>
              </w:rPr>
              <w:fldChar w:fldCharType="end"/>
            </w:r>
            <w:r w:rsidRPr="009672FC">
              <w:rPr>
                <w:rFonts w:ascii="Garamond" w:hAnsi="Garamond"/>
                <w:color w:val="000000" w:themeColor="text1"/>
              </w:rPr>
              <w:t>;</w:t>
            </w:r>
          </w:p>
          <w:p w14:paraId="100AE95C" w14:textId="77777777" w:rsidR="003D5DE8" w:rsidRPr="009672FC" w:rsidRDefault="003D5DE8">
            <w:pPr>
              <w:widowControl w:val="0"/>
              <w:spacing w:line="360" w:lineRule="auto"/>
              <w:jc w:val="both"/>
              <w:rPr>
                <w:rFonts w:ascii="Garamond" w:hAnsi="Garamond"/>
                <w:color w:val="000000" w:themeColor="text1"/>
              </w:rPr>
            </w:pPr>
          </w:p>
          <w:p w14:paraId="0DA736CE"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{"citationItems":[{"id":"ITEM-1","itemData":{"DOI":"10.1016/j.jbusres.2005.09.001","ISSN":"01482963","abstract":"Coercive strategy is an influential conflict resolution technique in interfirm cooperation. This paper examines how the use of coercive strategy is affected by partner and relationship characteristics (specifically firm similarity, partner reputation, and asset specificity), and how these relationships are mediated by trust. We test our hypotheses with a cross-sectional sample of 228 cooperative relationships between architects and contractors in Hong Kong. Measures of both interpersonal and interorganizational trust are included. The findings highlight the critical role played by trust as a full mediator in the relationships of firm similarity and partner reputation with coercive strategy. Asset specificity, in contrast, has a direct and positive effect on coercive strategy that is unrelated to the level of interpersonal trust. © 2005 Elsevier Inc. All rights reserved.","author":[{"dropping-particle":"","family":"Lui","given":"Steven S.","non-dropping-particle":"","parse-names":false,"suffix":""},{"dropping-particle":"","family":"Ngo","given":"Hang Yue","non-dropping-particle":"","parse-names":false,"suffix":""},{"dropping-particle":"","family":"Hon","given":"Alice H.Y.","non-dropping-particle":"","parse-names":false,"suffix":""}],"container-title":"Journal of Business Research","id":"ITEM-1","issue":"4","issued":{"date-parts":[["2006"]]},"page":"466-474","title":"Coercive strategy in interfirm cooperation: Mediating roles of interpersonal and interorganizational trust","type":"article-journal","volume":"59"},"uris":["http://www.mendeley.com/documents/?uuid=82bf53b3-1fdd-4c0d-97cf-3b2471d63119"]}],"mendeley":{"formattedCitation":"(Lui et al., 2006)","manualFormatting":"Lui et al., (2006, p. 472)","plainTextFormattedCitation":"(Lui et al., 2006)","previouslyFormattedCitation":"(Lui et al., 2006)"},"properties":{"noteIndex":0},"schema":"https://github.com/citation-style-language/schema/raw/master/csl-citation.json"}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Lui et al., (2006, p. 472)</w:t>
            </w:r>
            <w:r w:rsidRPr="009672FC">
              <w:rPr>
                <w:rFonts w:ascii="Garamond" w:hAnsi="Garamond"/>
              </w:rPr>
              <w:fldChar w:fldCharType="end"/>
            </w:r>
            <w:r w:rsidRPr="009672FC">
              <w:rPr>
                <w:rFonts w:ascii="Garamond" w:hAnsi="Garamond"/>
                <w:color w:val="000000" w:themeColor="text1"/>
              </w:rPr>
              <w:t>.</w:t>
            </w:r>
          </w:p>
        </w:tc>
      </w:tr>
      <w:tr w:rsidR="003D5DE8" w:rsidRPr="009672FC" w14:paraId="15C229FC" w14:textId="77777777" w:rsidTr="000006EB">
        <w:tc>
          <w:tcPr>
            <w:tcW w:w="2108" w:type="dxa"/>
          </w:tcPr>
          <w:p w14:paraId="696C5FF4" w14:textId="77777777" w:rsidR="003D5DE8" w:rsidRPr="009672FC" w:rsidRDefault="007549AA">
            <w:pPr>
              <w:widowControl w:val="0"/>
              <w:spacing w:line="360" w:lineRule="auto"/>
              <w:rPr>
                <w:rFonts w:ascii="Garamond" w:hAnsi="Garamond"/>
              </w:rPr>
            </w:pPr>
            <w:r w:rsidRPr="009672FC">
              <w:rPr>
                <w:rFonts w:ascii="Garamond" w:hAnsi="Garamond"/>
              </w:rPr>
              <w:t>SIT2</w:t>
            </w:r>
          </w:p>
        </w:tc>
        <w:tc>
          <w:tcPr>
            <w:tcW w:w="4732" w:type="dxa"/>
          </w:tcPr>
          <w:p w14:paraId="7DA9FDA9" w14:textId="77777777" w:rsidR="003D5DE8" w:rsidRPr="009672FC" w:rsidRDefault="007549AA">
            <w:pPr>
              <w:widowControl w:val="0"/>
              <w:spacing w:line="360" w:lineRule="auto"/>
              <w:rPr>
                <w:rFonts w:ascii="Garamond" w:hAnsi="Garamond"/>
                <w:b/>
                <w:bCs/>
              </w:rPr>
            </w:pPr>
            <w:r w:rsidRPr="009672FC">
              <w:rPr>
                <w:rFonts w:ascii="Garamond" w:hAnsi="Garamond"/>
                <w:shd w:val="clear" w:color="auto" w:fill="FFFFFF"/>
              </w:rPr>
              <w:t>We ensure that our technical capabilities are compatible with those of our partners.</w:t>
            </w:r>
          </w:p>
        </w:tc>
        <w:tc>
          <w:tcPr>
            <w:tcW w:w="2232" w:type="dxa"/>
            <w:vMerge/>
          </w:tcPr>
          <w:p w14:paraId="7D753D6B" w14:textId="77777777" w:rsidR="003D5DE8" w:rsidRPr="009672FC" w:rsidRDefault="003D5DE8">
            <w:pPr>
              <w:widowControl w:val="0"/>
              <w:spacing w:line="360" w:lineRule="auto"/>
              <w:jc w:val="both"/>
              <w:rPr>
                <w:rFonts w:ascii="Garamond" w:hAnsi="Garamond"/>
                <w:b/>
                <w:bCs/>
                <w:color w:val="000000" w:themeColor="text1"/>
              </w:rPr>
            </w:pPr>
          </w:p>
        </w:tc>
      </w:tr>
      <w:tr w:rsidR="003D5DE8" w:rsidRPr="009672FC" w14:paraId="515649A3" w14:textId="77777777" w:rsidTr="000006EB">
        <w:tc>
          <w:tcPr>
            <w:tcW w:w="2108" w:type="dxa"/>
          </w:tcPr>
          <w:p w14:paraId="54D1629E" w14:textId="77777777" w:rsidR="003D5DE8" w:rsidRPr="009672FC" w:rsidRDefault="007549AA">
            <w:pPr>
              <w:widowControl w:val="0"/>
              <w:spacing w:line="360" w:lineRule="auto"/>
              <w:rPr>
                <w:rFonts w:ascii="Garamond" w:hAnsi="Garamond"/>
              </w:rPr>
            </w:pPr>
            <w:r w:rsidRPr="009672FC">
              <w:rPr>
                <w:rFonts w:ascii="Garamond" w:hAnsi="Garamond"/>
              </w:rPr>
              <w:t>SIT3</w:t>
            </w:r>
          </w:p>
        </w:tc>
        <w:tc>
          <w:tcPr>
            <w:tcW w:w="4732" w:type="dxa"/>
          </w:tcPr>
          <w:p w14:paraId="7FC11878"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We did not align our organizational procedures with those of our partners.</w:t>
            </w:r>
          </w:p>
        </w:tc>
        <w:tc>
          <w:tcPr>
            <w:tcW w:w="2232" w:type="dxa"/>
            <w:vMerge/>
          </w:tcPr>
          <w:p w14:paraId="2DD4A1F7" w14:textId="77777777" w:rsidR="003D5DE8" w:rsidRPr="009672FC" w:rsidRDefault="003D5DE8">
            <w:pPr>
              <w:widowControl w:val="0"/>
              <w:spacing w:line="360" w:lineRule="auto"/>
              <w:jc w:val="both"/>
              <w:rPr>
                <w:rFonts w:ascii="Garamond" w:hAnsi="Garamond"/>
                <w:b/>
                <w:bCs/>
                <w:color w:val="000000" w:themeColor="text1"/>
              </w:rPr>
            </w:pPr>
          </w:p>
        </w:tc>
      </w:tr>
      <w:tr w:rsidR="003D5DE8" w:rsidRPr="009672FC" w14:paraId="3789BC5F" w14:textId="77777777" w:rsidTr="000006EB">
        <w:trPr>
          <w:trHeight w:val="521"/>
        </w:trPr>
        <w:tc>
          <w:tcPr>
            <w:tcW w:w="2108" w:type="dxa"/>
          </w:tcPr>
          <w:p w14:paraId="7653C1F0" w14:textId="77777777" w:rsidR="003D5DE8" w:rsidRPr="009672FC" w:rsidRDefault="007549AA">
            <w:pPr>
              <w:widowControl w:val="0"/>
              <w:spacing w:line="360" w:lineRule="auto"/>
              <w:rPr>
                <w:rFonts w:ascii="Garamond" w:hAnsi="Garamond"/>
              </w:rPr>
            </w:pPr>
            <w:r w:rsidRPr="009672FC">
              <w:rPr>
                <w:rFonts w:ascii="Garamond" w:hAnsi="Garamond"/>
              </w:rPr>
              <w:t>SIT4</w:t>
            </w:r>
          </w:p>
        </w:tc>
        <w:tc>
          <w:tcPr>
            <w:tcW w:w="4732" w:type="dxa"/>
          </w:tcPr>
          <w:p w14:paraId="0643F838" w14:textId="77777777" w:rsidR="003D5DE8" w:rsidRPr="009672FC" w:rsidRDefault="007549AA">
            <w:pPr>
              <w:widowControl w:val="0"/>
              <w:spacing w:line="360" w:lineRule="auto"/>
              <w:rPr>
                <w:rFonts w:ascii="Garamond" w:hAnsi="Garamond"/>
                <w:b/>
                <w:bCs/>
              </w:rPr>
            </w:pPr>
            <w:bookmarkStart w:id="265" w:name="_Hlk43445017"/>
            <w:r w:rsidRPr="009672FC">
              <w:rPr>
                <w:rFonts w:ascii="Garamond" w:hAnsi="Garamond"/>
                <w:shd w:val="clear" w:color="auto" w:fill="FFFFFF"/>
              </w:rPr>
              <w:t>We ensure that our employees share similar professional trainings and/or trade skills</w:t>
            </w:r>
            <w:bookmarkEnd w:id="265"/>
            <w:r w:rsidRPr="009672FC">
              <w:rPr>
                <w:rFonts w:ascii="Garamond" w:hAnsi="Garamond"/>
                <w:shd w:val="clear" w:color="auto" w:fill="FFFFFF"/>
              </w:rPr>
              <w:t>.</w:t>
            </w:r>
          </w:p>
        </w:tc>
        <w:tc>
          <w:tcPr>
            <w:tcW w:w="2232" w:type="dxa"/>
            <w:vMerge/>
          </w:tcPr>
          <w:p w14:paraId="789642B3" w14:textId="77777777" w:rsidR="003D5DE8" w:rsidRPr="009672FC" w:rsidRDefault="003D5DE8">
            <w:pPr>
              <w:widowControl w:val="0"/>
              <w:spacing w:line="360" w:lineRule="auto"/>
              <w:jc w:val="both"/>
              <w:rPr>
                <w:rFonts w:ascii="Garamond" w:hAnsi="Garamond"/>
                <w:b/>
                <w:bCs/>
                <w:color w:val="000000" w:themeColor="text1"/>
              </w:rPr>
            </w:pPr>
          </w:p>
        </w:tc>
      </w:tr>
      <w:tr w:rsidR="003D5DE8" w:rsidRPr="009672FC" w14:paraId="6982EF3F" w14:textId="77777777" w:rsidTr="000006EB">
        <w:tc>
          <w:tcPr>
            <w:tcW w:w="2108" w:type="dxa"/>
          </w:tcPr>
          <w:p w14:paraId="3A0C5F5B" w14:textId="77777777" w:rsidR="003D5DE8" w:rsidRPr="009672FC" w:rsidRDefault="007549AA">
            <w:pPr>
              <w:widowControl w:val="0"/>
              <w:spacing w:line="360" w:lineRule="auto"/>
              <w:rPr>
                <w:rFonts w:ascii="Garamond" w:hAnsi="Garamond"/>
              </w:rPr>
            </w:pPr>
            <w:r w:rsidRPr="009672FC">
              <w:rPr>
                <w:rFonts w:ascii="Garamond" w:hAnsi="Garamond"/>
              </w:rPr>
              <w:t>Reliability trust</w:t>
            </w:r>
          </w:p>
        </w:tc>
        <w:tc>
          <w:tcPr>
            <w:tcW w:w="4732" w:type="dxa"/>
          </w:tcPr>
          <w:p w14:paraId="07B2ED8B" w14:textId="77777777" w:rsidR="003D5DE8" w:rsidRPr="009672FC" w:rsidRDefault="003D5DE8">
            <w:pPr>
              <w:widowControl w:val="0"/>
              <w:spacing w:line="360" w:lineRule="auto"/>
              <w:rPr>
                <w:rFonts w:ascii="Garamond" w:hAnsi="Garamond"/>
                <w:b/>
                <w:bCs/>
              </w:rPr>
            </w:pPr>
          </w:p>
        </w:tc>
        <w:tc>
          <w:tcPr>
            <w:tcW w:w="2232" w:type="dxa"/>
          </w:tcPr>
          <w:p w14:paraId="764FABE9" w14:textId="77777777" w:rsidR="003D5DE8" w:rsidRPr="009672FC" w:rsidRDefault="003D5DE8">
            <w:pPr>
              <w:widowControl w:val="0"/>
              <w:spacing w:line="360" w:lineRule="auto"/>
              <w:jc w:val="both"/>
              <w:rPr>
                <w:rFonts w:ascii="Garamond" w:hAnsi="Garamond"/>
                <w:b/>
                <w:bCs/>
                <w:color w:val="000000" w:themeColor="text1"/>
              </w:rPr>
            </w:pPr>
          </w:p>
        </w:tc>
      </w:tr>
      <w:tr w:rsidR="003D5DE8" w:rsidRPr="009672FC" w14:paraId="2B96A71D" w14:textId="77777777" w:rsidTr="000006EB">
        <w:tc>
          <w:tcPr>
            <w:tcW w:w="2108" w:type="dxa"/>
          </w:tcPr>
          <w:p w14:paraId="5F21296A" w14:textId="77777777" w:rsidR="003D5DE8" w:rsidRPr="009672FC" w:rsidRDefault="007549AA">
            <w:pPr>
              <w:widowControl w:val="0"/>
              <w:spacing w:line="360" w:lineRule="auto"/>
              <w:rPr>
                <w:rFonts w:ascii="Garamond" w:hAnsi="Garamond"/>
              </w:rPr>
            </w:pPr>
            <w:r w:rsidRPr="009672FC">
              <w:rPr>
                <w:rFonts w:ascii="Garamond" w:hAnsi="Garamond"/>
              </w:rPr>
              <w:t>RT1</w:t>
            </w:r>
          </w:p>
        </w:tc>
        <w:tc>
          <w:tcPr>
            <w:tcW w:w="4732" w:type="dxa"/>
          </w:tcPr>
          <w:p w14:paraId="163EA612" w14:textId="77777777" w:rsidR="003D5DE8" w:rsidRPr="009672FC" w:rsidRDefault="007549AA">
            <w:pPr>
              <w:widowControl w:val="0"/>
              <w:spacing w:line="360" w:lineRule="auto"/>
              <w:rPr>
                <w:rFonts w:ascii="Garamond" w:hAnsi="Garamond"/>
              </w:rPr>
            </w:pPr>
            <w:r w:rsidRPr="009672FC">
              <w:rPr>
                <w:rFonts w:ascii="Garamond" w:hAnsi="Garamond"/>
                <w:shd w:val="clear" w:color="auto" w:fill="FFFFFF"/>
              </w:rPr>
              <w:t xml:space="preserve">Developing high mutual trust with our business partner is a primary activity in the business </w:t>
            </w:r>
            <w:r w:rsidRPr="009672FC">
              <w:rPr>
                <w:rFonts w:ascii="Garamond" w:hAnsi="Garamond"/>
                <w:shd w:val="clear" w:color="auto" w:fill="FFFFFF"/>
              </w:rPr>
              <w:lastRenderedPageBreak/>
              <w:t>relationship with our partners.</w:t>
            </w:r>
          </w:p>
        </w:tc>
        <w:tc>
          <w:tcPr>
            <w:tcW w:w="2232" w:type="dxa"/>
          </w:tcPr>
          <w:p w14:paraId="7C75BCDA"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lastRenderedPageBreak/>
              <w:fldChar w:fldCharType="begin" w:fldLock="1"/>
            </w:r>
            <w:r w:rsidRPr="009672FC">
              <w:rPr>
                <w:rFonts w:ascii="Garamond" w:hAnsi="Garamond"/>
              </w:rPr>
              <w:instrText>ADDIN CSL_CITATION {"citationItems":[{"id":"ITEM-1","itemData":{"DOI":"10.1287/orsc.9.2.141","ISSN":"10477039","abstract":"A conceptual challenge in exploring the role of trust in interorganizational exchange is translating an inherently individual-level concept - trust - to the organizational-level outcome of performance. We define interpersonal and interorganizational trust as distinct constructs and draw on theories of interorganizational relations to derive a model of exchange performance. Specifically, we investigate the role of trust in interfirm exchange at two levels of analysis and assess its effects on negotiation costs, conflict, and ultimately performance. Propositions were tested with data from a sample of 107 buyer-supplier interfirm relationships in the electrical equipment manufacturing industry using a structural equation model. The results indicate that interpersonal and interorganizational trust are related but distinct constructs, and play different roles in affecting negotiation processes and exchange performance. Further, the hypotheses linking trust to performance receive some support, although the precise nature of the link is somewhat different than initially proposed. Overall, the results show that trust in interorganizational exchange relations clearly matters.","author":[{"dropping-particle":"","family":"Zaheer","given":"Akbar","non-dropping-particle":"","parse-names":false,"suffix":""},{"dropping-particle":"","family":"McEvily","given":"Bill","non-dropping-particle":"","parse-names":false,"suffix":""},{"dropping-particle":"","family":"Perrone","given":"Vincenzo","non-dropping-particle":"","parse-names":false,"suffix":""}],"container-title":"Organization Science","id":"ITEM-1","issue":"2","issued":{"date-parts":[["1998"]]},"page":"141-159","title":"Does Trust Matter? Exploring the Effects of Interorganizational and Interpersonal Trust on Performance","type":"article-journal","volume":"9"},"uris":["http://www.mendeley.com/documents/?uuid=2cf932b7-59af-4ed4-8af6-5020b56102a3"]}],"mendeley":{"formattedCitation":"(Zaheer et al., 1998)","manualFormatting":"Zaheer et al., (1998)","plainTextFormattedCitation":"(Zaheer et al., 1998)","previouslyFormattedCitation":"(Zaheer et al., 1998)"},"properties":{"noteIndex":0},"schema":"https://github.com/citation-style-language/schema/raw/master/csl-citation.json"}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Zaheer et al., (1998)</w:t>
            </w:r>
            <w:r w:rsidRPr="009672FC">
              <w:rPr>
                <w:rFonts w:ascii="Garamond" w:hAnsi="Garamond"/>
              </w:rPr>
              <w:fldChar w:fldCharType="end"/>
            </w:r>
            <w:r w:rsidRPr="009672FC">
              <w:rPr>
                <w:rFonts w:ascii="Garamond" w:hAnsi="Garamond"/>
                <w:color w:val="000000" w:themeColor="text1"/>
              </w:rPr>
              <w:t>;</w:t>
            </w:r>
          </w:p>
          <w:p w14:paraId="4BDAFFDD"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{"citationItems":[{"id":"ITEM-1","itemData":{"DOI":"10.1007/s10997-007-9030-9","author":[{"dropping-particle":"","family":"Six","given":"Frederique E.","non-dropping-particle":"","parse-names":false,"suffix":""}],"container-title":"Journal of Management Governance","id":"ITEM-1","issued":{"date-parts":[["2007"]]},"page":"285-309","title":"Building interpersonal trust within organizations : a relational signalling perspective","type":"article-journal","volume":"11"},"uris":["http://www.mendeley.com/documents/?uuid=45c0e0be-71a3-476f-8297-7c5350afc2c0"]}],"mendeley":{"formattedCitation":"(F. E. Six, 2007)","manualFormatting":"Six, (2007","plainTextFormattedCitation":"(F. E. Six, 2007)","previouslyFormattedCitation":"(F. E. Six, 2007)"},"properties":{"noteIndex":0},"schema":"https://github.com/citation-style-language/schema/raw/master/csl-citation.json"}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Six, (2007</w:t>
            </w:r>
            <w:r w:rsidRPr="009672FC">
              <w:rPr>
                <w:rFonts w:ascii="Garamond" w:hAnsi="Garamond"/>
              </w:rPr>
              <w:fldChar w:fldCharType="end"/>
            </w:r>
            <w:r w:rsidRPr="009672FC">
              <w:rPr>
                <w:rFonts w:ascii="Garamond" w:hAnsi="Garamond"/>
                <w:color w:val="000000" w:themeColor="text1"/>
              </w:rPr>
              <w:t>)</w:t>
            </w:r>
          </w:p>
        </w:tc>
      </w:tr>
      <w:tr w:rsidR="003D5DE8" w:rsidRPr="009672FC" w14:paraId="67396EDC" w14:textId="77777777" w:rsidTr="000006EB">
        <w:tc>
          <w:tcPr>
            <w:tcW w:w="2108" w:type="dxa"/>
          </w:tcPr>
          <w:p w14:paraId="4D95D79B" w14:textId="77777777" w:rsidR="003D5DE8" w:rsidRPr="009672FC" w:rsidRDefault="007549AA">
            <w:pPr>
              <w:widowControl w:val="0"/>
              <w:spacing w:line="360" w:lineRule="auto"/>
              <w:rPr>
                <w:rFonts w:ascii="Garamond" w:hAnsi="Garamond"/>
              </w:rPr>
            </w:pPr>
            <w:r w:rsidRPr="009672FC">
              <w:rPr>
                <w:rFonts w:ascii="Garamond" w:hAnsi="Garamond"/>
              </w:rPr>
              <w:t>RT2</w:t>
            </w:r>
          </w:p>
        </w:tc>
        <w:tc>
          <w:tcPr>
            <w:tcW w:w="4732" w:type="dxa"/>
          </w:tcPr>
          <w:p w14:paraId="087D2782" w14:textId="77777777" w:rsidR="003D5DE8" w:rsidRPr="009672FC" w:rsidRDefault="007549AA">
            <w:pPr>
              <w:widowControl w:val="0"/>
              <w:spacing w:line="360" w:lineRule="auto"/>
              <w:rPr>
                <w:rFonts w:ascii="Garamond" w:hAnsi="Garamond"/>
              </w:rPr>
            </w:pPr>
            <w:r w:rsidRPr="009672FC">
              <w:rPr>
                <w:rFonts w:ascii="Garamond" w:hAnsi="Garamond"/>
                <w:shd w:val="clear" w:color="auto" w:fill="FFFFFF"/>
              </w:rPr>
              <w:t>Promoting fair dealing is a central focus in our business relationship with partners.</w:t>
            </w:r>
          </w:p>
        </w:tc>
        <w:tc>
          <w:tcPr>
            <w:tcW w:w="2232" w:type="dxa"/>
          </w:tcPr>
          <w:p w14:paraId="446163AB"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72D4F333" w14:textId="77777777" w:rsidTr="000006EB">
        <w:tc>
          <w:tcPr>
            <w:tcW w:w="2108" w:type="dxa"/>
          </w:tcPr>
          <w:p w14:paraId="215EE2AA" w14:textId="77777777" w:rsidR="003D5DE8" w:rsidRPr="009672FC" w:rsidRDefault="007549AA">
            <w:pPr>
              <w:widowControl w:val="0"/>
              <w:spacing w:line="360" w:lineRule="auto"/>
              <w:rPr>
                <w:rFonts w:ascii="Garamond" w:hAnsi="Garamond"/>
              </w:rPr>
            </w:pPr>
            <w:r w:rsidRPr="009672FC">
              <w:rPr>
                <w:rFonts w:ascii="Garamond" w:hAnsi="Garamond"/>
              </w:rPr>
              <w:t>RT3</w:t>
            </w:r>
          </w:p>
        </w:tc>
        <w:tc>
          <w:tcPr>
            <w:tcW w:w="4732" w:type="dxa"/>
          </w:tcPr>
          <w:p w14:paraId="502A4715"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Our business partners do not always stand by their words or promises</w:t>
            </w:r>
            <w:r w:rsidRPr="009672FC">
              <w:rPr>
                <w:rFonts w:ascii="Garamond" w:hAnsi="Garamond"/>
              </w:rPr>
              <w:t xml:space="preserve"> (R)</w:t>
            </w:r>
          </w:p>
        </w:tc>
        <w:tc>
          <w:tcPr>
            <w:tcW w:w="2232" w:type="dxa"/>
          </w:tcPr>
          <w:p w14:paraId="00F5DABB"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0C35CFD5" w14:textId="77777777" w:rsidTr="000006EB">
        <w:tc>
          <w:tcPr>
            <w:tcW w:w="2108" w:type="dxa"/>
          </w:tcPr>
          <w:p w14:paraId="6E82DF5D" w14:textId="77777777" w:rsidR="003D5DE8" w:rsidRPr="009672FC" w:rsidRDefault="007549AA">
            <w:pPr>
              <w:widowControl w:val="0"/>
              <w:spacing w:line="360" w:lineRule="auto"/>
              <w:rPr>
                <w:rFonts w:ascii="Garamond" w:hAnsi="Garamond"/>
              </w:rPr>
            </w:pPr>
            <w:r w:rsidRPr="009672FC">
              <w:rPr>
                <w:rFonts w:ascii="Garamond" w:hAnsi="Garamond"/>
              </w:rPr>
              <w:t>Innovation performance</w:t>
            </w:r>
          </w:p>
        </w:tc>
        <w:tc>
          <w:tcPr>
            <w:tcW w:w="4732" w:type="dxa"/>
          </w:tcPr>
          <w:p w14:paraId="2DBFF77C" w14:textId="77777777" w:rsidR="003D5DE8" w:rsidRPr="009672FC" w:rsidRDefault="003D5DE8">
            <w:pPr>
              <w:widowControl w:val="0"/>
              <w:spacing w:line="360" w:lineRule="auto"/>
              <w:rPr>
                <w:rFonts w:ascii="Garamond" w:hAnsi="Garamond"/>
                <w:b/>
                <w:bCs/>
              </w:rPr>
            </w:pPr>
          </w:p>
        </w:tc>
        <w:tc>
          <w:tcPr>
            <w:tcW w:w="2232" w:type="dxa"/>
          </w:tcPr>
          <w:p w14:paraId="38861DE6" w14:textId="77777777" w:rsidR="003D5DE8" w:rsidRPr="009672FC" w:rsidRDefault="003D5DE8">
            <w:pPr>
              <w:widowControl w:val="0"/>
              <w:spacing w:line="360" w:lineRule="auto"/>
              <w:rPr>
                <w:rFonts w:ascii="Garamond" w:hAnsi="Garamond"/>
                <w:b/>
                <w:bCs/>
              </w:rPr>
            </w:pPr>
          </w:p>
        </w:tc>
      </w:tr>
      <w:tr w:rsidR="003D5DE8" w:rsidRPr="009672FC" w14:paraId="13B39F21" w14:textId="77777777" w:rsidTr="000006EB">
        <w:tc>
          <w:tcPr>
            <w:tcW w:w="2108" w:type="dxa"/>
          </w:tcPr>
          <w:p w14:paraId="0772D89A" w14:textId="77777777" w:rsidR="003D5DE8" w:rsidRPr="009672FC" w:rsidRDefault="007549AA">
            <w:pPr>
              <w:widowControl w:val="0"/>
              <w:spacing w:line="360" w:lineRule="auto"/>
              <w:rPr>
                <w:rFonts w:ascii="Garamond" w:hAnsi="Garamond"/>
              </w:rPr>
            </w:pPr>
            <w:r w:rsidRPr="009672FC">
              <w:rPr>
                <w:rFonts w:ascii="Garamond" w:hAnsi="Garamond"/>
              </w:rPr>
              <w:t>IP1</w:t>
            </w:r>
          </w:p>
        </w:tc>
        <w:tc>
          <w:tcPr>
            <w:tcW w:w="4732" w:type="dxa"/>
          </w:tcPr>
          <w:p w14:paraId="5BEC4497"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Our company achieve a greater success rate as a result of the partnership.</w:t>
            </w:r>
          </w:p>
        </w:tc>
        <w:tc>
          <w:tcPr>
            <w:tcW w:w="2232" w:type="dxa"/>
          </w:tcPr>
          <w:p w14:paraId="12103AFC" w14:textId="77777777" w:rsidR="003D5DE8" w:rsidRPr="009672FC" w:rsidRDefault="007549AA">
            <w:pPr>
              <w:widowControl w:val="0"/>
              <w:spacing w:line="360" w:lineRule="auto"/>
              <w:rPr>
                <w:rFonts w:ascii="Garamond" w:hAnsi="Garamond"/>
                <w:b/>
                <w:bCs/>
              </w:rPr>
            </w:pPr>
            <w:r w:rsidRPr="009672FC">
              <w:rPr>
                <w:rFonts w:ascii="Garamond" w:hAnsi="Garamond"/>
              </w:rPr>
              <w:fldChar w:fldCharType="begin" w:fldLock="1"/>
            </w:r>
            <w:r w:rsidRPr="009672FC">
              <w:rPr>
                <w:rFonts w:ascii="Garamond" w:hAnsi="Garamond"/>
              </w:rPr>
              <w:instrText>ADDIN CSL_CITATION {"citationItems":[{"id":"ITEM-1","itemData":{"DOI":"10.1007/s11846-014-0160-6","ISSN":"18636691","abstract":"Small and medium-sized enterprises (SMEs) have to carefully decide their innovation timing and the associated market entry strategy to initiate change. The question of taking either a pioneer or a follower strategy for the innovation’s market entry has so far delivered controversial empirical results in large enterprises, while the performance implications of SMEs have been widely ignored. This is where our research sets out, investigating 169 established SMEs in a longitudinal study, with our results showing that SMEs take advantage of a pioneer strategy. As researched by a moderator analysis, a follower strategy can even have a reductive effect on performance: SMEs are not able to combine knowledge with allies downstream in the supply chain. Overall, our study delivers new insights into qualitative and quantitative change of established SMEs by employing a research design looking at the performance effects of strategies and knowledge combination among firms.","author":[{"dropping-particle":"","family":"Bouncken","given":"Ricarda B.","non-dropping-particle":"","parse-names":false,"suffix":""},{"dropping-particle":"","family":"Pesch","given":"Robin","non-dropping-particle":"","parse-names":false,"suffix":""},{"dropping-particle":"","family":"Kraus","given":"Sascha","non-dropping-particle":"","parse-names":false,"suffix":""}],"container-title":"Review of Managerial Science","id":"ITEM-1","issue":"2","issued":{"date-parts":[["2015"]]},"page":"361-384","title":"SME innovativeness in buyer–seller alliances: effects of entry timing strategies and inter-organizational learning","type":"article-journal","volume":"9"},"uris":["http://www.mendeley.com/documents/?uuid=c495019b-a730-478f-85bc-6966b0e26d78"]}],"mendeley":{"formattedCitation":"(Bouncken et al., 2015)","manualFormatting":"Bouncken's et al., (2015)","plainTextFormattedCitation":"(Bouncken et al., 2015)","previouslyFormattedCitation":"(Bouncken et al., 2015)"},"properties":{"noteIndex":0},"schema":"https://github.com/citation-style-language/schema/raw/master/csl-citation.json"}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rPr>
              <w:t>Bouncken's et al., (2015)</w:t>
            </w:r>
            <w:r w:rsidRPr="009672FC">
              <w:rPr>
                <w:rFonts w:ascii="Garamond" w:hAnsi="Garamond"/>
              </w:rPr>
              <w:fldChar w:fldCharType="end"/>
            </w:r>
          </w:p>
        </w:tc>
      </w:tr>
      <w:tr w:rsidR="003D5DE8" w:rsidRPr="009672FC" w14:paraId="4920C473" w14:textId="77777777" w:rsidTr="000006EB">
        <w:tc>
          <w:tcPr>
            <w:tcW w:w="2108" w:type="dxa"/>
          </w:tcPr>
          <w:p w14:paraId="6CEC76B3" w14:textId="77777777" w:rsidR="003D5DE8" w:rsidRPr="009672FC" w:rsidRDefault="007549AA">
            <w:pPr>
              <w:widowControl w:val="0"/>
              <w:spacing w:line="360" w:lineRule="auto"/>
              <w:rPr>
                <w:rFonts w:ascii="Garamond" w:hAnsi="Garamond"/>
              </w:rPr>
            </w:pPr>
            <w:r w:rsidRPr="009672FC">
              <w:rPr>
                <w:rFonts w:ascii="Garamond" w:hAnsi="Garamond"/>
              </w:rPr>
              <w:t>IP2</w:t>
            </w:r>
          </w:p>
        </w:tc>
        <w:tc>
          <w:tcPr>
            <w:tcW w:w="4732" w:type="dxa"/>
          </w:tcPr>
          <w:p w14:paraId="46929655" w14:textId="77777777" w:rsidR="003D5DE8" w:rsidRPr="009672FC" w:rsidRDefault="007549AA">
            <w:pPr>
              <w:widowControl w:val="0"/>
              <w:spacing w:line="360" w:lineRule="auto"/>
              <w:rPr>
                <w:rFonts w:ascii="Garamond" w:hAnsi="Garamond"/>
                <w:shd w:val="clear" w:color="auto" w:fill="FFFFFF"/>
              </w:rPr>
            </w:pPr>
            <w:r w:rsidRPr="009672FC">
              <w:rPr>
                <w:rFonts w:ascii="Garamond" w:hAnsi="Garamond"/>
                <w:shd w:val="clear" w:color="auto" w:fill="FFFFFF"/>
              </w:rPr>
              <w:t>Our company has lost significant revenues due to our business relationship with our partner (R).</w:t>
            </w:r>
          </w:p>
        </w:tc>
        <w:tc>
          <w:tcPr>
            <w:tcW w:w="2232" w:type="dxa"/>
          </w:tcPr>
          <w:p w14:paraId="009E048A" w14:textId="77777777" w:rsidR="003D5DE8" w:rsidRPr="009672FC" w:rsidRDefault="003D5DE8">
            <w:pPr>
              <w:widowControl w:val="0"/>
              <w:spacing w:line="360" w:lineRule="auto"/>
              <w:rPr>
                <w:rFonts w:ascii="Garamond" w:hAnsi="Garamond"/>
                <w:b/>
                <w:bCs/>
              </w:rPr>
            </w:pPr>
          </w:p>
        </w:tc>
      </w:tr>
      <w:tr w:rsidR="003D5DE8" w:rsidRPr="009672FC" w14:paraId="25C918D5" w14:textId="77777777" w:rsidTr="000006EB">
        <w:tc>
          <w:tcPr>
            <w:tcW w:w="2108" w:type="dxa"/>
          </w:tcPr>
          <w:p w14:paraId="091D50F7" w14:textId="77777777" w:rsidR="003D5DE8" w:rsidRPr="009672FC" w:rsidRDefault="007549AA">
            <w:pPr>
              <w:widowControl w:val="0"/>
              <w:spacing w:line="360" w:lineRule="auto"/>
              <w:rPr>
                <w:rFonts w:ascii="Garamond" w:hAnsi="Garamond"/>
              </w:rPr>
            </w:pPr>
            <w:r w:rsidRPr="009672FC">
              <w:rPr>
                <w:rFonts w:ascii="Garamond" w:hAnsi="Garamond"/>
              </w:rPr>
              <w:t>IP3</w:t>
            </w:r>
          </w:p>
        </w:tc>
        <w:tc>
          <w:tcPr>
            <w:tcW w:w="4732" w:type="dxa"/>
          </w:tcPr>
          <w:p w14:paraId="44B7C2DC" w14:textId="77777777" w:rsidR="003D5DE8" w:rsidRPr="009672FC" w:rsidRDefault="007549AA">
            <w:pPr>
              <w:widowControl w:val="0"/>
              <w:spacing w:line="360" w:lineRule="auto"/>
              <w:rPr>
                <w:rFonts w:ascii="Garamond" w:hAnsi="Garamond"/>
              </w:rPr>
            </w:pPr>
            <w:r w:rsidRPr="009672FC">
              <w:rPr>
                <w:rFonts w:ascii="Garamond" w:hAnsi="Garamond"/>
                <w:shd w:val="clear" w:color="auto" w:fill="FFFFFF"/>
              </w:rPr>
              <w:t>Our company achieves greater profitability thanks to the alliance relationship</w:t>
            </w:r>
            <w:r w:rsidRPr="009672FC">
              <w:rPr>
                <w:rFonts w:ascii="Garamond" w:hAnsi="Garamond"/>
              </w:rPr>
              <w:t>.</w:t>
            </w:r>
          </w:p>
        </w:tc>
        <w:tc>
          <w:tcPr>
            <w:tcW w:w="2232" w:type="dxa"/>
          </w:tcPr>
          <w:p w14:paraId="58BB556D" w14:textId="77777777" w:rsidR="003D5DE8" w:rsidRPr="009672FC" w:rsidRDefault="003D5DE8">
            <w:pPr>
              <w:widowControl w:val="0"/>
              <w:spacing w:line="360" w:lineRule="auto"/>
              <w:rPr>
                <w:rFonts w:ascii="Garamond" w:hAnsi="Garamond"/>
                <w:b/>
                <w:bCs/>
              </w:rPr>
            </w:pPr>
          </w:p>
        </w:tc>
      </w:tr>
      <w:tr w:rsidR="003D5DE8" w:rsidRPr="009672FC" w14:paraId="0B760377" w14:textId="77777777" w:rsidTr="000006EB">
        <w:tc>
          <w:tcPr>
            <w:tcW w:w="2108" w:type="dxa"/>
          </w:tcPr>
          <w:p w14:paraId="2ECA5BE0" w14:textId="77777777" w:rsidR="003D5DE8" w:rsidRPr="009672FC" w:rsidRDefault="007549AA">
            <w:pPr>
              <w:widowControl w:val="0"/>
              <w:spacing w:line="360" w:lineRule="auto"/>
              <w:rPr>
                <w:rFonts w:ascii="Garamond" w:hAnsi="Garamond"/>
              </w:rPr>
            </w:pPr>
            <w:r w:rsidRPr="009672FC">
              <w:rPr>
                <w:rFonts w:ascii="Garamond" w:hAnsi="Garamond"/>
              </w:rPr>
              <w:t>Relational risk</w:t>
            </w:r>
          </w:p>
        </w:tc>
        <w:tc>
          <w:tcPr>
            <w:tcW w:w="4732" w:type="dxa"/>
          </w:tcPr>
          <w:p w14:paraId="24337891" w14:textId="77777777" w:rsidR="003D5DE8" w:rsidRPr="009672FC" w:rsidRDefault="003D5DE8">
            <w:pPr>
              <w:widowControl w:val="0"/>
              <w:spacing w:line="360" w:lineRule="auto"/>
              <w:rPr>
                <w:rFonts w:ascii="Garamond" w:hAnsi="Garamond"/>
                <w:b/>
                <w:bCs/>
              </w:rPr>
            </w:pPr>
          </w:p>
        </w:tc>
        <w:tc>
          <w:tcPr>
            <w:tcW w:w="2232" w:type="dxa"/>
          </w:tcPr>
          <w:p w14:paraId="65A5247F" w14:textId="77777777" w:rsidR="003D5DE8" w:rsidRPr="009672FC" w:rsidRDefault="003D5DE8">
            <w:pPr>
              <w:widowControl w:val="0"/>
              <w:spacing w:line="360" w:lineRule="auto"/>
              <w:jc w:val="both"/>
              <w:rPr>
                <w:rFonts w:ascii="Garamond" w:hAnsi="Garamond"/>
                <w:b/>
                <w:bCs/>
                <w:color w:val="000000" w:themeColor="text1"/>
              </w:rPr>
            </w:pPr>
          </w:p>
        </w:tc>
      </w:tr>
      <w:tr w:rsidR="003D5DE8" w:rsidRPr="009672FC" w14:paraId="194D4A77" w14:textId="77777777" w:rsidTr="000006EB">
        <w:tc>
          <w:tcPr>
            <w:tcW w:w="2108" w:type="dxa"/>
          </w:tcPr>
          <w:p w14:paraId="496FB237" w14:textId="77777777" w:rsidR="003D5DE8" w:rsidRPr="009672FC" w:rsidRDefault="007549AA">
            <w:pPr>
              <w:widowControl w:val="0"/>
              <w:spacing w:line="360" w:lineRule="auto"/>
              <w:rPr>
                <w:rFonts w:ascii="Garamond" w:hAnsi="Garamond"/>
              </w:rPr>
            </w:pPr>
            <w:r w:rsidRPr="009672FC">
              <w:rPr>
                <w:rFonts w:ascii="Garamond" w:hAnsi="Garamond"/>
              </w:rPr>
              <w:t>RT1</w:t>
            </w:r>
          </w:p>
        </w:tc>
        <w:tc>
          <w:tcPr>
            <w:tcW w:w="4732" w:type="dxa"/>
          </w:tcPr>
          <w:p w14:paraId="5D14B47B" w14:textId="77777777" w:rsidR="003D5DE8" w:rsidRPr="009672FC" w:rsidRDefault="007549AA">
            <w:pPr>
              <w:widowControl w:val="0"/>
              <w:spacing w:line="360" w:lineRule="auto"/>
              <w:rPr>
                <w:rFonts w:ascii="Garamond" w:hAnsi="Garamond"/>
              </w:rPr>
            </w:pPr>
            <w:r w:rsidRPr="009672FC">
              <w:rPr>
                <w:rFonts w:ascii="Garamond" w:hAnsi="Garamond"/>
              </w:rPr>
              <w:t>Our business partner lies about certain things in our transactions to protect its interest.</w:t>
            </w:r>
          </w:p>
        </w:tc>
        <w:tc>
          <w:tcPr>
            <w:tcW w:w="2232" w:type="dxa"/>
            <w:vMerge w:val="restart"/>
            <w:tcBorders>
              <w:bottom w:val="single" w:sz="4" w:space="0" w:color="000000"/>
            </w:tcBorders>
          </w:tcPr>
          <w:p w14:paraId="7E5CBDFA"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{"citationItems":[{"id":"ITEM-1","itemData":{"author":[{"dropping-particle":"","family":"Cook","given":"Karen S.","non-dropping-particle":"","parse-names":false,"suffix":""},{"dropping-particle":"","family":"Yamagishi","given":"Toshio","non-dropping-particle":"","parse-names":false,"suffix":""},{"dropping-particle":"","family":"Cheshire","given":"Coye","non-dropping-particle":"","parse-names":false,"suffix":""},{"dropping-particle":"","family":"Cooper","given":"Robin","non-dropping-particle":"","parse-names":false,"suffix":""},{"dropping-particle":"","family":"Matsuda","given":"Masafumi","non-dropping-particle":"","parse-names":false,"suffix":""},{"dropping-particle":"","family":"Mashima","given":"Rie","non-dropping-particle":"","parse-names":false,"suffix":""}],"container-title":"Social Psychology Quarterly","id":"ITEM-1","issue":"2","issued":{"date-parts":[["2005"]]},"page":"121-142","title":"Trust Building via Risk Taking : A Cross-Societal Experiment","type":"article-journal","volume":"68"},"uris":["http://www.mendeley.com/documents/?uuid=a4c515e3-522d-4e00-b3b2-b3241c4ad7fd"]}],"mendeley":{"formattedCitation":"(Cook et al., 2005)","manualFormatting":"Cook et al., (2005)","plainTextFormattedCitation":"(Cook et al., 2005)","previouslyFormattedCitation":"(Cook et al., 2005)"},"properties":{"noteIndex":0},"schema":"https://github.com/citation-style-language/schema/raw/master/csl-citation.json"}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Cook et al., (2005)</w:t>
            </w:r>
            <w:r w:rsidRPr="009672FC">
              <w:rPr>
                <w:rFonts w:ascii="Garamond" w:hAnsi="Garamond"/>
              </w:rPr>
              <w:fldChar w:fldCharType="end"/>
            </w:r>
            <w:r w:rsidRPr="009672FC">
              <w:rPr>
                <w:rFonts w:ascii="Garamond" w:hAnsi="Garamond"/>
                <w:color w:val="000000" w:themeColor="text1"/>
              </w:rPr>
              <w:t>;</w:t>
            </w:r>
          </w:p>
          <w:p w14:paraId="46F12438" w14:textId="77777777" w:rsidR="003D5DE8" w:rsidRPr="009672FC" w:rsidRDefault="003D5DE8">
            <w:pPr>
              <w:widowControl w:val="0"/>
              <w:spacing w:line="360" w:lineRule="auto"/>
              <w:jc w:val="both"/>
              <w:rPr>
                <w:rFonts w:ascii="Garamond" w:hAnsi="Garamond"/>
                <w:color w:val="000000" w:themeColor="text1"/>
              </w:rPr>
            </w:pPr>
          </w:p>
          <w:p w14:paraId="2C0750B0"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rPr>
              <w:fldChar w:fldCharType="begin" w:fldLock="1"/>
            </w:r>
            <w:r w:rsidRPr="009672FC">
              <w:rPr>
                <w:rFonts w:ascii="Garamond" w:hAnsi="Garamond"/>
              </w:rPr>
              <w:instrText>ADDIN CSL_CITATION {"citationItems":[{"id":"ITEM-1","itemData":{"author":[{"dropping-particle":"","family":"Blomqvist","given":"Kirsimarja","non-dropping-particle":"","parse-names":false,"suffix":""},{"dropping-particle":"","family":"Ståhle","given":"Pirjo","non-dropping-particle":"","parse-names":false,"suffix":""}],"container-title":"In 16th Annual IMP Conference, Bath, UK .","id":"ITEM-1","issued":{"date-parts":[["2000"]]},"page":"7-9","title":"Building Organizational Trust","type":"paper-conference"},"uris":["http://www.mendeley.com/documents/?uuid=86b5df50-2e43-4d6d-a49f-b5e96b23412c"]}],"mendeley":{"formattedCitation":"(Blomqvist &amp; Ståhle, 2000)","manualFormatting":"Blomqvist and Ståhle, (2000)","plainTextFormattedCitation":"(Blomqvist &amp; Ståhle, 2000)","previouslyFormattedCitation":"(Blomqvist &amp; Ståhle, 2000)"},"properties":{"noteIndex":0},"schema":"https://github.com/citation-style-language/schema/raw/master/csl-citation.json"}</w:instrText>
            </w:r>
            <w:r w:rsidRPr="009672FC">
              <w:rPr>
                <w:rFonts w:ascii="Garamond" w:hAnsi="Garamond"/>
              </w:rPr>
              <w:fldChar w:fldCharType="separate"/>
            </w:r>
            <w:r w:rsidRPr="009672FC">
              <w:rPr>
                <w:rFonts w:ascii="Garamond" w:hAnsi="Garamond"/>
                <w:noProof/>
                <w:color w:val="000000" w:themeColor="text1"/>
              </w:rPr>
              <w:t>Blomqvist and Ståhle, (2000)</w:t>
            </w:r>
            <w:r w:rsidRPr="009672FC">
              <w:rPr>
                <w:rFonts w:ascii="Garamond" w:hAnsi="Garamond"/>
              </w:rPr>
              <w:fldChar w:fldCharType="end"/>
            </w:r>
            <w:r w:rsidRPr="009672FC">
              <w:rPr>
                <w:rFonts w:ascii="Garamond" w:hAnsi="Garamond"/>
                <w:color w:val="000000" w:themeColor="text1"/>
              </w:rPr>
              <w:t>;</w:t>
            </w:r>
          </w:p>
          <w:p w14:paraId="2FAF2955" w14:textId="77777777" w:rsidR="003D5DE8" w:rsidRPr="009672FC" w:rsidRDefault="003D5DE8">
            <w:pPr>
              <w:widowControl w:val="0"/>
              <w:spacing w:line="360" w:lineRule="auto"/>
              <w:jc w:val="both"/>
              <w:rPr>
                <w:rFonts w:ascii="Garamond" w:hAnsi="Garamond"/>
                <w:color w:val="000000" w:themeColor="text1"/>
              </w:rPr>
            </w:pPr>
          </w:p>
          <w:p w14:paraId="6DD180F6" w14:textId="77777777" w:rsidR="003D5DE8" w:rsidRPr="009672FC" w:rsidRDefault="007549AA">
            <w:pPr>
              <w:widowControl w:val="0"/>
              <w:spacing w:line="360" w:lineRule="auto"/>
              <w:jc w:val="both"/>
              <w:rPr>
                <w:rFonts w:ascii="Garamond" w:hAnsi="Garamond"/>
                <w:color w:val="000000" w:themeColor="text1"/>
              </w:rPr>
            </w:pPr>
            <w:r w:rsidRPr="009672FC">
              <w:rPr>
                <w:rFonts w:ascii="Garamond" w:hAnsi="Garamond"/>
                <w:color w:val="000000" w:themeColor="text1"/>
              </w:rPr>
              <w:t>Yang et al., (2011)</w:t>
            </w:r>
          </w:p>
        </w:tc>
      </w:tr>
      <w:tr w:rsidR="003D5DE8" w:rsidRPr="009672FC" w14:paraId="7A2CE9CC" w14:textId="77777777" w:rsidTr="000006EB">
        <w:tc>
          <w:tcPr>
            <w:tcW w:w="2108" w:type="dxa"/>
          </w:tcPr>
          <w:p w14:paraId="452E7CB0" w14:textId="77777777" w:rsidR="003D5DE8" w:rsidRPr="009672FC" w:rsidRDefault="007549AA">
            <w:pPr>
              <w:widowControl w:val="0"/>
              <w:spacing w:line="360" w:lineRule="auto"/>
              <w:rPr>
                <w:rFonts w:ascii="Garamond" w:hAnsi="Garamond"/>
              </w:rPr>
            </w:pPr>
            <w:r w:rsidRPr="009672FC">
              <w:rPr>
                <w:rFonts w:ascii="Garamond" w:hAnsi="Garamond"/>
              </w:rPr>
              <w:t>RT2</w:t>
            </w:r>
          </w:p>
        </w:tc>
        <w:tc>
          <w:tcPr>
            <w:tcW w:w="4732" w:type="dxa"/>
          </w:tcPr>
          <w:p w14:paraId="23725464" w14:textId="4BBD22A7" w:rsidR="003D5DE8" w:rsidRPr="009672FC" w:rsidRDefault="007549AA">
            <w:pPr>
              <w:widowControl w:val="0"/>
              <w:spacing w:line="360" w:lineRule="auto"/>
              <w:rPr>
                <w:rFonts w:ascii="Garamond" w:hAnsi="Garamond"/>
              </w:rPr>
            </w:pPr>
            <w:r w:rsidRPr="009672FC">
              <w:rPr>
                <w:rFonts w:ascii="Garamond" w:hAnsi="Garamond"/>
              </w:rPr>
              <w:t xml:space="preserve">This partner never tries to violate informal agreements to maximize </w:t>
            </w:r>
            <w:r w:rsidR="00813D37" w:rsidRPr="009672FC">
              <w:rPr>
                <w:rFonts w:ascii="Garamond" w:hAnsi="Garamond"/>
              </w:rPr>
              <w:t xml:space="preserve">their </w:t>
            </w:r>
            <w:r w:rsidRPr="009672FC">
              <w:rPr>
                <w:rFonts w:ascii="Garamond" w:hAnsi="Garamond"/>
              </w:rPr>
              <w:t>benefits, (R).</w:t>
            </w:r>
          </w:p>
        </w:tc>
        <w:tc>
          <w:tcPr>
            <w:tcW w:w="2232" w:type="dxa"/>
            <w:vMerge/>
          </w:tcPr>
          <w:p w14:paraId="741C3BBE"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7E2550AF" w14:textId="77777777" w:rsidTr="000006EB">
        <w:tc>
          <w:tcPr>
            <w:tcW w:w="2108" w:type="dxa"/>
          </w:tcPr>
          <w:p w14:paraId="28122807" w14:textId="77777777" w:rsidR="003D5DE8" w:rsidRPr="009672FC" w:rsidRDefault="007549AA">
            <w:pPr>
              <w:widowControl w:val="0"/>
              <w:spacing w:line="360" w:lineRule="auto"/>
              <w:rPr>
                <w:rFonts w:ascii="Garamond" w:hAnsi="Garamond"/>
              </w:rPr>
            </w:pPr>
            <w:r w:rsidRPr="009672FC">
              <w:rPr>
                <w:rFonts w:ascii="Garamond" w:hAnsi="Garamond"/>
              </w:rPr>
              <w:t>RT3</w:t>
            </w:r>
          </w:p>
        </w:tc>
        <w:tc>
          <w:tcPr>
            <w:tcW w:w="4732" w:type="dxa"/>
          </w:tcPr>
          <w:p w14:paraId="5B966431" w14:textId="0D32909F" w:rsidR="003D5DE8" w:rsidRPr="009672FC" w:rsidRDefault="007549AA">
            <w:pPr>
              <w:widowControl w:val="0"/>
              <w:spacing w:line="360" w:lineRule="auto"/>
              <w:rPr>
                <w:rFonts w:ascii="Garamond" w:hAnsi="Garamond"/>
              </w:rPr>
            </w:pPr>
            <w:r w:rsidRPr="009672FC">
              <w:rPr>
                <w:rFonts w:ascii="Garamond" w:hAnsi="Garamond"/>
              </w:rPr>
              <w:t xml:space="preserve">This partner will try to take advantage of “holes” in our contract to further </w:t>
            </w:r>
            <w:r w:rsidR="00813D37" w:rsidRPr="009672FC">
              <w:rPr>
                <w:rFonts w:ascii="Garamond" w:hAnsi="Garamond"/>
              </w:rPr>
              <w:t xml:space="preserve">their </w:t>
            </w:r>
            <w:r w:rsidRPr="009672FC">
              <w:rPr>
                <w:rFonts w:ascii="Garamond" w:hAnsi="Garamond"/>
              </w:rPr>
              <w:t>interests.</w:t>
            </w:r>
          </w:p>
        </w:tc>
        <w:tc>
          <w:tcPr>
            <w:tcW w:w="2232" w:type="dxa"/>
            <w:vMerge/>
          </w:tcPr>
          <w:p w14:paraId="338E88DD" w14:textId="77777777" w:rsidR="003D5DE8" w:rsidRPr="009672FC" w:rsidRDefault="003D5DE8">
            <w:pPr>
              <w:widowControl w:val="0"/>
              <w:spacing w:line="360" w:lineRule="auto"/>
              <w:jc w:val="both"/>
              <w:rPr>
                <w:rFonts w:ascii="Garamond" w:hAnsi="Garamond"/>
                <w:color w:val="000000" w:themeColor="text1"/>
              </w:rPr>
            </w:pPr>
          </w:p>
        </w:tc>
      </w:tr>
      <w:tr w:rsidR="003D5DE8" w:rsidRPr="009672FC" w14:paraId="651A3AAE" w14:textId="77777777" w:rsidTr="000006EB">
        <w:tc>
          <w:tcPr>
            <w:tcW w:w="2108" w:type="dxa"/>
            <w:tcBorders>
              <w:bottom w:val="single" w:sz="4" w:space="0" w:color="000000"/>
            </w:tcBorders>
          </w:tcPr>
          <w:p w14:paraId="789557EF" w14:textId="77777777" w:rsidR="003D5DE8" w:rsidRPr="009672FC" w:rsidRDefault="007549AA">
            <w:pPr>
              <w:widowControl w:val="0"/>
              <w:spacing w:line="360" w:lineRule="auto"/>
              <w:rPr>
                <w:rFonts w:ascii="Garamond" w:hAnsi="Garamond"/>
              </w:rPr>
            </w:pPr>
            <w:r w:rsidRPr="009672FC">
              <w:rPr>
                <w:rFonts w:ascii="Garamond" w:hAnsi="Garamond"/>
              </w:rPr>
              <w:t>RT4</w:t>
            </w:r>
          </w:p>
        </w:tc>
        <w:tc>
          <w:tcPr>
            <w:tcW w:w="4732" w:type="dxa"/>
            <w:tcBorders>
              <w:bottom w:val="single" w:sz="4" w:space="0" w:color="000000"/>
            </w:tcBorders>
          </w:tcPr>
          <w:p w14:paraId="145B7086" w14:textId="77777777" w:rsidR="003D5DE8" w:rsidRPr="009672FC" w:rsidRDefault="007549AA">
            <w:pPr>
              <w:widowControl w:val="0"/>
              <w:spacing w:line="360" w:lineRule="auto"/>
              <w:rPr>
                <w:rFonts w:ascii="Garamond" w:hAnsi="Garamond"/>
              </w:rPr>
            </w:pPr>
            <w:r w:rsidRPr="009672FC">
              <w:rPr>
                <w:rFonts w:ascii="Garamond" w:hAnsi="Garamond"/>
              </w:rPr>
              <w:t>This partner sometimes uses unexpected events to force concessions from our firm (p. 94)</w:t>
            </w:r>
          </w:p>
        </w:tc>
        <w:tc>
          <w:tcPr>
            <w:tcW w:w="2232" w:type="dxa"/>
            <w:vMerge/>
            <w:tcBorders>
              <w:bottom w:val="single" w:sz="4" w:space="0" w:color="000000"/>
            </w:tcBorders>
          </w:tcPr>
          <w:p w14:paraId="12F89289" w14:textId="77777777" w:rsidR="003D5DE8" w:rsidRPr="009672FC" w:rsidRDefault="003D5DE8">
            <w:pPr>
              <w:widowControl w:val="0"/>
              <w:spacing w:line="360" w:lineRule="auto"/>
              <w:jc w:val="both"/>
              <w:rPr>
                <w:rFonts w:ascii="Garamond" w:hAnsi="Garamond"/>
                <w:color w:val="000000" w:themeColor="text1"/>
              </w:rPr>
            </w:pPr>
          </w:p>
        </w:tc>
      </w:tr>
    </w:tbl>
    <w:p w14:paraId="3A4A05CB" w14:textId="77777777" w:rsidR="003D5DE8" w:rsidRPr="009672FC" w:rsidRDefault="007549AA">
      <w:pPr>
        <w:rPr>
          <w:rFonts w:ascii="Garamond" w:hAnsi="Garamond"/>
          <w:sz w:val="28"/>
          <w:szCs w:val="28"/>
        </w:rPr>
      </w:pPr>
      <w:r w:rsidRPr="009672FC">
        <w:rPr>
          <w:rFonts w:ascii="Garamond" w:hAnsi="Garamond"/>
          <w:b/>
          <w:bCs/>
          <w:color w:val="000000" w:themeColor="text1"/>
          <w:sz w:val="18"/>
          <w:szCs w:val="18"/>
        </w:rPr>
        <w:t>Note:</w:t>
      </w:r>
      <w:r w:rsidRPr="009672FC">
        <w:rPr>
          <w:rFonts w:ascii="Garamond" w:hAnsi="Garamond"/>
          <w:color w:val="000000" w:themeColor="text1"/>
          <w:sz w:val="18"/>
          <w:szCs w:val="18"/>
        </w:rPr>
        <w:t xml:space="preserve"> Respondents used a 5-point Likert scale to provide responses on each item, such that 1=strongly disagree to 5=strongly agree. Author’s iteration.</w:t>
      </w:r>
    </w:p>
    <w:p w14:paraId="44CD1BC1" w14:textId="77777777" w:rsidR="003D5DE8" w:rsidRPr="009672FC" w:rsidRDefault="003D5DE8">
      <w:pPr>
        <w:spacing w:line="360" w:lineRule="auto"/>
        <w:ind w:firstLine="360"/>
        <w:jc w:val="both"/>
        <w:rPr>
          <w:rFonts w:ascii="Garamond" w:hAnsi="Garamond"/>
        </w:rPr>
      </w:pPr>
    </w:p>
    <w:p w14:paraId="0BAEA13E" w14:textId="77777777" w:rsidR="003D5DE8" w:rsidRPr="009672FC" w:rsidRDefault="003D5DE8">
      <w:pPr>
        <w:spacing w:line="360" w:lineRule="auto"/>
        <w:ind w:firstLine="360"/>
        <w:jc w:val="both"/>
        <w:rPr>
          <w:rFonts w:ascii="Garamond" w:hAnsi="Garamond"/>
        </w:rPr>
      </w:pPr>
    </w:p>
    <w:p w14:paraId="46F4259F" w14:textId="15D41AD5" w:rsidR="003D5DE8" w:rsidRDefault="003D5DE8" w:rsidP="000006EB">
      <w:pPr>
        <w:spacing w:line="360" w:lineRule="auto"/>
        <w:jc w:val="both"/>
        <w:rPr>
          <w:rFonts w:ascii="Garamond" w:hAnsi="Garamond"/>
        </w:rPr>
      </w:pPr>
    </w:p>
    <w:p w14:paraId="05162431" w14:textId="28307C31" w:rsidR="00091248" w:rsidRDefault="00091248" w:rsidP="000006EB">
      <w:pPr>
        <w:spacing w:line="360" w:lineRule="auto"/>
        <w:jc w:val="both"/>
        <w:rPr>
          <w:rFonts w:ascii="Garamond" w:hAnsi="Garamond"/>
        </w:rPr>
      </w:pPr>
    </w:p>
    <w:p w14:paraId="67193BB1" w14:textId="77777777" w:rsidR="00091248" w:rsidRPr="009672FC" w:rsidRDefault="00091248" w:rsidP="000006EB">
      <w:pPr>
        <w:spacing w:line="360" w:lineRule="auto"/>
        <w:jc w:val="both"/>
        <w:rPr>
          <w:rFonts w:ascii="Garamond" w:hAnsi="Garamond"/>
        </w:rPr>
      </w:pPr>
    </w:p>
    <w:p w14:paraId="1F540E6B" w14:textId="77777777" w:rsidR="003D5DE8" w:rsidRPr="009672FC" w:rsidRDefault="007549AA">
      <w:pPr>
        <w:pStyle w:val="Heading1"/>
        <w:rPr>
          <w:rFonts w:ascii="Garamond" w:hAnsi="Garamond" w:cs="Times New Roman"/>
          <w:b/>
          <w:bCs/>
          <w:color w:val="auto"/>
          <w:sz w:val="24"/>
          <w:szCs w:val="24"/>
        </w:rPr>
      </w:pPr>
      <w:bookmarkStart w:id="266" w:name="_Toc85708789"/>
      <w:bookmarkStart w:id="267" w:name="_Toc85709805"/>
      <w:r w:rsidRPr="009672FC">
        <w:rPr>
          <w:rFonts w:ascii="Garamond" w:hAnsi="Garamond" w:cs="Times New Roman"/>
          <w:b/>
          <w:bCs/>
          <w:color w:val="auto"/>
          <w:sz w:val="24"/>
          <w:szCs w:val="24"/>
        </w:rPr>
        <w:lastRenderedPageBreak/>
        <w:t>Bibliography</w:t>
      </w:r>
      <w:bookmarkEnd w:id="266"/>
      <w:bookmarkEnd w:id="267"/>
    </w:p>
    <w:p w14:paraId="0A5AF770" w14:textId="149D4E6E" w:rsidR="00813D37" w:rsidRPr="009672FC" w:rsidRDefault="007549AA"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rPr>
        <w:fldChar w:fldCharType="begin" w:fldLock="1"/>
      </w:r>
      <w:r w:rsidRPr="009672FC">
        <w:rPr>
          <w:rFonts w:ascii="Garamond" w:hAnsi="Garamond"/>
        </w:rPr>
        <w:instrText>ADDIN Mendeley Bibliography CSL_BIBLIOGRAPHY</w:instrText>
      </w:r>
      <w:r w:rsidRPr="009672FC">
        <w:rPr>
          <w:rFonts w:ascii="Garamond" w:hAnsi="Garamond"/>
        </w:rPr>
        <w:fldChar w:fldCharType="separate"/>
      </w:r>
      <w:r w:rsidR="00813D37" w:rsidRPr="009672FC">
        <w:rPr>
          <w:rFonts w:ascii="Garamond" w:hAnsi="Garamond"/>
          <w:noProof/>
        </w:rPr>
        <w:t xml:space="preserve">Aarikka-Stenroos, L., &amp; Jaakkola, E. (2012). Value co-creation in knowledge intensive business services: A dyadic perspective on the joint problem solving process. </w:t>
      </w:r>
      <w:r w:rsidR="00813D37" w:rsidRPr="009672FC">
        <w:rPr>
          <w:rFonts w:ascii="Garamond" w:hAnsi="Garamond"/>
          <w:i/>
          <w:iCs/>
          <w:noProof/>
        </w:rPr>
        <w:t>Industrial Marketing Management</w:t>
      </w:r>
      <w:r w:rsidR="00813D37" w:rsidRPr="009672FC">
        <w:rPr>
          <w:rFonts w:ascii="Garamond" w:hAnsi="Garamond"/>
          <w:noProof/>
        </w:rPr>
        <w:t xml:space="preserve">, </w:t>
      </w:r>
      <w:r w:rsidR="00813D37" w:rsidRPr="009672FC">
        <w:rPr>
          <w:rFonts w:ascii="Garamond" w:hAnsi="Garamond"/>
          <w:i/>
          <w:iCs/>
          <w:noProof/>
        </w:rPr>
        <w:t>41</w:t>
      </w:r>
      <w:r w:rsidR="00813D37" w:rsidRPr="009672FC">
        <w:rPr>
          <w:rFonts w:ascii="Garamond" w:hAnsi="Garamond"/>
          <w:noProof/>
        </w:rPr>
        <w:t>(1), 15–26. https://doi.org/10.1016/j.indmarman.2011.11.008</w:t>
      </w:r>
    </w:p>
    <w:p w14:paraId="5ED33BC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Adnan, H., Shamsuddin, S. M., Supardi, A., &amp; Ahmad, N. (2012). Conflict Prevention in Partnering Projects. </w:t>
      </w:r>
      <w:r w:rsidRPr="009672FC">
        <w:rPr>
          <w:rFonts w:ascii="Garamond" w:hAnsi="Garamond"/>
          <w:i/>
          <w:iCs/>
          <w:noProof/>
        </w:rPr>
        <w:t>Procedia - Social and Behavioral Sciences</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(December 2011), 772–781. https://doi.org/10.1016/j.sbspro.2012.02.148</w:t>
      </w:r>
    </w:p>
    <w:p w14:paraId="68AA4FE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Aga, D. A., Noorderhaven, N., &amp; Vallejo, B. (2016). Transformational leadership and project success: The mediating role of team-building.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34</w:t>
      </w:r>
      <w:r w:rsidRPr="009672FC">
        <w:rPr>
          <w:rFonts w:ascii="Garamond" w:hAnsi="Garamond"/>
          <w:noProof/>
        </w:rPr>
        <w:t>(5), 806–818. https://doi.org/10.1016/j.ijproman.2016.02.012</w:t>
      </w:r>
    </w:p>
    <w:p w14:paraId="68C88412" w14:textId="578F1C3B"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Agarwal, A., &amp; Shankar, R. (2003). On-line trust building in e-enabled supply chain. </w:t>
      </w:r>
      <w:r w:rsidRPr="009672FC">
        <w:rPr>
          <w:rFonts w:ascii="Garamond" w:hAnsi="Garamond"/>
          <w:i/>
          <w:iCs/>
          <w:noProof/>
        </w:rPr>
        <w:t>SupplyChain Management: An International Journal</w:t>
      </w:r>
      <w:r w:rsidRPr="009672FC">
        <w:rPr>
          <w:rFonts w:ascii="Garamond" w:hAnsi="Garamond"/>
          <w:noProof/>
        </w:rPr>
        <w:t xml:space="preserve">, </w:t>
      </w:r>
      <w:r w:rsidRPr="009672FC">
        <w:rPr>
          <w:rFonts w:ascii="Garamond" w:hAnsi="Garamond"/>
          <w:i/>
          <w:iCs/>
          <w:noProof/>
        </w:rPr>
        <w:t>8</w:t>
      </w:r>
      <w:r w:rsidRPr="009672FC">
        <w:rPr>
          <w:rFonts w:ascii="Garamond" w:hAnsi="Garamond"/>
          <w:noProof/>
        </w:rPr>
        <w:t>(4), 324–334. https://doi.org/10.1108/13598540310490080</w:t>
      </w:r>
      <w:r w:rsidR="00BE5664" w:rsidRPr="009672FC">
        <w:rPr>
          <w:rFonts w:ascii="Garamond" w:hAnsi="Garamond"/>
          <w:noProof/>
        </w:rPr>
        <w:t>.</w:t>
      </w:r>
    </w:p>
    <w:p w14:paraId="283ADBB3" w14:textId="42592DFD" w:rsidR="00BE5664" w:rsidRPr="009672FC" w:rsidRDefault="00BE5664" w:rsidP="00BE5664">
      <w:pPr>
        <w:jc w:val="both"/>
        <w:rPr>
          <w:rFonts w:ascii="Garamond" w:hAnsi="Garamond"/>
          <w:bCs/>
          <w:lang w:eastAsia="en-US"/>
        </w:rPr>
      </w:pPr>
      <w:r w:rsidRPr="009672FC">
        <w:rPr>
          <w:rFonts w:ascii="Garamond" w:hAnsi="Garamond"/>
          <w:bCs/>
        </w:rPr>
        <w:t>Arrow, K. (1971) Essays in the theory of risk bearing. Chicago: Markham</w:t>
      </w:r>
      <w:r w:rsidRPr="009672FC">
        <w:rPr>
          <w:rFonts w:ascii="Garamond" w:hAnsi="Garamond"/>
          <w:bCs/>
          <w:lang w:eastAsia="en-US"/>
        </w:rPr>
        <w:t>.</w:t>
      </w:r>
    </w:p>
    <w:p w14:paraId="6F7F8BF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Ahola, T., Aaltonen, K., Artto, K., &amp; Lehtinen, J. (2019). Making room to manoeuvre: How firms increase their influence with others in business networks. </w:t>
      </w:r>
      <w:r w:rsidRPr="009672FC">
        <w:rPr>
          <w:rFonts w:ascii="Garamond" w:hAnsi="Garamond"/>
          <w:i/>
          <w:iCs/>
          <w:noProof/>
        </w:rPr>
        <w:t>Industrial Marketing Management</w:t>
      </w:r>
      <w:r w:rsidRPr="009672FC">
        <w:rPr>
          <w:rFonts w:ascii="Garamond" w:hAnsi="Garamond"/>
          <w:noProof/>
        </w:rPr>
        <w:t>, (November 2016), 1–15. https://doi.org/10.1016/j.indmarman.2019.08.010</w:t>
      </w:r>
    </w:p>
    <w:p w14:paraId="0B2A66D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Ahuja, G. (2000). Collaboration networks, structural holes, and innovation: A longitudinal study. </w:t>
      </w:r>
      <w:r w:rsidRPr="009672FC">
        <w:rPr>
          <w:rFonts w:ascii="Garamond" w:hAnsi="Garamond"/>
          <w:i/>
          <w:iCs/>
          <w:noProof/>
        </w:rPr>
        <w:t>Administrative Science Quarterly</w:t>
      </w:r>
      <w:r w:rsidRPr="009672FC">
        <w:rPr>
          <w:rFonts w:ascii="Garamond" w:hAnsi="Garamond"/>
          <w:noProof/>
        </w:rPr>
        <w:t xml:space="preserve">, </w:t>
      </w:r>
      <w:r w:rsidRPr="009672FC">
        <w:rPr>
          <w:rFonts w:ascii="Garamond" w:hAnsi="Garamond"/>
          <w:i/>
          <w:iCs/>
          <w:noProof/>
        </w:rPr>
        <w:t>45</w:t>
      </w:r>
      <w:r w:rsidRPr="009672FC">
        <w:rPr>
          <w:rFonts w:ascii="Garamond" w:hAnsi="Garamond"/>
          <w:noProof/>
        </w:rPr>
        <w:t>(3), 425–455. https://doi.org/10.2307/2667105</w:t>
      </w:r>
    </w:p>
    <w:p w14:paraId="74B9132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Akbari, M., Bagheri, A., Imani, S., &amp; Asadnezhad, M. (2021). Does entrepreneurial leadership encourage innovation work behavior</w:t>
      </w:r>
      <w:r w:rsidRPr="009672FC">
        <w:rPr>
          <w:noProof/>
        </w:rPr>
        <w:t> </w:t>
      </w:r>
      <w:r w:rsidRPr="009672FC">
        <w:rPr>
          <w:rFonts w:ascii="Garamond" w:hAnsi="Garamond"/>
          <w:noProof/>
        </w:rPr>
        <w:t xml:space="preserve">? The mediating role of creative self-efficacy and support for innovation. </w:t>
      </w:r>
      <w:r w:rsidRPr="009672FC">
        <w:rPr>
          <w:rFonts w:ascii="Garamond" w:hAnsi="Garamond"/>
          <w:i/>
          <w:iCs/>
          <w:noProof/>
        </w:rPr>
        <w:t>European Journal of Innovation Management</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(1), 1–22. https://doi.org/10.1108/EJIM-10-2019-0283</w:t>
      </w:r>
    </w:p>
    <w:p w14:paraId="7B20F4C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Al-Tabbaa, O., &amp; Ankrah, S. (2016). Social capital to facilitate “engineered” university-industry collaboration for technology transfer: A dynamic perspective. </w:t>
      </w:r>
      <w:r w:rsidRPr="009672FC">
        <w:rPr>
          <w:rFonts w:ascii="Garamond" w:hAnsi="Garamond"/>
          <w:i/>
          <w:iCs/>
          <w:noProof/>
        </w:rPr>
        <w:t>Technological Forecasting and Social Change</w:t>
      </w:r>
      <w:r w:rsidRPr="009672FC">
        <w:rPr>
          <w:rFonts w:ascii="Garamond" w:hAnsi="Garamond"/>
          <w:noProof/>
        </w:rPr>
        <w:t xml:space="preserve">, </w:t>
      </w:r>
      <w:r w:rsidRPr="009672FC">
        <w:rPr>
          <w:rFonts w:ascii="Garamond" w:hAnsi="Garamond"/>
          <w:i/>
          <w:iCs/>
          <w:noProof/>
        </w:rPr>
        <w:t>104</w:t>
      </w:r>
      <w:r w:rsidRPr="009672FC">
        <w:rPr>
          <w:rFonts w:ascii="Garamond" w:hAnsi="Garamond"/>
          <w:noProof/>
        </w:rPr>
        <w:t>, 1–15. https://doi.org/10.1016/j.techfore.2015.11.027</w:t>
      </w:r>
    </w:p>
    <w:p w14:paraId="3A5BF4F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Al-Tabbaa, O., Leach, D., &amp; Khan, Z. (2019). Examining alliance management capabilities in cross-sector collaborative partnerships.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101</w:t>
      </w:r>
      <w:r w:rsidRPr="009672FC">
        <w:rPr>
          <w:rFonts w:ascii="Garamond" w:hAnsi="Garamond"/>
          <w:noProof/>
        </w:rPr>
        <w:t>(March), 268–284. https://doi.org/10.1016/j.jbusres.2019.04.001</w:t>
      </w:r>
    </w:p>
    <w:p w14:paraId="74D1DD9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Alexander, M. J., Jaakkola, E., &amp; Hollebeek, L. D. (2018). Zooming out: actor engagement beyond the dyadic. </w:t>
      </w:r>
      <w:r w:rsidRPr="009672FC">
        <w:rPr>
          <w:rFonts w:ascii="Garamond" w:hAnsi="Garamond"/>
          <w:i/>
          <w:iCs/>
          <w:noProof/>
        </w:rPr>
        <w:t>Journal of Service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(3), 333–351. https://doi.org/10.1108/JOSM-08-2016-0237</w:t>
      </w:r>
    </w:p>
    <w:p w14:paraId="322E70E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Alias, Z., Zawawi, E. M. A., Yusof, K., &amp; Aris, N. M. (2014). Determining Critical Success Factors of Project Management Practice: A Conceptual Framework. </w:t>
      </w:r>
      <w:r w:rsidRPr="009672FC">
        <w:rPr>
          <w:rFonts w:ascii="Garamond" w:hAnsi="Garamond"/>
          <w:i/>
          <w:iCs/>
          <w:noProof/>
        </w:rPr>
        <w:t>Procedia - Social and Behavioral Sciences</w:t>
      </w:r>
      <w:r w:rsidRPr="009672FC">
        <w:rPr>
          <w:rFonts w:ascii="Garamond" w:hAnsi="Garamond"/>
          <w:noProof/>
        </w:rPr>
        <w:t xml:space="preserve">, </w:t>
      </w:r>
      <w:r w:rsidRPr="009672FC">
        <w:rPr>
          <w:rFonts w:ascii="Garamond" w:hAnsi="Garamond"/>
          <w:i/>
          <w:iCs/>
          <w:noProof/>
        </w:rPr>
        <w:t>153</w:t>
      </w:r>
      <w:r w:rsidRPr="009672FC">
        <w:rPr>
          <w:rFonts w:ascii="Garamond" w:hAnsi="Garamond"/>
          <w:noProof/>
        </w:rPr>
        <w:t>, 61–69. https://doi.org/10.1016/j.sbspro.2014.10.041</w:t>
      </w:r>
    </w:p>
    <w:p w14:paraId="3AAE046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Alimadadi, S., Bengtson, A., &amp; Salmi, A. (2019). Disruption, dissolution and reconstruction: A dialectical view on inter-organizational relationship development. </w:t>
      </w:r>
      <w:r w:rsidRPr="009672FC">
        <w:rPr>
          <w:rFonts w:ascii="Garamond" w:hAnsi="Garamond"/>
          <w:i/>
          <w:iCs/>
          <w:noProof/>
        </w:rPr>
        <w:t>Scandinavian Journal of Management</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(3), 101047. https://doi.org/10.1016/j.scaman.2019.101047</w:t>
      </w:r>
    </w:p>
    <w:p w14:paraId="40EB4C3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Andreini, D., &amp; Bettinelli, C. (2017). </w:t>
      </w:r>
      <w:r w:rsidRPr="009672FC">
        <w:rPr>
          <w:rFonts w:ascii="Garamond" w:hAnsi="Garamond"/>
          <w:i/>
          <w:iCs/>
          <w:noProof/>
        </w:rPr>
        <w:t>Business Model Innovation: From Systematic Literature Review to Future Research Directions</w:t>
      </w:r>
      <w:r w:rsidRPr="009672FC">
        <w:rPr>
          <w:rFonts w:ascii="Garamond" w:hAnsi="Garamond"/>
          <w:noProof/>
        </w:rPr>
        <w:t>.</w:t>
      </w:r>
    </w:p>
    <w:p w14:paraId="1DD6C1C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Andriopoulos, C., &amp; Lewis, M. W. (2009). Exploitation-Exploration Tensions and Organizational Ambidexterity: Managing Paradoxes of Innovation.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(4), 696–717. https://doi.org/10.1287/orsc.1080.0406</w:t>
      </w:r>
    </w:p>
    <w:p w14:paraId="52D5B2A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Arranz, N., &amp; Fdez. de Arroyabe, J. C. (2012). Can innovation network projects result in efficient performance? </w:t>
      </w:r>
      <w:r w:rsidRPr="009672FC">
        <w:rPr>
          <w:rFonts w:ascii="Garamond" w:hAnsi="Garamond"/>
          <w:i/>
          <w:iCs/>
          <w:noProof/>
        </w:rPr>
        <w:t>Technological Forecasting and Social Change</w:t>
      </w:r>
      <w:r w:rsidRPr="009672FC">
        <w:rPr>
          <w:rFonts w:ascii="Garamond" w:hAnsi="Garamond"/>
          <w:noProof/>
        </w:rPr>
        <w:t xml:space="preserve">, </w:t>
      </w:r>
      <w:r w:rsidRPr="009672FC">
        <w:rPr>
          <w:rFonts w:ascii="Garamond" w:hAnsi="Garamond"/>
          <w:i/>
          <w:iCs/>
          <w:noProof/>
        </w:rPr>
        <w:t>79</w:t>
      </w:r>
      <w:r w:rsidRPr="009672FC">
        <w:rPr>
          <w:rFonts w:ascii="Garamond" w:hAnsi="Garamond"/>
          <w:noProof/>
        </w:rPr>
        <w:t>(3), 485–497. https://doi.org/10.1016/j.techfore.2011.09.003</w:t>
      </w:r>
    </w:p>
    <w:p w14:paraId="6B34BBE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Arshad Ali, S., Baloch, M., Ahmed, N., Arshad Ali, A., &amp; Iqbal, A. (2020). The outbreak of Coronavirus Disease 2019 (COVID-19)—An emerging global health threat. </w:t>
      </w:r>
      <w:r w:rsidRPr="009672FC">
        <w:rPr>
          <w:rFonts w:ascii="Garamond" w:hAnsi="Garamond"/>
          <w:i/>
          <w:iCs/>
          <w:noProof/>
        </w:rPr>
        <w:t>Journal of Infection and Public Health</w:t>
      </w:r>
      <w:r w:rsidRPr="009672FC">
        <w:rPr>
          <w:rFonts w:ascii="Garamond" w:hAnsi="Garamond"/>
          <w:noProof/>
        </w:rPr>
        <w:t xml:space="preserve">, </w:t>
      </w:r>
      <w:r w:rsidRPr="009672FC">
        <w:rPr>
          <w:rFonts w:ascii="Garamond" w:hAnsi="Garamond"/>
          <w:i/>
          <w:iCs/>
          <w:noProof/>
        </w:rPr>
        <w:t>13</w:t>
      </w:r>
      <w:r w:rsidRPr="009672FC">
        <w:rPr>
          <w:rFonts w:ascii="Garamond" w:hAnsi="Garamond"/>
          <w:noProof/>
        </w:rPr>
        <w:t>(4), 644–646. https://doi.org/10.1016/j.jiph.2020.02.033</w:t>
      </w:r>
    </w:p>
    <w:p w14:paraId="6119DFC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Artto, K., Ahola, T., Kyrö, R., &amp; Peltokorpi, A. (2017). Managing business networks for value creation in facilities and their external environments: A study on co-location. </w:t>
      </w:r>
      <w:r w:rsidRPr="009672FC">
        <w:rPr>
          <w:rFonts w:ascii="Garamond" w:hAnsi="Garamond"/>
          <w:i/>
          <w:iCs/>
          <w:noProof/>
        </w:rPr>
        <w:t>Facilities</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(1–2), 99–115. https://doi.org/10.1108/F-07-2015-0049</w:t>
      </w:r>
    </w:p>
    <w:p w14:paraId="38AA417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Austin, J. E. (2000a). Strategic collaboration between nonprofits and businesses. </w:t>
      </w:r>
      <w:r w:rsidRPr="009672FC">
        <w:rPr>
          <w:rFonts w:ascii="Garamond" w:hAnsi="Garamond"/>
          <w:i/>
          <w:iCs/>
          <w:noProof/>
        </w:rPr>
        <w:t>Nonprofit and Voluntary Sector Quarterly</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(SUPPL.), 69–97. https://doi.org/10.1177/089976400773746346</w:t>
      </w:r>
    </w:p>
    <w:p w14:paraId="769D3A5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Austin, J. E. (2000b). The Collaboration Challenge: How Nonprofits and Businesses Succeed Through Strategic Alliances. </w:t>
      </w:r>
      <w:r w:rsidRPr="009672FC">
        <w:rPr>
          <w:rFonts w:ascii="Garamond" w:hAnsi="Garamond"/>
          <w:i/>
          <w:iCs/>
          <w:noProof/>
        </w:rPr>
        <w:t>Manufacturing Engineer</w:t>
      </w:r>
      <w:r w:rsidRPr="009672FC">
        <w:rPr>
          <w:rFonts w:ascii="Garamond" w:hAnsi="Garamond"/>
          <w:noProof/>
        </w:rPr>
        <w:t xml:space="preserve">, </w:t>
      </w:r>
      <w:r w:rsidRPr="009672FC">
        <w:rPr>
          <w:rFonts w:ascii="Garamond" w:hAnsi="Garamond"/>
          <w:i/>
          <w:iCs/>
          <w:noProof/>
        </w:rPr>
        <w:t>83</w:t>
      </w:r>
      <w:r w:rsidRPr="009672FC">
        <w:rPr>
          <w:rFonts w:ascii="Garamond" w:hAnsi="Garamond"/>
          <w:noProof/>
        </w:rPr>
        <w:t>, 6. Retrieved from http://search.ebscohost.com/login.aspx?direct=true&amp;db=bth&amp;AN=15794087&amp;site=ehost-live</w:t>
      </w:r>
    </w:p>
    <w:p w14:paraId="08D498A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Austin, J. E., &amp; Seitanidi, M. M. (2012a). Collaborative Value Creation: A Review of Partnering Between Nonprofits and Businesses: Part I. Value Creation Spectrum and Collaboration Stages. </w:t>
      </w:r>
      <w:r w:rsidRPr="009672FC">
        <w:rPr>
          <w:rFonts w:ascii="Garamond" w:hAnsi="Garamond"/>
          <w:i/>
          <w:iCs/>
          <w:noProof/>
        </w:rPr>
        <w:t>Nonprofit and Voluntary Sector Quarterly</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(5), 726–758. https://doi.org/10.1177/0899764012450777</w:t>
      </w:r>
    </w:p>
    <w:p w14:paraId="5EF08E7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Austin, J. E., &amp; Seitanidi, M. M. (2012b). Collaborative Value Creation: A Review of Partnering Between Nonprofits and Businesses. Part 2: Partnership Processes and Outcomes. </w:t>
      </w:r>
      <w:r w:rsidRPr="009672FC">
        <w:rPr>
          <w:rFonts w:ascii="Garamond" w:hAnsi="Garamond"/>
          <w:i/>
          <w:iCs/>
          <w:noProof/>
        </w:rPr>
        <w:t>Nonprofit and Voluntary Sector Quarterly</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(6), 929–968. https://doi.org/10.1177/0899764012454685</w:t>
      </w:r>
    </w:p>
    <w:p w14:paraId="4D97331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Austin, J., Stevenson, H., &amp; Wei-Skillern, J. (2006). Social and Commercial Entrepreneurship: Same, Different, or Both? </w:t>
      </w:r>
      <w:r w:rsidRPr="009672FC">
        <w:rPr>
          <w:rFonts w:ascii="Garamond" w:hAnsi="Garamond"/>
          <w:i/>
          <w:iCs/>
          <w:noProof/>
        </w:rPr>
        <w:t>Entrepreneurship Theory and Practice</w:t>
      </w:r>
      <w:r w:rsidRPr="009672FC">
        <w:rPr>
          <w:rFonts w:ascii="Garamond" w:hAnsi="Garamond"/>
          <w:noProof/>
        </w:rPr>
        <w:t xml:space="preserve">, </w:t>
      </w:r>
      <w:r w:rsidRPr="009672FC">
        <w:rPr>
          <w:rFonts w:ascii="Garamond" w:hAnsi="Garamond"/>
          <w:i/>
          <w:iCs/>
          <w:noProof/>
        </w:rPr>
        <w:t>30</w:t>
      </w:r>
      <w:r w:rsidRPr="009672FC">
        <w:rPr>
          <w:rFonts w:ascii="Garamond" w:hAnsi="Garamond"/>
          <w:noProof/>
        </w:rPr>
        <w:t>(1), 1–22. https://doi.org/10.1111/j.1540-6520.2009.00354.x</w:t>
      </w:r>
    </w:p>
    <w:p w14:paraId="79D1CCC1" w14:textId="77777777" w:rsidR="00BE5664" w:rsidRPr="009672FC" w:rsidRDefault="00813D37"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Ayoko, O. B., &amp; Pekerti, A. A. (2008). The mediating and moderating effects of conflict and communication openness on workplace trust. </w:t>
      </w:r>
      <w:r w:rsidRPr="009672FC">
        <w:rPr>
          <w:rFonts w:ascii="Garamond" w:hAnsi="Garamond"/>
          <w:i/>
          <w:iCs/>
          <w:noProof/>
        </w:rPr>
        <w:t>International Journal of Conflict Management</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 xml:space="preserve">(4), </w:t>
      </w:r>
      <w:r w:rsidRPr="009672FC">
        <w:rPr>
          <w:rFonts w:ascii="Garamond" w:hAnsi="Garamond"/>
          <w:noProof/>
        </w:rPr>
        <w:lastRenderedPageBreak/>
        <w:t>297–318. https://doi.org/10.1108/10444060810909275</w:t>
      </w:r>
      <w:r w:rsidR="00BE5664" w:rsidRPr="009672FC">
        <w:rPr>
          <w:rFonts w:ascii="Garamond" w:hAnsi="Garamond"/>
          <w:noProof/>
        </w:rPr>
        <w:t>.</w:t>
      </w:r>
    </w:p>
    <w:p w14:paraId="41D52259" w14:textId="77777777"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Barney, B. B., Ouchi, W. G. (Eds) (1986), Organizational Economics</w:t>
      </w:r>
      <w:r w:rsidRPr="009672FC">
        <w:rPr>
          <w:rFonts w:ascii="Garamond" w:hAnsi="Garamond"/>
          <w:i/>
          <w:iCs/>
        </w:rPr>
        <w:t>,</w:t>
      </w:r>
      <w:r w:rsidRPr="009672FC">
        <w:rPr>
          <w:rFonts w:ascii="Garamond" w:hAnsi="Garamond"/>
        </w:rPr>
        <w:t xml:space="preserve"> San Francisco: Jossey-Bass</w:t>
      </w:r>
      <w:r w:rsidRPr="009672FC">
        <w:rPr>
          <w:rFonts w:ascii="Garamond" w:hAnsi="Garamond"/>
          <w:noProof/>
        </w:rPr>
        <w:t>.</w:t>
      </w:r>
    </w:p>
    <w:p w14:paraId="3290E3BF" w14:textId="786B9944"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Coase, H. R. (1937), The nature of the firm, Economica (4), 386-405</w:t>
      </w:r>
    </w:p>
    <w:p w14:paraId="1C1530A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Bachmann, R., &amp; Inkpen, A. C. (2011). Understanding institutional-based trust building processes in inter-organizational relationships. </w:t>
      </w:r>
      <w:r w:rsidRPr="009672FC">
        <w:rPr>
          <w:rFonts w:ascii="Garamond" w:hAnsi="Garamond"/>
          <w:i/>
          <w:iCs/>
          <w:noProof/>
        </w:rPr>
        <w:t>Organization Studies</w:t>
      </w:r>
      <w:r w:rsidRPr="009672FC">
        <w:rPr>
          <w:rFonts w:ascii="Garamond" w:hAnsi="Garamond"/>
          <w:noProof/>
        </w:rPr>
        <w:t xml:space="preserve">, </w:t>
      </w:r>
      <w:r w:rsidRPr="009672FC">
        <w:rPr>
          <w:rFonts w:ascii="Garamond" w:hAnsi="Garamond"/>
          <w:i/>
          <w:iCs/>
          <w:noProof/>
        </w:rPr>
        <w:t>32</w:t>
      </w:r>
      <w:r w:rsidRPr="009672FC">
        <w:rPr>
          <w:rFonts w:ascii="Garamond" w:hAnsi="Garamond"/>
          <w:noProof/>
        </w:rPr>
        <w:t>(2), 281–301. https://doi.org/10.1177/0170840610397477</w:t>
      </w:r>
    </w:p>
    <w:p w14:paraId="73F7F92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Bagheri, S., Kusters, R. J., &amp; Trienekens, J. J. M. (2019). Customer knowledge transfer challenges in a co-creation value network: Toward a reference model. </w:t>
      </w:r>
      <w:r w:rsidRPr="009672FC">
        <w:rPr>
          <w:rFonts w:ascii="Garamond" w:hAnsi="Garamond"/>
          <w:i/>
          <w:iCs/>
          <w:noProof/>
        </w:rPr>
        <w:t>International Journal of Information Management</w:t>
      </w:r>
      <w:r w:rsidRPr="009672FC">
        <w:rPr>
          <w:rFonts w:ascii="Garamond" w:hAnsi="Garamond"/>
          <w:noProof/>
        </w:rPr>
        <w:t xml:space="preserve">, </w:t>
      </w:r>
      <w:r w:rsidRPr="009672FC">
        <w:rPr>
          <w:rFonts w:ascii="Garamond" w:hAnsi="Garamond"/>
          <w:i/>
          <w:iCs/>
          <w:noProof/>
        </w:rPr>
        <w:t>47</w:t>
      </w:r>
      <w:r w:rsidRPr="009672FC">
        <w:rPr>
          <w:rFonts w:ascii="Garamond" w:hAnsi="Garamond"/>
          <w:noProof/>
        </w:rPr>
        <w:t>(March), 198–214. https://doi.org/10.1016/j.ijinfomgt.2018.12.019</w:t>
      </w:r>
    </w:p>
    <w:p w14:paraId="0B1DB3B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Bagozzi, R. P., &amp; Yi, Y. (1988). On the evaluation of structural equation models. </w:t>
      </w:r>
      <w:r w:rsidRPr="009672FC">
        <w:rPr>
          <w:rFonts w:ascii="Garamond" w:hAnsi="Garamond"/>
          <w:i/>
          <w:iCs/>
          <w:noProof/>
        </w:rPr>
        <w:t>Journal of the Academy of Marketing Science</w:t>
      </w:r>
      <w:r w:rsidRPr="009672FC">
        <w:rPr>
          <w:rFonts w:ascii="Garamond" w:hAnsi="Garamond"/>
          <w:noProof/>
        </w:rPr>
        <w:t xml:space="preserve">, </w:t>
      </w:r>
      <w:r w:rsidRPr="009672FC">
        <w:rPr>
          <w:rFonts w:ascii="Garamond" w:hAnsi="Garamond"/>
          <w:i/>
          <w:iCs/>
          <w:noProof/>
        </w:rPr>
        <w:t>16</w:t>
      </w:r>
      <w:r w:rsidRPr="009672FC">
        <w:rPr>
          <w:rFonts w:ascii="Garamond" w:hAnsi="Garamond"/>
          <w:noProof/>
        </w:rPr>
        <w:t>(1), 74–94. https://doi.org/10.1007/BF02723327</w:t>
      </w:r>
    </w:p>
    <w:p w14:paraId="0D83706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Bakiev, E. (2013). The Influence of Interpersonal Trust and Organizational Commitment on Perceived Organizational Performance. </w:t>
      </w:r>
      <w:r w:rsidRPr="009672FC">
        <w:rPr>
          <w:rFonts w:ascii="Garamond" w:hAnsi="Garamond"/>
          <w:i/>
          <w:iCs/>
          <w:noProof/>
        </w:rPr>
        <w:t>Journal of Applied Economics and Business Research</w:t>
      </w:r>
      <w:r w:rsidRPr="009672FC">
        <w:rPr>
          <w:rFonts w:ascii="Garamond" w:hAnsi="Garamond"/>
          <w:noProof/>
        </w:rPr>
        <w:t xml:space="preserve">, </w:t>
      </w:r>
      <w:r w:rsidRPr="009672FC">
        <w:rPr>
          <w:rFonts w:ascii="Garamond" w:hAnsi="Garamond"/>
          <w:i/>
          <w:iCs/>
          <w:noProof/>
        </w:rPr>
        <w:t>3</w:t>
      </w:r>
      <w:r w:rsidRPr="009672FC">
        <w:rPr>
          <w:rFonts w:ascii="Garamond" w:hAnsi="Garamond"/>
          <w:noProof/>
        </w:rPr>
        <w:t>(3), 166–180.</w:t>
      </w:r>
    </w:p>
    <w:p w14:paraId="067D11B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Bakker, R. M., Knoben, J., de Vries, N., &amp; Oerlemans, L. A. G. (2011). The nature and prevalence of inter-organizational project ventures: Evidence from a large scale field study in the Netherlands 2006-2009.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(6), 781–794. https://doi.org/10.1016/j.ijproman.2010.04.006</w:t>
      </w:r>
    </w:p>
    <w:p w14:paraId="071D669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Barlow, J. (2000). Innovation and learning in complex offshore construction projects. </w:t>
      </w:r>
      <w:r w:rsidRPr="009672FC">
        <w:rPr>
          <w:rFonts w:ascii="Garamond" w:hAnsi="Garamond"/>
          <w:i/>
          <w:iCs/>
          <w:noProof/>
        </w:rPr>
        <w:t>Research Policy</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(7–8), 973–989. https://doi.org/10.1016/s0048-7333(00)00115-3</w:t>
      </w:r>
    </w:p>
    <w:p w14:paraId="0DF5387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Barnir, A., &amp; Smith, K. a. (2002). Interfirm Alliances in the Small Business: TheRole ofSocial Networks*. </w:t>
      </w:r>
      <w:r w:rsidRPr="009672FC">
        <w:rPr>
          <w:rFonts w:ascii="Garamond" w:hAnsi="Garamond"/>
          <w:i/>
          <w:iCs/>
          <w:noProof/>
        </w:rPr>
        <w:t>Journal of Small Business Management</w:t>
      </w:r>
      <w:r w:rsidRPr="009672FC">
        <w:rPr>
          <w:rFonts w:ascii="Garamond" w:hAnsi="Garamond"/>
          <w:noProof/>
        </w:rPr>
        <w:t xml:space="preserve">, </w:t>
      </w:r>
      <w:r w:rsidRPr="009672FC">
        <w:rPr>
          <w:rFonts w:ascii="Garamond" w:hAnsi="Garamond"/>
          <w:i/>
          <w:iCs/>
          <w:noProof/>
        </w:rPr>
        <w:t>40</w:t>
      </w:r>
      <w:r w:rsidRPr="009672FC">
        <w:rPr>
          <w:rFonts w:ascii="Garamond" w:hAnsi="Garamond"/>
          <w:noProof/>
        </w:rPr>
        <w:t>(3), 219–232.</w:t>
      </w:r>
    </w:p>
    <w:p w14:paraId="138350D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Baron, R. M., &amp; Kenny, D. A. (1986). The Moderator-Mediator Variable Distinction in Social Psychological Research. Conceptual, Strategic, and Statistical Considerations. </w:t>
      </w:r>
      <w:r w:rsidRPr="009672FC">
        <w:rPr>
          <w:rFonts w:ascii="Garamond" w:hAnsi="Garamond"/>
          <w:i/>
          <w:iCs/>
          <w:noProof/>
        </w:rPr>
        <w:t>Journal of Personality and Social Psychology</w:t>
      </w:r>
      <w:r w:rsidRPr="009672FC">
        <w:rPr>
          <w:rFonts w:ascii="Garamond" w:hAnsi="Garamond"/>
          <w:noProof/>
        </w:rPr>
        <w:t xml:space="preserve">, </w:t>
      </w:r>
      <w:r w:rsidRPr="009672FC">
        <w:rPr>
          <w:rFonts w:ascii="Garamond" w:hAnsi="Garamond"/>
          <w:i/>
          <w:iCs/>
          <w:noProof/>
        </w:rPr>
        <w:t>51</w:t>
      </w:r>
      <w:r w:rsidRPr="009672FC">
        <w:rPr>
          <w:rFonts w:ascii="Garamond" w:hAnsi="Garamond"/>
          <w:noProof/>
        </w:rPr>
        <w:t>(6), 1173–1182. https://doi.org/10.1037/0022-3514.51.6.1173</w:t>
      </w:r>
    </w:p>
    <w:p w14:paraId="2FC149B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Barringer, B. R., &amp; Harrison, J. S. (2000). Walking a tightrope: Creating value through interorganizational relationships.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(3), 367–403. https://doi.org/10.1177/014920630002600302</w:t>
      </w:r>
    </w:p>
    <w:p w14:paraId="25366DE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Bechky, B. A. (2006). Gaffers, Gofers, and Grips: Role-Based Coordination in Temporary Organizations.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(1), 3–21. https://doi.org/10.1287/orsc.1050.0149</w:t>
      </w:r>
    </w:p>
    <w:p w14:paraId="342381D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Bendickson, J. (2021). Building entrepreneurship research for impact: Scope, phenomenon, and translation. </w:t>
      </w:r>
      <w:r w:rsidRPr="009672FC">
        <w:rPr>
          <w:rFonts w:ascii="Garamond" w:hAnsi="Garamond"/>
          <w:i/>
          <w:iCs/>
          <w:noProof/>
        </w:rPr>
        <w:t>Journal of Small Business Management</w:t>
      </w:r>
      <w:r w:rsidRPr="009672FC">
        <w:rPr>
          <w:rFonts w:ascii="Garamond" w:hAnsi="Garamond"/>
          <w:noProof/>
        </w:rPr>
        <w:t xml:space="preserve">, </w:t>
      </w:r>
      <w:r w:rsidRPr="009672FC">
        <w:rPr>
          <w:rFonts w:ascii="Garamond" w:hAnsi="Garamond"/>
          <w:i/>
          <w:iCs/>
          <w:noProof/>
        </w:rPr>
        <w:t>59</w:t>
      </w:r>
      <w:r w:rsidRPr="009672FC">
        <w:rPr>
          <w:rFonts w:ascii="Garamond" w:hAnsi="Garamond"/>
          <w:noProof/>
        </w:rPr>
        <w:t>(4), 535–543. https://doi.org/10.1080/00472778.2021.1905822</w:t>
      </w:r>
    </w:p>
    <w:p w14:paraId="513850F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Benitez, J., Henseler, J., Castillo, A., &amp; Schuberth, F. (2020). How to perform and report an impactful analysis using partial least squares: Guidelines for confirmatory and explanatory IS research. </w:t>
      </w:r>
      <w:r w:rsidRPr="009672FC">
        <w:rPr>
          <w:rFonts w:ascii="Garamond" w:hAnsi="Garamond"/>
          <w:i/>
          <w:iCs/>
          <w:noProof/>
        </w:rPr>
        <w:t>Information and Management</w:t>
      </w:r>
      <w:r w:rsidRPr="009672FC">
        <w:rPr>
          <w:rFonts w:ascii="Garamond" w:hAnsi="Garamond"/>
          <w:noProof/>
        </w:rPr>
        <w:t xml:space="preserve">, </w:t>
      </w:r>
      <w:r w:rsidRPr="009672FC">
        <w:rPr>
          <w:rFonts w:ascii="Garamond" w:hAnsi="Garamond"/>
          <w:i/>
          <w:iCs/>
          <w:noProof/>
        </w:rPr>
        <w:t>57</w:t>
      </w:r>
      <w:r w:rsidRPr="009672FC">
        <w:rPr>
          <w:rFonts w:ascii="Garamond" w:hAnsi="Garamond"/>
          <w:noProof/>
        </w:rPr>
        <w:t>(2), 103168. https://doi.org/10.1016/j.im.2019.05.003</w:t>
      </w:r>
    </w:p>
    <w:p w14:paraId="78881C3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Bentler, P. M., &amp; Bonett, D. G. (1980). Significance tests and goodness of fit in the analysis of covariance structures. </w:t>
      </w:r>
      <w:r w:rsidRPr="009672FC">
        <w:rPr>
          <w:rFonts w:ascii="Garamond" w:hAnsi="Garamond"/>
          <w:i/>
          <w:iCs/>
          <w:noProof/>
        </w:rPr>
        <w:t>Psychological Bulletin</w:t>
      </w:r>
      <w:r w:rsidRPr="009672FC">
        <w:rPr>
          <w:rFonts w:ascii="Garamond" w:hAnsi="Garamond"/>
          <w:noProof/>
        </w:rPr>
        <w:t xml:space="preserve">, </w:t>
      </w:r>
      <w:r w:rsidRPr="009672FC">
        <w:rPr>
          <w:rFonts w:ascii="Garamond" w:hAnsi="Garamond"/>
          <w:i/>
          <w:iCs/>
          <w:noProof/>
        </w:rPr>
        <w:t>88</w:t>
      </w:r>
      <w:r w:rsidRPr="009672FC">
        <w:rPr>
          <w:rFonts w:ascii="Garamond" w:hAnsi="Garamond"/>
          <w:noProof/>
        </w:rPr>
        <w:t>(3), 588–606. https://doi.org/10.1037/0033-2909.88.3.588</w:t>
      </w:r>
    </w:p>
    <w:p w14:paraId="18AEE15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Berger, I. E., Cunningham, P. H., Drumwright, M. E., Berger, I. E., &amp; Cunningham, P. H. (2004). Social Alliances: Company/Nonprofit Collaboration. </w:t>
      </w:r>
      <w:r w:rsidRPr="009672FC">
        <w:rPr>
          <w:rFonts w:ascii="Garamond" w:hAnsi="Garamond"/>
          <w:i/>
          <w:iCs/>
          <w:noProof/>
        </w:rPr>
        <w:t>CALIFORNIA MANAGEMENT REVIEW</w:t>
      </w:r>
      <w:r w:rsidRPr="009672FC">
        <w:rPr>
          <w:rFonts w:ascii="Garamond" w:hAnsi="Garamond"/>
          <w:noProof/>
        </w:rPr>
        <w:t xml:space="preserve">, </w:t>
      </w:r>
      <w:r w:rsidRPr="009672FC">
        <w:rPr>
          <w:rFonts w:ascii="Garamond" w:hAnsi="Garamond"/>
          <w:i/>
          <w:iCs/>
          <w:noProof/>
        </w:rPr>
        <w:t>47</w:t>
      </w:r>
      <w:r w:rsidRPr="009672FC">
        <w:rPr>
          <w:rFonts w:ascii="Garamond" w:hAnsi="Garamond"/>
          <w:noProof/>
        </w:rPr>
        <w:t>(1).</w:t>
      </w:r>
    </w:p>
    <w:p w14:paraId="08088AF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Bhattacharya, R., Devinney, T. M., &amp; Pillutla, M. M. (1998). A Formal Model of Trust Based on Outcomes. </w:t>
      </w:r>
      <w:r w:rsidRPr="009672FC">
        <w:rPr>
          <w:rFonts w:ascii="Garamond" w:hAnsi="Garamond"/>
          <w:i/>
          <w:iCs/>
          <w:noProof/>
        </w:rPr>
        <w:t>Academy of Management Review</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(3), 459–472.</w:t>
      </w:r>
    </w:p>
    <w:p w14:paraId="4AC8324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Biskjaer, M. M., Kamari, A., Jensen, S. R., &amp; Kirkegaard, P. H. (2019). Exploring blind spots in collaborative value creation in building design: a creativity perspective. </w:t>
      </w:r>
      <w:r w:rsidRPr="009672FC">
        <w:rPr>
          <w:rFonts w:ascii="Garamond" w:hAnsi="Garamond"/>
          <w:i/>
          <w:iCs/>
          <w:noProof/>
        </w:rPr>
        <w:t>CoDesign</w:t>
      </w:r>
      <w:r w:rsidRPr="009672FC">
        <w:rPr>
          <w:rFonts w:ascii="Garamond" w:hAnsi="Garamond"/>
          <w:noProof/>
        </w:rPr>
        <w:t xml:space="preserve">, </w:t>
      </w:r>
      <w:r w:rsidRPr="009672FC">
        <w:rPr>
          <w:rFonts w:ascii="Garamond" w:hAnsi="Garamond"/>
          <w:i/>
          <w:iCs/>
          <w:noProof/>
        </w:rPr>
        <w:t>00</w:t>
      </w:r>
      <w:r w:rsidRPr="009672FC">
        <w:rPr>
          <w:rFonts w:ascii="Garamond" w:hAnsi="Garamond"/>
          <w:noProof/>
        </w:rPr>
        <w:t>(00), 1–18. https://doi.org/10.1080/15710882.2019.1654521</w:t>
      </w:r>
    </w:p>
    <w:p w14:paraId="7D3E5E2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Bititci, U. S., Martinez, V., Albores, P., &amp; Parung, J. (2004). Creating and managing value in collaborative networks. </w:t>
      </w:r>
      <w:r w:rsidRPr="009672FC">
        <w:rPr>
          <w:rFonts w:ascii="Garamond" w:hAnsi="Garamond"/>
          <w:i/>
          <w:iCs/>
          <w:noProof/>
        </w:rPr>
        <w:t>International Journal of Physical Distribution and Logistics Management</w:t>
      </w:r>
      <w:r w:rsidRPr="009672FC">
        <w:rPr>
          <w:rFonts w:ascii="Garamond" w:hAnsi="Garamond"/>
          <w:noProof/>
        </w:rPr>
        <w:t xml:space="preserve">, </w:t>
      </w:r>
      <w:r w:rsidRPr="009672FC">
        <w:rPr>
          <w:rFonts w:ascii="Garamond" w:hAnsi="Garamond"/>
          <w:i/>
          <w:iCs/>
          <w:noProof/>
        </w:rPr>
        <w:t>34</w:t>
      </w:r>
      <w:r w:rsidRPr="009672FC">
        <w:rPr>
          <w:rFonts w:ascii="Garamond" w:hAnsi="Garamond"/>
          <w:noProof/>
        </w:rPr>
        <w:t>(3), 251–268. https://doi.org/10.1108/09600030410533574</w:t>
      </w:r>
    </w:p>
    <w:p w14:paraId="5CAF087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Blomqvist, K., &amp; Ståhle, P. (2000). Building Organizational Trust. In </w:t>
      </w:r>
      <w:r w:rsidRPr="009672FC">
        <w:rPr>
          <w:rFonts w:ascii="Garamond" w:hAnsi="Garamond"/>
          <w:i/>
          <w:iCs/>
          <w:noProof/>
        </w:rPr>
        <w:t>In 16th Annual IMP Conference, Bath, UK .</w:t>
      </w:r>
      <w:r w:rsidRPr="009672FC">
        <w:rPr>
          <w:rFonts w:ascii="Garamond" w:hAnsi="Garamond"/>
          <w:noProof/>
        </w:rPr>
        <w:t xml:space="preserve"> (pp. 7–9).</w:t>
      </w:r>
    </w:p>
    <w:p w14:paraId="41E562E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Boddy, C. R. (2016). Sample size for qualitative research. </w:t>
      </w:r>
      <w:r w:rsidRPr="009672FC">
        <w:rPr>
          <w:rFonts w:ascii="Garamond" w:hAnsi="Garamond"/>
          <w:i/>
          <w:iCs/>
          <w:noProof/>
        </w:rPr>
        <w:t>Qualitative Market Research</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(4), 426–432. https://doi.org/10.1108/QMR-06-2016-0053</w:t>
      </w:r>
    </w:p>
    <w:p w14:paraId="180EFF7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Bouncken, R. B. (2011). Innovation by Operating Practices in Project Alliances - When Size Matters. </w:t>
      </w:r>
      <w:r w:rsidRPr="009672FC">
        <w:rPr>
          <w:rFonts w:ascii="Garamond" w:hAnsi="Garamond"/>
          <w:i/>
          <w:iCs/>
          <w:noProof/>
        </w:rPr>
        <w:t>British Journal of Management</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(4), 586–608. https://doi.org/10.1111/j.1467-8551.2010.00688.x</w:t>
      </w:r>
    </w:p>
    <w:p w14:paraId="126A8A9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Bouncken, R. B., &amp; Fredrich, V. (2016). Business model innovation in alliances: Successful configurations.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69</w:t>
      </w:r>
      <w:r w:rsidRPr="009672FC">
        <w:rPr>
          <w:rFonts w:ascii="Garamond" w:hAnsi="Garamond"/>
          <w:noProof/>
        </w:rPr>
        <w:t>(9), 3584–3590. https://doi.org/10.1016/j.jbusres.2016.01.004</w:t>
      </w:r>
    </w:p>
    <w:p w14:paraId="1C54667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Bouncken, R. B., &amp; Kraus, S. (2013). Innovation in knowledge-intensive industries: The double-edged sword of coopetition.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66</w:t>
      </w:r>
      <w:r w:rsidRPr="009672FC">
        <w:rPr>
          <w:rFonts w:ascii="Garamond" w:hAnsi="Garamond"/>
          <w:noProof/>
        </w:rPr>
        <w:t>(10), 2060–2070. https://doi.org/10.1016/j.jbusres.2013.02.032</w:t>
      </w:r>
    </w:p>
    <w:p w14:paraId="6CEC2E0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Bouncken, R. B., Pesch, R., &amp; Kraus, S. (2015). SME innovativeness in buyer–seller alliances: effects of entry timing strategies and inter-organizational learning. </w:t>
      </w:r>
      <w:r w:rsidRPr="009672FC">
        <w:rPr>
          <w:rFonts w:ascii="Garamond" w:hAnsi="Garamond"/>
          <w:i/>
          <w:iCs/>
          <w:noProof/>
        </w:rPr>
        <w:t>Review of Managerial Science</w:t>
      </w:r>
      <w:r w:rsidRPr="009672FC">
        <w:rPr>
          <w:rFonts w:ascii="Garamond" w:hAnsi="Garamond"/>
          <w:noProof/>
        </w:rPr>
        <w:t xml:space="preserve">, </w:t>
      </w:r>
      <w:r w:rsidRPr="009672FC">
        <w:rPr>
          <w:rFonts w:ascii="Garamond" w:hAnsi="Garamond"/>
          <w:i/>
          <w:iCs/>
          <w:noProof/>
        </w:rPr>
        <w:t>9</w:t>
      </w:r>
      <w:r w:rsidRPr="009672FC">
        <w:rPr>
          <w:rFonts w:ascii="Garamond" w:hAnsi="Garamond"/>
          <w:noProof/>
        </w:rPr>
        <w:t>(2), 361–384. https://doi.org/10.1007/s11846-014-0160-6</w:t>
      </w:r>
    </w:p>
    <w:p w14:paraId="3BAFEA3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Brashear, T. G., Boles, J. S., Bellenger, D. N., &amp; Brooks, C. M. (2003). An Empirical Test of Trust-</w:t>
      </w:r>
      <w:r w:rsidRPr="009672FC">
        <w:rPr>
          <w:rFonts w:ascii="Garamond" w:hAnsi="Garamond"/>
          <w:noProof/>
        </w:rPr>
        <w:lastRenderedPageBreak/>
        <w:t xml:space="preserve">Building Processes and Outcomes in Sales Manager-Salesperson Relationships. </w:t>
      </w:r>
      <w:r w:rsidRPr="009672FC">
        <w:rPr>
          <w:rFonts w:ascii="Garamond" w:hAnsi="Garamond"/>
          <w:i/>
          <w:iCs/>
          <w:noProof/>
        </w:rPr>
        <w:t>Journal of the Academy of Marketing Science</w:t>
      </w:r>
      <w:r w:rsidRPr="009672FC">
        <w:rPr>
          <w:rFonts w:ascii="Garamond" w:hAnsi="Garamond"/>
          <w:noProof/>
        </w:rPr>
        <w:t xml:space="preserve">, </w:t>
      </w:r>
      <w:r w:rsidRPr="009672FC">
        <w:rPr>
          <w:rFonts w:ascii="Garamond" w:hAnsi="Garamond"/>
          <w:i/>
          <w:iCs/>
          <w:noProof/>
        </w:rPr>
        <w:t>31</w:t>
      </w:r>
      <w:r w:rsidRPr="009672FC">
        <w:rPr>
          <w:rFonts w:ascii="Garamond" w:hAnsi="Garamond"/>
          <w:noProof/>
        </w:rPr>
        <w:t>(2), 189–200. https://doi.org/10.1177/0092070302250902</w:t>
      </w:r>
    </w:p>
    <w:p w14:paraId="66B80D4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Breidbach, C. F., Brodie, R., &amp; Hollebeek, L. (2014). “Beyond virtuality: from engagement platforms to engagement ecosystems”, Managing Service Quality. </w:t>
      </w:r>
      <w:r w:rsidRPr="009672FC">
        <w:rPr>
          <w:rFonts w:ascii="Garamond" w:hAnsi="Garamond"/>
          <w:i/>
          <w:iCs/>
          <w:noProof/>
        </w:rPr>
        <w:t>Managing Service Quality</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(6), 592–611. https://doi.org/10.1108/MSQ-08-2013-0158</w:t>
      </w:r>
    </w:p>
    <w:p w14:paraId="3DE22E7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Brodie, R. J., Fehrer, J. A., Jaakkola, E., &amp; Conduit, J. (2019). Actor Engagement in Networks</w:t>
      </w:r>
      <w:r w:rsidRPr="009672FC">
        <w:rPr>
          <w:noProof/>
        </w:rPr>
        <w:t> </w:t>
      </w:r>
      <w:r w:rsidRPr="009672FC">
        <w:rPr>
          <w:rFonts w:ascii="Garamond" w:hAnsi="Garamond"/>
          <w:noProof/>
        </w:rPr>
        <w:t xml:space="preserve">: Defining the Conceptual Domain. </w:t>
      </w:r>
      <w:r w:rsidRPr="009672FC">
        <w:rPr>
          <w:rFonts w:ascii="Garamond" w:hAnsi="Garamond"/>
          <w:i/>
          <w:iCs/>
          <w:noProof/>
        </w:rPr>
        <w:t>Journal of Service Research</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(2), 173–188. https://doi.org/10.1177/1094670519827385</w:t>
      </w:r>
    </w:p>
    <w:p w14:paraId="291D649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Brondoni, S. M. (2003). Network Culture, Performance and Corporate Responsibility. </w:t>
      </w:r>
      <w:r w:rsidRPr="009672FC">
        <w:rPr>
          <w:rFonts w:ascii="Garamond" w:hAnsi="Garamond"/>
          <w:i/>
          <w:iCs/>
          <w:noProof/>
        </w:rPr>
        <w:t>Symphonya. Emerging Issues in Management</w:t>
      </w:r>
      <w:r w:rsidRPr="009672FC">
        <w:rPr>
          <w:rFonts w:ascii="Garamond" w:hAnsi="Garamond"/>
          <w:noProof/>
        </w:rPr>
        <w:t>, (1), 8–24. https://doi.org/10.4468/2003.1.02brondoni</w:t>
      </w:r>
    </w:p>
    <w:p w14:paraId="67A9F5F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Brown, J. S., &amp; Duguid, P. (2001). Knowledge and Organization: A Social-Practice Perspective.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12</w:t>
      </w:r>
      <w:r w:rsidRPr="009672FC">
        <w:rPr>
          <w:rFonts w:ascii="Garamond" w:hAnsi="Garamond"/>
          <w:noProof/>
        </w:rPr>
        <w:t>(2), 198–213.</w:t>
      </w:r>
    </w:p>
    <w:p w14:paraId="7E4EB6A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Cantele, S. ., Vernizzi, S. ., &amp; Ricciardi, F. . (2016). The emerging wave of agility-oriented business networks in Italy: a new strategy for facing global competition The emerging wave of agility-oriented business networks in Italy</w:t>
      </w:r>
      <w:r w:rsidRPr="009672FC">
        <w:rPr>
          <w:noProof/>
        </w:rPr>
        <w:t> </w:t>
      </w:r>
      <w:r w:rsidRPr="009672FC">
        <w:rPr>
          <w:rFonts w:ascii="Garamond" w:hAnsi="Garamond"/>
          <w:noProof/>
        </w:rPr>
        <w:t xml:space="preserve">: a new strategy for facing global competition. </w:t>
      </w:r>
      <w:r w:rsidRPr="009672FC">
        <w:rPr>
          <w:rFonts w:ascii="Garamond" w:hAnsi="Garamond"/>
          <w:i/>
          <w:iCs/>
          <w:noProof/>
        </w:rPr>
        <w:t>World Review of Entrepreneurship</w:t>
      </w:r>
      <w:r w:rsidRPr="009672FC">
        <w:rPr>
          <w:rFonts w:ascii="Garamond" w:hAnsi="Garamond"/>
          <w:noProof/>
        </w:rPr>
        <w:t>, 1–14.</w:t>
      </w:r>
    </w:p>
    <w:p w14:paraId="2CC263B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Cap, J. P., Blaich, E., Kohl, H., von Raesfeld, A., Harms, R., &amp; Will, M. (2019). Multi level network management – A method for managing inter-organizational innovation networks. </w:t>
      </w:r>
      <w:r w:rsidRPr="009672FC">
        <w:rPr>
          <w:rFonts w:ascii="Garamond" w:hAnsi="Garamond"/>
          <w:i/>
          <w:iCs/>
          <w:noProof/>
        </w:rPr>
        <w:t>Journal of Engineering and Technology Management - JET-M</w:t>
      </w:r>
      <w:r w:rsidRPr="009672FC">
        <w:rPr>
          <w:rFonts w:ascii="Garamond" w:hAnsi="Garamond"/>
          <w:noProof/>
        </w:rPr>
        <w:t xml:space="preserve">, </w:t>
      </w:r>
      <w:r w:rsidRPr="009672FC">
        <w:rPr>
          <w:rFonts w:ascii="Garamond" w:hAnsi="Garamond"/>
          <w:i/>
          <w:iCs/>
          <w:noProof/>
        </w:rPr>
        <w:t>51</w:t>
      </w:r>
      <w:r w:rsidRPr="009672FC">
        <w:rPr>
          <w:rFonts w:ascii="Garamond" w:hAnsi="Garamond"/>
          <w:noProof/>
        </w:rPr>
        <w:t>(March), 21–32. https://doi.org/10.1016/j.jengtecman.2019.02.001</w:t>
      </w:r>
    </w:p>
    <w:p w14:paraId="3879045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Casciaro, T. (2011). Determinants of Governance Structure in Alliances: the Role of Task, Strategic, and Partner Uncertainties. </w:t>
      </w:r>
      <w:r w:rsidRPr="009672FC">
        <w:rPr>
          <w:rFonts w:ascii="Garamond" w:hAnsi="Garamond"/>
          <w:i/>
          <w:iCs/>
          <w:noProof/>
        </w:rPr>
        <w:t>Academy of Management Proceedings</w:t>
      </w:r>
      <w:r w:rsidRPr="009672FC">
        <w:rPr>
          <w:rFonts w:ascii="Garamond" w:hAnsi="Garamond"/>
          <w:noProof/>
        </w:rPr>
        <w:t xml:space="preserve">, </w:t>
      </w:r>
      <w:r w:rsidRPr="009672FC">
        <w:rPr>
          <w:rFonts w:ascii="Garamond" w:hAnsi="Garamond"/>
          <w:i/>
          <w:iCs/>
          <w:noProof/>
        </w:rPr>
        <w:t>2001</w:t>
      </w:r>
      <w:r w:rsidRPr="009672FC">
        <w:rPr>
          <w:rFonts w:ascii="Garamond" w:hAnsi="Garamond"/>
          <w:noProof/>
        </w:rPr>
        <w:t>(1), C1–C6. https://doi.org/10.5465/apbpp.2001.6123165</w:t>
      </w:r>
    </w:p>
    <w:p w14:paraId="15A7ECF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Centobelli, P., Cerchione, R., &amp; Esposito, E. (2017). Knowledge management in startups: Systematic literature review and future research agenda. </w:t>
      </w:r>
      <w:r w:rsidRPr="009672FC">
        <w:rPr>
          <w:rFonts w:ascii="Garamond" w:hAnsi="Garamond"/>
          <w:i/>
          <w:iCs/>
          <w:noProof/>
        </w:rPr>
        <w:t>Sustainability (Switzerland)</w:t>
      </w:r>
      <w:r w:rsidRPr="009672FC">
        <w:rPr>
          <w:rFonts w:ascii="Garamond" w:hAnsi="Garamond"/>
          <w:noProof/>
        </w:rPr>
        <w:t xml:space="preserve">, </w:t>
      </w:r>
      <w:r w:rsidRPr="009672FC">
        <w:rPr>
          <w:rFonts w:ascii="Garamond" w:hAnsi="Garamond"/>
          <w:i/>
          <w:iCs/>
          <w:noProof/>
        </w:rPr>
        <w:t>9</w:t>
      </w:r>
      <w:r w:rsidRPr="009672FC">
        <w:rPr>
          <w:rFonts w:ascii="Garamond" w:hAnsi="Garamond"/>
          <w:noProof/>
        </w:rPr>
        <w:t>(3), 1–19. https://doi.org/10.3390/su9030361</w:t>
      </w:r>
    </w:p>
    <w:p w14:paraId="663AD9D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Chang, M. K., Cheung, W., &amp; Tang, M. (2013). Building trust online: Interactions among trust building mechanisms. </w:t>
      </w:r>
      <w:r w:rsidRPr="009672FC">
        <w:rPr>
          <w:rFonts w:ascii="Garamond" w:hAnsi="Garamond"/>
          <w:i/>
          <w:iCs/>
          <w:noProof/>
        </w:rPr>
        <w:t>Information and Management</w:t>
      </w:r>
      <w:r w:rsidRPr="009672FC">
        <w:rPr>
          <w:rFonts w:ascii="Garamond" w:hAnsi="Garamond"/>
          <w:noProof/>
        </w:rPr>
        <w:t xml:space="preserve">, </w:t>
      </w:r>
      <w:r w:rsidRPr="009672FC">
        <w:rPr>
          <w:rFonts w:ascii="Garamond" w:hAnsi="Garamond"/>
          <w:i/>
          <w:iCs/>
          <w:noProof/>
        </w:rPr>
        <w:t>50</w:t>
      </w:r>
      <w:r w:rsidRPr="009672FC">
        <w:rPr>
          <w:rFonts w:ascii="Garamond" w:hAnsi="Garamond"/>
          <w:noProof/>
        </w:rPr>
        <w:t>(7), 439–445. https://doi.org/10.1016/j.im.2013.06.003</w:t>
      </w:r>
    </w:p>
    <w:p w14:paraId="7AC498B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Chawla, A., &amp; Kevin Kelloway, E. (2004). Predicting openness and commitment to change. </w:t>
      </w:r>
      <w:r w:rsidRPr="009672FC">
        <w:rPr>
          <w:rFonts w:ascii="Garamond" w:hAnsi="Garamond"/>
          <w:i/>
          <w:iCs/>
          <w:noProof/>
        </w:rPr>
        <w:t>Leadership &amp; Organization Development Journal</w:t>
      </w:r>
      <w:r w:rsidRPr="009672FC">
        <w:rPr>
          <w:rFonts w:ascii="Garamond" w:hAnsi="Garamond"/>
          <w:noProof/>
        </w:rPr>
        <w:t xml:space="preserve">, </w:t>
      </w:r>
      <w:r w:rsidRPr="009672FC">
        <w:rPr>
          <w:rFonts w:ascii="Garamond" w:hAnsi="Garamond"/>
          <w:i/>
          <w:iCs/>
          <w:noProof/>
        </w:rPr>
        <w:t>25</w:t>
      </w:r>
      <w:r w:rsidRPr="009672FC">
        <w:rPr>
          <w:rFonts w:ascii="Garamond" w:hAnsi="Garamond"/>
          <w:noProof/>
        </w:rPr>
        <w:t>(6), 485–498. https://doi.org/10.1108/01437730410556734</w:t>
      </w:r>
    </w:p>
    <w:p w14:paraId="6324D0B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Chen, H., &amp; Chen, T. (2003). Governance structures in strategic alliances: transaction cost versus resource-based perspective. </w:t>
      </w:r>
      <w:r w:rsidRPr="009672FC">
        <w:rPr>
          <w:rFonts w:ascii="Garamond" w:hAnsi="Garamond"/>
          <w:i/>
          <w:iCs/>
          <w:noProof/>
        </w:rPr>
        <w:t>Journal of World Business</w:t>
      </w:r>
      <w:r w:rsidRPr="009672FC">
        <w:rPr>
          <w:rFonts w:ascii="Garamond" w:hAnsi="Garamond"/>
          <w:noProof/>
        </w:rPr>
        <w:t xml:space="preserve">, </w:t>
      </w:r>
      <w:r w:rsidRPr="009672FC">
        <w:rPr>
          <w:rFonts w:ascii="Garamond" w:hAnsi="Garamond"/>
          <w:i/>
          <w:iCs/>
          <w:noProof/>
        </w:rPr>
        <w:t>38</w:t>
      </w:r>
      <w:r w:rsidRPr="009672FC">
        <w:rPr>
          <w:rFonts w:ascii="Garamond" w:hAnsi="Garamond"/>
          <w:noProof/>
        </w:rPr>
        <w:t>, 1–14. https://doi.org/10.1016/S1090-9516(02)00105-0</w:t>
      </w:r>
    </w:p>
    <w:p w14:paraId="1667198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Cheng, J. H., Chen, S. W., &amp; Chen, F. Y. (2013). Exploring how inter-organizational relational benefits affect information sharing in supply chains. </w:t>
      </w:r>
      <w:r w:rsidRPr="009672FC">
        <w:rPr>
          <w:rFonts w:ascii="Garamond" w:hAnsi="Garamond"/>
          <w:i/>
          <w:iCs/>
          <w:noProof/>
        </w:rPr>
        <w:t>Information Technology and Management</w:t>
      </w:r>
      <w:r w:rsidRPr="009672FC">
        <w:rPr>
          <w:rFonts w:ascii="Garamond" w:hAnsi="Garamond"/>
          <w:noProof/>
        </w:rPr>
        <w:t xml:space="preserve">, </w:t>
      </w:r>
      <w:r w:rsidRPr="009672FC">
        <w:rPr>
          <w:rFonts w:ascii="Garamond" w:hAnsi="Garamond"/>
          <w:i/>
          <w:iCs/>
          <w:noProof/>
        </w:rPr>
        <w:t>14</w:t>
      </w:r>
      <w:r w:rsidRPr="009672FC">
        <w:rPr>
          <w:rFonts w:ascii="Garamond" w:hAnsi="Garamond"/>
          <w:noProof/>
        </w:rPr>
        <w:t>(4), 283–294. https://doi.org/10.1007/s10799-013-0165-x</w:t>
      </w:r>
    </w:p>
    <w:p w14:paraId="0C4A1F5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Christopher, M., &amp; Gaudenzi, B. (2009). Exploiting knowledge across networks through reputation management.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38</w:t>
      </w:r>
      <w:r w:rsidRPr="009672FC">
        <w:rPr>
          <w:rFonts w:ascii="Garamond" w:hAnsi="Garamond"/>
          <w:noProof/>
        </w:rPr>
        <w:t>(2), 191–197. https://doi.org/10.1016/j.indmarman.2008.12.014</w:t>
      </w:r>
    </w:p>
    <w:p w14:paraId="12A200C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Chuluun, T., Prevost, A., &amp; Upadhyay, A. (2017). Firm network structure and innovation. </w:t>
      </w:r>
      <w:r w:rsidRPr="009672FC">
        <w:rPr>
          <w:rFonts w:ascii="Garamond" w:hAnsi="Garamond"/>
          <w:i/>
          <w:iCs/>
          <w:noProof/>
        </w:rPr>
        <w:t>Journal of Corporate Finance</w:t>
      </w:r>
      <w:r w:rsidRPr="009672FC">
        <w:rPr>
          <w:rFonts w:ascii="Garamond" w:hAnsi="Garamond"/>
          <w:noProof/>
        </w:rPr>
        <w:t xml:space="preserve">, </w:t>
      </w:r>
      <w:r w:rsidRPr="009672FC">
        <w:rPr>
          <w:rFonts w:ascii="Garamond" w:hAnsi="Garamond"/>
          <w:i/>
          <w:iCs/>
          <w:noProof/>
        </w:rPr>
        <w:t>44</w:t>
      </w:r>
      <w:r w:rsidRPr="009672FC">
        <w:rPr>
          <w:rFonts w:ascii="Garamond" w:hAnsi="Garamond"/>
          <w:noProof/>
        </w:rPr>
        <w:t>, 193–214. https://doi.org/10.1016/j.jcorpfin.2017.03.009</w:t>
      </w:r>
    </w:p>
    <w:p w14:paraId="6C04FC3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Ciabuschi, F., Holm, U., &amp; Martín Martín, O. (2014). Dual embeddedness, influence and performance of innovating subsidiaries in the multinational corporation. </w:t>
      </w:r>
      <w:r w:rsidRPr="009672FC">
        <w:rPr>
          <w:rFonts w:ascii="Garamond" w:hAnsi="Garamond"/>
          <w:i/>
          <w:iCs/>
          <w:noProof/>
        </w:rPr>
        <w:t>International Business Review</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(5), 897–909. https://doi.org/10.1016/j.ibusrev.2014.02.002</w:t>
      </w:r>
    </w:p>
    <w:p w14:paraId="164D3BC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Cohen, W. M., &amp; Levinthal, D. A. (1990). Absorptive Capacity</w:t>
      </w:r>
      <w:r w:rsidRPr="009672FC">
        <w:rPr>
          <w:noProof/>
        </w:rPr>
        <w:t> </w:t>
      </w:r>
      <w:r w:rsidRPr="009672FC">
        <w:rPr>
          <w:rFonts w:ascii="Garamond" w:hAnsi="Garamond"/>
          <w:noProof/>
        </w:rPr>
        <w:t>: A New Perspective on Learning and Innovation Author ( s ): Wesley M . Cohen and Daniel A . Levinthal Source</w:t>
      </w:r>
      <w:r w:rsidRPr="009672FC">
        <w:rPr>
          <w:noProof/>
        </w:rPr>
        <w:t> </w:t>
      </w:r>
      <w:r w:rsidRPr="009672FC">
        <w:rPr>
          <w:rFonts w:ascii="Garamond" w:hAnsi="Garamond"/>
          <w:noProof/>
        </w:rPr>
        <w:t>: Administrative Science Quarterly , Mar ., 1990 , Vol . 35 , No . 1 , Special Issue</w:t>
      </w:r>
      <w:r w:rsidRPr="009672FC">
        <w:rPr>
          <w:noProof/>
        </w:rPr>
        <w:t> </w:t>
      </w:r>
      <w:r w:rsidRPr="009672FC">
        <w:rPr>
          <w:rFonts w:ascii="Garamond" w:hAnsi="Garamond"/>
          <w:noProof/>
        </w:rPr>
        <w:t xml:space="preserve">: Technology , Organizations , and Innov. </w:t>
      </w:r>
      <w:r w:rsidRPr="009672FC">
        <w:rPr>
          <w:rFonts w:ascii="Garamond" w:hAnsi="Garamond"/>
          <w:i/>
          <w:iCs/>
          <w:noProof/>
        </w:rPr>
        <w:t>Administrative Science Quarterly</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(1), 128–152.</w:t>
      </w:r>
    </w:p>
    <w:p w14:paraId="2BFAFAC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Cojoianu, T., Haney, A., &amp; Meiring, A. (2020). Strategic Alliances as Treatment for COVID-19 and Beyond. </w:t>
      </w:r>
      <w:r w:rsidRPr="009672FC">
        <w:rPr>
          <w:rFonts w:ascii="Garamond" w:hAnsi="Garamond"/>
          <w:i/>
          <w:iCs/>
          <w:noProof/>
        </w:rPr>
        <w:t>SSRN Electronic Journal</w:t>
      </w:r>
      <w:r w:rsidRPr="009672FC">
        <w:rPr>
          <w:rFonts w:ascii="Garamond" w:hAnsi="Garamond"/>
          <w:noProof/>
        </w:rPr>
        <w:t>, (20). https://doi.org/10.2139/ssrn.3616444</w:t>
      </w:r>
    </w:p>
    <w:p w14:paraId="5672F0E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Collins, E., Lawrence, S., Pavlovich, K., &amp; Ryan, C. (2007). Business networks and the uptake of sustainability practices: the case of New Zealand. </w:t>
      </w:r>
      <w:r w:rsidRPr="009672FC">
        <w:rPr>
          <w:rFonts w:ascii="Garamond" w:hAnsi="Garamond"/>
          <w:i/>
          <w:iCs/>
          <w:noProof/>
        </w:rPr>
        <w:t>Journal of Cleaner Production</w:t>
      </w:r>
      <w:r w:rsidRPr="009672FC">
        <w:rPr>
          <w:rFonts w:ascii="Garamond" w:hAnsi="Garamond"/>
          <w:noProof/>
        </w:rPr>
        <w:t xml:space="preserve">, </w:t>
      </w:r>
      <w:r w:rsidRPr="009672FC">
        <w:rPr>
          <w:rFonts w:ascii="Garamond" w:hAnsi="Garamond"/>
          <w:i/>
          <w:iCs/>
          <w:noProof/>
        </w:rPr>
        <w:t>15</w:t>
      </w:r>
      <w:r w:rsidRPr="009672FC">
        <w:rPr>
          <w:rFonts w:ascii="Garamond" w:hAnsi="Garamond"/>
          <w:noProof/>
        </w:rPr>
        <w:t>(8–9), 729–740. https://doi.org/10.1016/j.jclepro.2006.06.020</w:t>
      </w:r>
    </w:p>
    <w:p w14:paraId="129043C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Comuzzi, M., Vonk, J., &amp; Grefen, P. (2012). Measures and mechanisms for process monitoring in evolving business networks. </w:t>
      </w:r>
      <w:r w:rsidRPr="009672FC">
        <w:rPr>
          <w:rFonts w:ascii="Garamond" w:hAnsi="Garamond"/>
          <w:i/>
          <w:iCs/>
          <w:noProof/>
        </w:rPr>
        <w:t>Data and Knowledge Engineering</w:t>
      </w:r>
      <w:r w:rsidRPr="009672FC">
        <w:rPr>
          <w:rFonts w:ascii="Garamond" w:hAnsi="Garamond"/>
          <w:noProof/>
        </w:rPr>
        <w:t xml:space="preserve">, </w:t>
      </w:r>
      <w:r w:rsidRPr="009672FC">
        <w:rPr>
          <w:rFonts w:ascii="Garamond" w:hAnsi="Garamond"/>
          <w:i/>
          <w:iCs/>
          <w:noProof/>
        </w:rPr>
        <w:t>71</w:t>
      </w:r>
      <w:r w:rsidRPr="009672FC">
        <w:rPr>
          <w:rFonts w:ascii="Garamond" w:hAnsi="Garamond"/>
          <w:noProof/>
        </w:rPr>
        <w:t>(1), 1–28. https://doi.org/10.1016/j.datak.2011.07.004</w:t>
      </w:r>
    </w:p>
    <w:p w14:paraId="4385FBA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Connelly, B. L., Crook, T. R., Combs, J. G., Ketchen, D. J., &amp; Aguinis, H. (2018). Competence- and Integrity-Based Trust in Interorganizational Relationships: Which Matters More?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44</w:t>
      </w:r>
      <w:r w:rsidRPr="009672FC">
        <w:rPr>
          <w:rFonts w:ascii="Garamond" w:hAnsi="Garamond"/>
          <w:noProof/>
        </w:rPr>
        <w:t>(3), 919–945. https://doi.org/10.1177/0149206315596813</w:t>
      </w:r>
    </w:p>
    <w:p w14:paraId="0614B40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Cook, K. S., Yamagishi, T., Cheshire, C., Cooper, R., Matsuda, M., &amp; Mashima, R. (2005). Trust Building via Risk Taking</w:t>
      </w:r>
      <w:r w:rsidRPr="009672FC">
        <w:rPr>
          <w:noProof/>
        </w:rPr>
        <w:t> </w:t>
      </w:r>
      <w:r w:rsidRPr="009672FC">
        <w:rPr>
          <w:rFonts w:ascii="Garamond" w:hAnsi="Garamond"/>
          <w:noProof/>
        </w:rPr>
        <w:t xml:space="preserve">: A Cross-Societal Experiment. </w:t>
      </w:r>
      <w:r w:rsidRPr="009672FC">
        <w:rPr>
          <w:rFonts w:ascii="Garamond" w:hAnsi="Garamond"/>
          <w:i/>
          <w:iCs/>
          <w:noProof/>
        </w:rPr>
        <w:t>Social Psychology Quarterly</w:t>
      </w:r>
      <w:r w:rsidRPr="009672FC">
        <w:rPr>
          <w:rFonts w:ascii="Garamond" w:hAnsi="Garamond"/>
          <w:noProof/>
        </w:rPr>
        <w:t xml:space="preserve">, </w:t>
      </w:r>
      <w:r w:rsidRPr="009672FC">
        <w:rPr>
          <w:rFonts w:ascii="Garamond" w:hAnsi="Garamond"/>
          <w:i/>
          <w:iCs/>
          <w:noProof/>
        </w:rPr>
        <w:t>68</w:t>
      </w:r>
      <w:r w:rsidRPr="009672FC">
        <w:rPr>
          <w:rFonts w:ascii="Garamond" w:hAnsi="Garamond"/>
          <w:noProof/>
        </w:rPr>
        <w:t>(2), 121–142.</w:t>
      </w:r>
    </w:p>
    <w:p w14:paraId="634C23E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Corsaro, D. (2019). Capturing the broader picture of value co-creation management. </w:t>
      </w:r>
      <w:r w:rsidRPr="009672FC">
        <w:rPr>
          <w:rFonts w:ascii="Garamond" w:hAnsi="Garamond"/>
          <w:i/>
          <w:iCs/>
          <w:noProof/>
        </w:rPr>
        <w:t>European Management Journal</w:t>
      </w:r>
      <w:r w:rsidRPr="009672FC">
        <w:rPr>
          <w:rFonts w:ascii="Garamond" w:hAnsi="Garamond"/>
          <w:noProof/>
        </w:rPr>
        <w:t xml:space="preserve">, </w:t>
      </w:r>
      <w:r w:rsidRPr="009672FC">
        <w:rPr>
          <w:rFonts w:ascii="Garamond" w:hAnsi="Garamond"/>
          <w:i/>
          <w:iCs/>
          <w:noProof/>
        </w:rPr>
        <w:t>37</w:t>
      </w:r>
      <w:r w:rsidRPr="009672FC">
        <w:rPr>
          <w:rFonts w:ascii="Garamond" w:hAnsi="Garamond"/>
          <w:noProof/>
        </w:rPr>
        <w:t>(1), 99–116. https://doi.org/10.1016/j.emj.2018.07.007</w:t>
      </w:r>
    </w:p>
    <w:p w14:paraId="7B0A0BD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Cox, S., Jones, B., &amp; Collinson, D. (2006). Trust relations in high-reliability organizations. </w:t>
      </w:r>
      <w:r w:rsidRPr="009672FC">
        <w:rPr>
          <w:rFonts w:ascii="Garamond" w:hAnsi="Garamond"/>
          <w:i/>
          <w:iCs/>
          <w:noProof/>
        </w:rPr>
        <w:t>Risk Analysis</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(5), 1123–1138. https://doi.org/10.1111/j.1539-6924.2006.00820.x</w:t>
      </w:r>
    </w:p>
    <w:p w14:paraId="4B75166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Czakon, W. (2009). Relational capability of organizations – theoretical advances. </w:t>
      </w:r>
      <w:r w:rsidRPr="009672FC">
        <w:rPr>
          <w:rFonts w:ascii="Garamond" w:hAnsi="Garamond"/>
          <w:i/>
          <w:iCs/>
          <w:noProof/>
        </w:rPr>
        <w:t>Journal of Economics and Management</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w:t>
      </w:r>
    </w:p>
    <w:p w14:paraId="65E9BC2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Danwitz, S. Von. (2018). Managing inter- fi rm projects</w:t>
      </w:r>
      <w:r w:rsidRPr="009672FC">
        <w:rPr>
          <w:noProof/>
        </w:rPr>
        <w:t> </w:t>
      </w:r>
      <w:r w:rsidRPr="009672FC">
        <w:rPr>
          <w:rFonts w:ascii="Garamond" w:hAnsi="Garamond"/>
          <w:noProof/>
        </w:rPr>
        <w:t xml:space="preserve">: A systematic review and directions for future research.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36</w:t>
      </w:r>
      <w:r w:rsidRPr="009672FC">
        <w:rPr>
          <w:rFonts w:ascii="Garamond" w:hAnsi="Garamond"/>
          <w:noProof/>
        </w:rPr>
        <w:t>(3), 525–541. https://doi.org/10.1016/j.ijproman.2017.11.004</w:t>
      </w:r>
    </w:p>
    <w:p w14:paraId="52E3B6E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Das, T. K., &amp; Teng, B.-S. (2001). Trust, Control, and Risk in Strategic Alliances: An Integrated Framework. </w:t>
      </w:r>
      <w:r w:rsidRPr="009672FC">
        <w:rPr>
          <w:rFonts w:ascii="Garamond" w:hAnsi="Garamond"/>
          <w:i/>
          <w:iCs/>
          <w:noProof/>
        </w:rPr>
        <w:t>Organization Studies</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(2), 251–283. https://doi.org/0803973233</w:t>
      </w:r>
    </w:p>
    <w:p w14:paraId="04EC7F2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Das, T. K., &amp; Teng, B.-S. (2002). Alliance Constellations: A Social Exchange Perspective. </w:t>
      </w:r>
      <w:r w:rsidRPr="009672FC">
        <w:rPr>
          <w:rFonts w:ascii="Garamond" w:hAnsi="Garamond"/>
          <w:i/>
          <w:iCs/>
          <w:noProof/>
        </w:rPr>
        <w:t>The Academy of Management Review</w:t>
      </w:r>
      <w:r w:rsidRPr="009672FC">
        <w:rPr>
          <w:rFonts w:ascii="Garamond" w:hAnsi="Garamond"/>
          <w:noProof/>
        </w:rPr>
        <w:t xml:space="preserve">, </w:t>
      </w:r>
      <w:r w:rsidRPr="009672FC">
        <w:rPr>
          <w:rFonts w:ascii="Garamond" w:hAnsi="Garamond"/>
          <w:i/>
          <w:iCs/>
          <w:noProof/>
        </w:rPr>
        <w:t>27</w:t>
      </w:r>
      <w:r w:rsidRPr="009672FC">
        <w:rPr>
          <w:rFonts w:ascii="Garamond" w:hAnsi="Garamond"/>
          <w:noProof/>
        </w:rPr>
        <w:t>(3), 445–456.</w:t>
      </w:r>
    </w:p>
    <w:p w14:paraId="7FD5EC3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Das, T. K., &amp; Teng, B.-S. (2012). Trust, Control, and Risks in Strategic Alliances: An integrative Framework. </w:t>
      </w:r>
      <w:r w:rsidRPr="009672FC">
        <w:rPr>
          <w:rFonts w:ascii="Garamond" w:hAnsi="Garamond"/>
          <w:i/>
          <w:iCs/>
          <w:noProof/>
        </w:rPr>
        <w:t>Organization Studies</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(2), 251–283. https://doi.org/0803973233</w:t>
      </w:r>
    </w:p>
    <w:p w14:paraId="4CD3713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Davis, J. P., &amp; Eisenhardt, K. M. (2011). Rotating Leadership and Collaborative Innovation</w:t>
      </w:r>
      <w:r w:rsidRPr="009672FC">
        <w:rPr>
          <w:noProof/>
        </w:rPr>
        <w:t> </w:t>
      </w:r>
      <w:r w:rsidRPr="009672FC">
        <w:rPr>
          <w:rFonts w:ascii="Garamond" w:hAnsi="Garamond"/>
          <w:noProof/>
        </w:rPr>
        <w:t xml:space="preserve">: Recombination Processes in Symbiotic Relationships. </w:t>
      </w:r>
      <w:r w:rsidRPr="009672FC">
        <w:rPr>
          <w:rFonts w:ascii="Garamond" w:hAnsi="Garamond"/>
          <w:i/>
          <w:iCs/>
          <w:noProof/>
        </w:rPr>
        <w:t>Administrative Science Quarterly</w:t>
      </w:r>
      <w:r w:rsidRPr="009672FC">
        <w:rPr>
          <w:rFonts w:ascii="Garamond" w:hAnsi="Garamond"/>
          <w:noProof/>
        </w:rPr>
        <w:t xml:space="preserve">, </w:t>
      </w:r>
      <w:r w:rsidRPr="009672FC">
        <w:rPr>
          <w:rFonts w:ascii="Garamond" w:hAnsi="Garamond"/>
          <w:i/>
          <w:iCs/>
          <w:noProof/>
        </w:rPr>
        <w:t>2</w:t>
      </w:r>
      <w:r w:rsidRPr="009672FC">
        <w:rPr>
          <w:rFonts w:ascii="Garamond" w:hAnsi="Garamond"/>
          <w:noProof/>
        </w:rPr>
        <w:t>(56), 159–201. https://doi.org/10.1177/0001839211428131</w:t>
      </w:r>
    </w:p>
    <w:p w14:paraId="66AB1B3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De Silva, M., Howells, J., &amp; Meyer, M. (2018). Innovation intermediaries and collaboration: Knowledge–based practices and internal value creation. </w:t>
      </w:r>
      <w:r w:rsidRPr="009672FC">
        <w:rPr>
          <w:rFonts w:ascii="Garamond" w:hAnsi="Garamond"/>
          <w:i/>
          <w:iCs/>
          <w:noProof/>
        </w:rPr>
        <w:t>Research Policy</w:t>
      </w:r>
      <w:r w:rsidRPr="009672FC">
        <w:rPr>
          <w:rFonts w:ascii="Garamond" w:hAnsi="Garamond"/>
          <w:noProof/>
        </w:rPr>
        <w:t xml:space="preserve">, </w:t>
      </w:r>
      <w:r w:rsidRPr="009672FC">
        <w:rPr>
          <w:rFonts w:ascii="Garamond" w:hAnsi="Garamond"/>
          <w:i/>
          <w:iCs/>
          <w:noProof/>
        </w:rPr>
        <w:t>47</w:t>
      </w:r>
      <w:r w:rsidRPr="009672FC">
        <w:rPr>
          <w:rFonts w:ascii="Garamond" w:hAnsi="Garamond"/>
          <w:noProof/>
        </w:rPr>
        <w:t>(1), 70–87. https://doi.org/10.1016/j.respol.2017.09.011</w:t>
      </w:r>
    </w:p>
    <w:p w14:paraId="4D406E8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Deb, M., &amp; Amawate, V. (2019). Extending the knowledge on cause-related marketing (CrM) campaign with focus on skepticism. </w:t>
      </w:r>
      <w:r w:rsidRPr="009672FC">
        <w:rPr>
          <w:rFonts w:ascii="Garamond" w:hAnsi="Garamond"/>
          <w:i/>
          <w:iCs/>
          <w:noProof/>
        </w:rPr>
        <w:t>VINE Journal of Information and Knowledge Management Systems</w:t>
      </w:r>
      <w:r w:rsidRPr="009672FC">
        <w:rPr>
          <w:rFonts w:ascii="Garamond" w:hAnsi="Garamond"/>
          <w:noProof/>
        </w:rPr>
        <w:t xml:space="preserve">, </w:t>
      </w:r>
      <w:r w:rsidRPr="009672FC">
        <w:rPr>
          <w:rFonts w:ascii="Garamond" w:hAnsi="Garamond"/>
          <w:i/>
          <w:iCs/>
          <w:noProof/>
        </w:rPr>
        <w:t>50</w:t>
      </w:r>
      <w:r w:rsidRPr="009672FC">
        <w:rPr>
          <w:rFonts w:ascii="Garamond" w:hAnsi="Garamond"/>
          <w:noProof/>
        </w:rPr>
        <w:t>(2), 329–348. https://doi.org/10.1108/VJIKMS-05-2019-0061</w:t>
      </w:r>
    </w:p>
    <w:p w14:paraId="3BDC8DC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DeCuir-Gunby, J. T., Marshall, P. L., &amp; McCulloch, A. W. (2011). Developing and using a codebook for the analysis of interview data: An example from a professional development research project. </w:t>
      </w:r>
      <w:r w:rsidRPr="009672FC">
        <w:rPr>
          <w:rFonts w:ascii="Garamond" w:hAnsi="Garamond"/>
          <w:i/>
          <w:iCs/>
          <w:noProof/>
        </w:rPr>
        <w:t>Field Methods</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(2), 136–155. https://doi.org/10.1177/1525822X10388468</w:t>
      </w:r>
    </w:p>
    <w:p w14:paraId="1736E9C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Dekker, H., Donada, C., Mothe, C., &amp; Nogatchewsky, G. (2019). Boundary spanner relational behavior and inter-organizational control in supply chain relationships.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77</w:t>
      </w:r>
      <w:r w:rsidRPr="009672FC">
        <w:rPr>
          <w:rFonts w:ascii="Garamond" w:hAnsi="Garamond"/>
          <w:noProof/>
        </w:rPr>
        <w:t>(November 2018), 143–154. https://doi.org/10.1016/j.indmarman.2018.11.010</w:t>
      </w:r>
    </w:p>
    <w:p w14:paraId="30B22CE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Delerue, H. (2005). Relational risk perception and alliance management in French biotechnology SMEs. </w:t>
      </w:r>
      <w:r w:rsidRPr="009672FC">
        <w:rPr>
          <w:rFonts w:ascii="Garamond" w:hAnsi="Garamond"/>
          <w:i/>
          <w:iCs/>
          <w:noProof/>
        </w:rPr>
        <w:t>European Business Review</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(6), 532–546. https://doi.org/10.1108/09555340510630563</w:t>
      </w:r>
    </w:p>
    <w:p w14:paraId="3E71CF6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Dimitratos, P., Petrou, A., Plakoyiannaki, E., &amp; Johnson, J. E. (2011). Strategic decision-making processes in internationalization: Does national culture of the focal firm matter? </w:t>
      </w:r>
      <w:r w:rsidRPr="009672FC">
        <w:rPr>
          <w:rFonts w:ascii="Garamond" w:hAnsi="Garamond"/>
          <w:i/>
          <w:iCs/>
          <w:noProof/>
        </w:rPr>
        <w:t>Journal of World Business</w:t>
      </w:r>
      <w:r w:rsidRPr="009672FC">
        <w:rPr>
          <w:rFonts w:ascii="Garamond" w:hAnsi="Garamond"/>
          <w:noProof/>
        </w:rPr>
        <w:t xml:space="preserve">, </w:t>
      </w:r>
      <w:r w:rsidRPr="009672FC">
        <w:rPr>
          <w:rFonts w:ascii="Garamond" w:hAnsi="Garamond"/>
          <w:i/>
          <w:iCs/>
          <w:noProof/>
        </w:rPr>
        <w:t>46</w:t>
      </w:r>
      <w:r w:rsidRPr="009672FC">
        <w:rPr>
          <w:rFonts w:ascii="Garamond" w:hAnsi="Garamond"/>
          <w:noProof/>
        </w:rPr>
        <w:t>(2), 194–204. https://doi.org/10.1016/j.jwb.2010.05.002</w:t>
      </w:r>
    </w:p>
    <w:p w14:paraId="2F2E2CF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Donada, C., Paris-dauphine, U., &amp; Pezet, A. (2016). Understanding the relational dynamic capability-building process. https://doi.org/10.1177/1476127015615286</w:t>
      </w:r>
    </w:p>
    <w:p w14:paraId="19808A7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Doney, P. M., Cannon, J. P., &amp; Mullen, M. R. (1998). Understanding the Influence of National Culture on the Development of Trust. </w:t>
      </w:r>
      <w:r w:rsidRPr="009672FC">
        <w:rPr>
          <w:rFonts w:ascii="Garamond" w:hAnsi="Garamond"/>
          <w:i/>
          <w:iCs/>
          <w:noProof/>
        </w:rPr>
        <w:t>Academy of Management Review</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(3), 601–620.</w:t>
      </w:r>
    </w:p>
    <w:p w14:paraId="734D365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Douglas, E., &amp; Prentice, C. (2019). Innovation and profit motivations for social entrepreneurship: A fuzzy-set analysis.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99</w:t>
      </w:r>
      <w:r w:rsidRPr="009672FC">
        <w:rPr>
          <w:rFonts w:ascii="Garamond" w:hAnsi="Garamond"/>
          <w:noProof/>
        </w:rPr>
        <w:t>(November 2018), 69–79. https://doi.org/10.1016/j.jbusres.2019.02.031</w:t>
      </w:r>
    </w:p>
    <w:p w14:paraId="742BC25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Du, J., Lu, K., &amp; Zhou, C. (2020). Relational embeddedness in home-based network and dynamic capabilities</w:t>
      </w:r>
      <w:r w:rsidRPr="009672FC">
        <w:rPr>
          <w:noProof/>
        </w:rPr>
        <w:t> </w:t>
      </w:r>
      <w:r w:rsidRPr="009672FC">
        <w:rPr>
          <w:rFonts w:ascii="Garamond" w:hAnsi="Garamond"/>
          <w:noProof/>
        </w:rPr>
        <w:t xml:space="preserve">: evidence from Chinese MNCs. </w:t>
      </w:r>
      <w:r w:rsidRPr="009672FC">
        <w:rPr>
          <w:rFonts w:ascii="Garamond" w:hAnsi="Garamond"/>
          <w:i/>
          <w:iCs/>
          <w:noProof/>
        </w:rPr>
        <w:t>Chinese Management Studies</w:t>
      </w:r>
      <w:r w:rsidRPr="009672FC">
        <w:rPr>
          <w:rFonts w:ascii="Garamond" w:hAnsi="Garamond"/>
          <w:noProof/>
        </w:rPr>
        <w:t>. https://doi.org/10.1108/CMS-03-2020-0095</w:t>
      </w:r>
    </w:p>
    <w:p w14:paraId="4DCC3A5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Dulaimi, M. F., Ling, F. Y. Y., &amp; Bajracharya, A. (2003). Organizational motivation and inter-organizational interaction in construction innovation in Singapore. </w:t>
      </w:r>
      <w:r w:rsidRPr="009672FC">
        <w:rPr>
          <w:rFonts w:ascii="Garamond" w:hAnsi="Garamond"/>
          <w:i/>
          <w:iCs/>
          <w:noProof/>
        </w:rPr>
        <w:t>Construction Management and Economics</w:t>
      </w:r>
      <w:r w:rsidRPr="009672FC">
        <w:rPr>
          <w:rFonts w:ascii="Garamond" w:hAnsi="Garamond"/>
          <w:noProof/>
        </w:rPr>
        <w:t xml:space="preserve">, </w:t>
      </w:r>
      <w:r w:rsidRPr="009672FC">
        <w:rPr>
          <w:rFonts w:ascii="Garamond" w:hAnsi="Garamond"/>
          <w:i/>
          <w:iCs/>
          <w:noProof/>
        </w:rPr>
        <w:t>21</w:t>
      </w:r>
      <w:r w:rsidRPr="009672FC">
        <w:rPr>
          <w:rFonts w:ascii="Garamond" w:hAnsi="Garamond"/>
          <w:noProof/>
        </w:rPr>
        <w:t>(3), 307–318. https://doi.org/10.1080/0144619032000056144</w:t>
      </w:r>
    </w:p>
    <w:p w14:paraId="2EE6B2E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Dworkin, S. L. (2012). Sample size policy for qualitative studies using in-depth interviews. </w:t>
      </w:r>
      <w:r w:rsidRPr="009672FC">
        <w:rPr>
          <w:rFonts w:ascii="Garamond" w:hAnsi="Garamond"/>
          <w:i/>
          <w:iCs/>
          <w:noProof/>
        </w:rPr>
        <w:t>Archives of Sexual Behavior</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(6), 1319–1320. https://doi.org/10.1007/s10508-012-0016-6</w:t>
      </w:r>
    </w:p>
    <w:p w14:paraId="636A5AE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Dyer, J. H., &amp; Hatch, N. W. (2006). Relation-specific capabilities and barriers to knowledge transfers: creating advantage through network relationships, </w:t>
      </w:r>
      <w:r w:rsidRPr="009672FC">
        <w:rPr>
          <w:rFonts w:ascii="Garamond" w:hAnsi="Garamond"/>
          <w:i/>
          <w:iCs/>
          <w:noProof/>
        </w:rPr>
        <w:t>719</w:t>
      </w:r>
      <w:r w:rsidRPr="009672FC">
        <w:rPr>
          <w:rFonts w:ascii="Garamond" w:hAnsi="Garamond"/>
          <w:noProof/>
        </w:rPr>
        <w:t>(May), 701–719. https://doi.org/10.1002/smj.543</w:t>
      </w:r>
    </w:p>
    <w:p w14:paraId="022F1E7A" w14:textId="6CD5F86D"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Dyer, J. H., &amp; Nobeoka, K. (2000). </w:t>
      </w:r>
      <w:r w:rsidR="008F28E0" w:rsidRPr="009672FC">
        <w:rPr>
          <w:rFonts w:ascii="Garamond" w:hAnsi="Garamond"/>
          <w:noProof/>
        </w:rPr>
        <w:t>Creating and Managing a High- Performance Knowledge-Sharing Network</w:t>
      </w:r>
      <w:r w:rsidR="008F28E0" w:rsidRPr="009672FC">
        <w:rPr>
          <w:noProof/>
        </w:rPr>
        <w:t> </w:t>
      </w:r>
      <w:r w:rsidR="008F28E0" w:rsidRPr="009672FC">
        <w:rPr>
          <w:rFonts w:ascii="Garamond" w:hAnsi="Garamond"/>
          <w:noProof/>
        </w:rPr>
        <w:t>: The Toyota Case.</w:t>
      </w:r>
      <w:r w:rsidRPr="009672FC">
        <w:rPr>
          <w:rFonts w:ascii="Garamond" w:hAnsi="Garamond"/>
          <w:noProof/>
        </w:rPr>
        <w:t xml:space="preserve">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367</w:t>
      </w:r>
      <w:r w:rsidRPr="009672FC">
        <w:rPr>
          <w:rFonts w:ascii="Garamond" w:hAnsi="Garamond"/>
          <w:noProof/>
        </w:rPr>
        <w:t>(21), 345–367.</w:t>
      </w:r>
    </w:p>
    <w:p w14:paraId="64B0E2C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Dyer, J. H., &amp; Singh, H. (1998). The Relational View</w:t>
      </w:r>
      <w:r w:rsidRPr="009672FC">
        <w:rPr>
          <w:noProof/>
        </w:rPr>
        <w:t> </w:t>
      </w:r>
      <w:r w:rsidRPr="009672FC">
        <w:rPr>
          <w:rFonts w:ascii="Garamond" w:hAnsi="Garamond"/>
          <w:noProof/>
        </w:rPr>
        <w:t xml:space="preserve">: Cooperative Strategy and Sources of Interorganizational Competitive Advantage. </w:t>
      </w:r>
      <w:r w:rsidRPr="009672FC">
        <w:rPr>
          <w:rFonts w:ascii="Garamond" w:hAnsi="Garamond"/>
          <w:i/>
          <w:iCs/>
          <w:noProof/>
        </w:rPr>
        <w:t>Academy of Management Review</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(4), 660–679. https://doi.org/10.2307/259056</w:t>
      </w:r>
    </w:p>
    <w:p w14:paraId="714E77DA" w14:textId="77777777" w:rsidR="008F28E0"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Dyer, J. H., Singh, H., &amp; Hesterly, W. S. (2018). The relational view revisited: A dynamic perspective on value creation and value capture.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39</w:t>
      </w:r>
      <w:r w:rsidRPr="009672FC">
        <w:rPr>
          <w:rFonts w:ascii="Garamond" w:hAnsi="Garamond"/>
          <w:noProof/>
        </w:rPr>
        <w:t>(12), 3140–3162. https://doi.org/10.1002/smj.2785</w:t>
      </w:r>
      <w:r w:rsidR="008F28E0" w:rsidRPr="009672FC">
        <w:rPr>
          <w:rFonts w:ascii="Garamond" w:hAnsi="Garamond"/>
          <w:noProof/>
        </w:rPr>
        <w:t>.</w:t>
      </w:r>
    </w:p>
    <w:p w14:paraId="6ABAEDB4"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DiMaggio, P.J., &amp; Powell, W.W. (1983). The iron cage revisited: Institutional isomorphism and collective rationality in organizational fields. American Sociological Review, 48 (2): 147–160</w:t>
      </w:r>
      <w:r w:rsidRPr="009672FC">
        <w:rPr>
          <w:rFonts w:ascii="Garamond" w:hAnsi="Garamond"/>
          <w:noProof/>
        </w:rPr>
        <w:t>.</w:t>
      </w:r>
    </w:p>
    <w:p w14:paraId="5A66F46F"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Ebers, M. (1997). Explaining inter-organizational network formation. The formation of inter-organizational networks, 1, 3-40</w:t>
      </w:r>
      <w:r w:rsidRPr="009672FC">
        <w:rPr>
          <w:rFonts w:ascii="Garamond" w:eastAsiaTheme="minorHAnsi" w:hAnsi="Garamond"/>
          <w:lang w:eastAsia="en-US"/>
        </w:rPr>
        <w:t>.</w:t>
      </w:r>
    </w:p>
    <w:p w14:paraId="300037B7"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Hasse, R., &amp; Kruecken, G. 2005. Neo-institutionalismus. Rev. ed. Bielefeld: transcript.  Verlag</w:t>
      </w:r>
      <w:r w:rsidRPr="009672FC">
        <w:rPr>
          <w:rFonts w:ascii="Garamond" w:hAnsi="Garamond"/>
          <w:noProof/>
        </w:rPr>
        <w:t>.</w:t>
      </w:r>
    </w:p>
    <w:p w14:paraId="0830E9A2" w14:textId="13663C9A" w:rsidR="00813D37"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Eisenhardt, K. M. (1989). Building Theories from Case Study Research. </w:t>
      </w:r>
      <w:r w:rsidRPr="009672FC">
        <w:rPr>
          <w:rFonts w:ascii="Garamond" w:hAnsi="Garamond"/>
          <w:i/>
          <w:iCs/>
          <w:noProof/>
        </w:rPr>
        <w:t>The Academy of Management Review</w:t>
      </w:r>
      <w:r w:rsidRPr="009672FC">
        <w:rPr>
          <w:rFonts w:ascii="Garamond" w:hAnsi="Garamond"/>
          <w:noProof/>
        </w:rPr>
        <w:t xml:space="preserve">, </w:t>
      </w:r>
      <w:r w:rsidRPr="009672FC">
        <w:rPr>
          <w:rFonts w:ascii="Garamond" w:hAnsi="Garamond"/>
          <w:i/>
          <w:iCs/>
          <w:noProof/>
        </w:rPr>
        <w:t>14</w:t>
      </w:r>
      <w:r w:rsidRPr="009672FC">
        <w:rPr>
          <w:rFonts w:ascii="Garamond" w:hAnsi="Garamond"/>
          <w:noProof/>
        </w:rPr>
        <w:t>(4), 532–550.</w:t>
      </w:r>
    </w:p>
    <w:p w14:paraId="53B4865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Ekici, A. (2013). Temporal dynamics of trust in ongoing inter-organizational relationships.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42</w:t>
      </w:r>
      <w:r w:rsidRPr="009672FC">
        <w:rPr>
          <w:rFonts w:ascii="Garamond" w:hAnsi="Garamond"/>
          <w:noProof/>
        </w:rPr>
        <w:t>(6), 932–949. https://doi.org/10.1016/j.indmarman.2013.03.008</w:t>
      </w:r>
    </w:p>
    <w:p w14:paraId="4F92CCC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Faminow, M. D., Carter, S. E., &amp; Lundy, M. (2009). Social entrepreneurship and learning: The case of the central America learning alliance. </w:t>
      </w:r>
      <w:r w:rsidRPr="009672FC">
        <w:rPr>
          <w:rFonts w:ascii="Garamond" w:hAnsi="Garamond"/>
          <w:i/>
          <w:iCs/>
          <w:noProof/>
        </w:rPr>
        <w:t>Journal of Developmental Entrepreneurship</w:t>
      </w:r>
      <w:r w:rsidRPr="009672FC">
        <w:rPr>
          <w:rFonts w:ascii="Garamond" w:hAnsi="Garamond"/>
          <w:noProof/>
        </w:rPr>
        <w:t xml:space="preserve">, </w:t>
      </w:r>
      <w:r w:rsidRPr="009672FC">
        <w:rPr>
          <w:rFonts w:ascii="Garamond" w:hAnsi="Garamond"/>
          <w:i/>
          <w:iCs/>
          <w:noProof/>
        </w:rPr>
        <w:t>14</w:t>
      </w:r>
      <w:r w:rsidRPr="009672FC">
        <w:rPr>
          <w:rFonts w:ascii="Garamond" w:hAnsi="Garamond"/>
          <w:noProof/>
        </w:rPr>
        <w:t xml:space="preserve">(4), </w:t>
      </w:r>
      <w:r w:rsidRPr="009672FC">
        <w:rPr>
          <w:rFonts w:ascii="Garamond" w:hAnsi="Garamond"/>
          <w:noProof/>
        </w:rPr>
        <w:lastRenderedPageBreak/>
        <w:t>433–450. https://doi.org/10.1142/S108494670900134X</w:t>
      </w:r>
    </w:p>
    <w:p w14:paraId="4DC72DA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Faria, P. De, Lima, F., &amp; Santos, R. (2010). Cooperation in innovation activities</w:t>
      </w:r>
      <w:r w:rsidRPr="009672FC">
        <w:rPr>
          <w:noProof/>
        </w:rPr>
        <w:t> </w:t>
      </w:r>
      <w:r w:rsidRPr="009672FC">
        <w:rPr>
          <w:rFonts w:ascii="Garamond" w:hAnsi="Garamond"/>
          <w:noProof/>
        </w:rPr>
        <w:t xml:space="preserve">: The importance of partners. </w:t>
      </w:r>
      <w:r w:rsidRPr="009672FC">
        <w:rPr>
          <w:rFonts w:ascii="Garamond" w:hAnsi="Garamond"/>
          <w:i/>
          <w:iCs/>
          <w:noProof/>
        </w:rPr>
        <w:t>Research Policy</w:t>
      </w:r>
      <w:r w:rsidRPr="009672FC">
        <w:rPr>
          <w:rFonts w:ascii="Garamond" w:hAnsi="Garamond"/>
          <w:noProof/>
        </w:rPr>
        <w:t xml:space="preserve">, </w:t>
      </w:r>
      <w:r w:rsidRPr="009672FC">
        <w:rPr>
          <w:rFonts w:ascii="Garamond" w:hAnsi="Garamond"/>
          <w:i/>
          <w:iCs/>
          <w:noProof/>
        </w:rPr>
        <w:t>39</w:t>
      </w:r>
      <w:r w:rsidRPr="009672FC">
        <w:rPr>
          <w:rFonts w:ascii="Garamond" w:hAnsi="Garamond"/>
          <w:noProof/>
        </w:rPr>
        <w:t>(8), 1082–1092. https://doi.org/10.1016/j.respol.2010.05.003</w:t>
      </w:r>
    </w:p>
    <w:p w14:paraId="6D2F82C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Feller, J., Finnegan, P., Fitzgerald, B., &amp; Hayes, J. (2008). From peer production to productization: A study of socially enabled business exchanges in open source service networks. </w:t>
      </w:r>
      <w:r w:rsidRPr="009672FC">
        <w:rPr>
          <w:rFonts w:ascii="Garamond" w:hAnsi="Garamond"/>
          <w:i/>
          <w:iCs/>
          <w:noProof/>
        </w:rPr>
        <w:t>Information Systems Research</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(4), 475–493. https://doi.org/10.1287/isre.1080.0207</w:t>
      </w:r>
    </w:p>
    <w:p w14:paraId="52B9436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Fereday, J., &amp; Muir-Cochrane, E. (2006). Demonstrating Rigor Using Thematic Analysis: A Hybrid Approach of Inductive and Deductive Coding and Theme Development. </w:t>
      </w:r>
      <w:r w:rsidRPr="009672FC">
        <w:rPr>
          <w:rFonts w:ascii="Garamond" w:hAnsi="Garamond"/>
          <w:i/>
          <w:iCs/>
          <w:noProof/>
        </w:rPr>
        <w:t>International Journal of Qualitative Methods</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(1), 80–92. https://doi.org/10.1177/160940690600500107</w:t>
      </w:r>
    </w:p>
    <w:p w14:paraId="285C370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Fernandez, A. S., Le Roy, F., &amp; Chiambaretto, P. (2018). Implementing the right project structure to achieve coopetitive innovation projects. </w:t>
      </w:r>
      <w:r w:rsidRPr="009672FC">
        <w:rPr>
          <w:rFonts w:ascii="Garamond" w:hAnsi="Garamond"/>
          <w:i/>
          <w:iCs/>
          <w:noProof/>
        </w:rPr>
        <w:t>Long Range Planning</w:t>
      </w:r>
      <w:r w:rsidRPr="009672FC">
        <w:rPr>
          <w:rFonts w:ascii="Garamond" w:hAnsi="Garamond"/>
          <w:noProof/>
        </w:rPr>
        <w:t xml:space="preserve">, </w:t>
      </w:r>
      <w:r w:rsidRPr="009672FC">
        <w:rPr>
          <w:rFonts w:ascii="Garamond" w:hAnsi="Garamond"/>
          <w:i/>
          <w:iCs/>
          <w:noProof/>
        </w:rPr>
        <w:t>51</w:t>
      </w:r>
      <w:r w:rsidRPr="009672FC">
        <w:rPr>
          <w:rFonts w:ascii="Garamond" w:hAnsi="Garamond"/>
          <w:noProof/>
        </w:rPr>
        <w:t>(2), 384–405. https://doi.org/10.1016/j.lrp.2017.07.009</w:t>
      </w:r>
    </w:p>
    <w:p w14:paraId="74B7517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Fornell, C., &amp; Larcker, D. F. (1981). Evaluating Structural Equation Models with Unobservable Variables and Measurement Error. </w:t>
      </w:r>
      <w:r w:rsidRPr="009672FC">
        <w:rPr>
          <w:rFonts w:ascii="Garamond" w:hAnsi="Garamond"/>
          <w:i/>
          <w:iCs/>
          <w:noProof/>
        </w:rPr>
        <w:t>Journal of Marketing Research</w:t>
      </w:r>
      <w:r w:rsidRPr="009672FC">
        <w:rPr>
          <w:rFonts w:ascii="Garamond" w:hAnsi="Garamond"/>
          <w:noProof/>
        </w:rPr>
        <w:t xml:space="preserve">, </w:t>
      </w:r>
      <w:r w:rsidRPr="009672FC">
        <w:rPr>
          <w:rFonts w:ascii="Garamond" w:hAnsi="Garamond"/>
          <w:i/>
          <w:iCs/>
          <w:noProof/>
        </w:rPr>
        <w:t>18</w:t>
      </w:r>
      <w:r w:rsidRPr="009672FC">
        <w:rPr>
          <w:rFonts w:ascii="Garamond" w:hAnsi="Garamond"/>
          <w:noProof/>
        </w:rPr>
        <w:t>(1), 39. https://doi.org/10.2307/3151312</w:t>
      </w:r>
    </w:p>
    <w:p w14:paraId="37BC56B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Franklin, D., &amp; Marshall, R. (2019). Adding co-creation as an antecedent condition leading to trust in business-to-business relationships.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77</w:t>
      </w:r>
      <w:r w:rsidRPr="009672FC">
        <w:rPr>
          <w:rFonts w:ascii="Garamond" w:hAnsi="Garamond"/>
          <w:noProof/>
        </w:rPr>
        <w:t>(October 2018), 170–181. https://doi.org/10.1016/j.indmarman.2018.10.002</w:t>
      </w:r>
    </w:p>
    <w:p w14:paraId="4F5744E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Frooman, J. (1999). Stakeholder Influence Strategies. </w:t>
      </w:r>
      <w:r w:rsidRPr="009672FC">
        <w:rPr>
          <w:rFonts w:ascii="Garamond" w:hAnsi="Garamond"/>
          <w:i/>
          <w:iCs/>
          <w:noProof/>
        </w:rPr>
        <w:t>The Academy of Management Review</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(2), 191–205.</w:t>
      </w:r>
    </w:p>
    <w:p w14:paraId="61FC3CD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Galati, F., Bigliardi, B., Galati, R., &amp; Petroni, G. (2019). Managing structural inter-organizational tensions in complex product systems projects: Lessons from the Metis case. </w:t>
      </w:r>
      <w:r w:rsidRPr="009672FC">
        <w:rPr>
          <w:rFonts w:ascii="Garamond" w:hAnsi="Garamond"/>
          <w:i/>
          <w:iCs/>
          <w:noProof/>
        </w:rPr>
        <w:t>Journal of Business Research</w:t>
      </w:r>
      <w:r w:rsidRPr="009672FC">
        <w:rPr>
          <w:rFonts w:ascii="Garamond" w:hAnsi="Garamond"/>
          <w:noProof/>
        </w:rPr>
        <w:t>, (March), 1–13. https://doi.org/10.1016/j.jbusres.2019.10.044</w:t>
      </w:r>
    </w:p>
    <w:p w14:paraId="24B80BC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Garson, G. D. (2016). </w:t>
      </w:r>
      <w:r w:rsidRPr="009672FC">
        <w:rPr>
          <w:rFonts w:ascii="Garamond" w:hAnsi="Garamond"/>
          <w:i/>
          <w:iCs/>
          <w:noProof/>
        </w:rPr>
        <w:t>Partial Least Squares: Regression &amp; Structural Equation Models</w:t>
      </w:r>
      <w:r w:rsidRPr="009672FC">
        <w:rPr>
          <w:rFonts w:ascii="Garamond" w:hAnsi="Garamond"/>
          <w:noProof/>
        </w:rPr>
        <w:t xml:space="preserve">. </w:t>
      </w:r>
      <w:r w:rsidRPr="009672FC">
        <w:rPr>
          <w:rFonts w:ascii="Garamond" w:hAnsi="Garamond"/>
          <w:i/>
          <w:iCs/>
          <w:noProof/>
        </w:rPr>
        <w:t>Multi-Label Dimensionality Reduction</w:t>
      </w:r>
      <w:r w:rsidRPr="009672FC">
        <w:rPr>
          <w:rFonts w:ascii="Garamond" w:hAnsi="Garamond"/>
          <w:noProof/>
        </w:rPr>
        <w:t>. G. David Garson and Statistical Associates Publishing. https://doi.org/10.1201/b16017-6</w:t>
      </w:r>
    </w:p>
    <w:p w14:paraId="43A7D5A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Gilbert, J. A., &amp; Tang, T. L. P. (1998). An examination of organizational trust antecedents. </w:t>
      </w:r>
      <w:r w:rsidRPr="009672FC">
        <w:rPr>
          <w:rFonts w:ascii="Garamond" w:hAnsi="Garamond"/>
          <w:i/>
          <w:iCs/>
          <w:noProof/>
        </w:rPr>
        <w:t>Public Personnel Management</w:t>
      </w:r>
      <w:r w:rsidRPr="009672FC">
        <w:rPr>
          <w:rFonts w:ascii="Garamond" w:hAnsi="Garamond"/>
          <w:noProof/>
        </w:rPr>
        <w:t xml:space="preserve">, </w:t>
      </w:r>
      <w:r w:rsidRPr="009672FC">
        <w:rPr>
          <w:rFonts w:ascii="Garamond" w:hAnsi="Garamond"/>
          <w:i/>
          <w:iCs/>
          <w:noProof/>
        </w:rPr>
        <w:t>27</w:t>
      </w:r>
      <w:r w:rsidRPr="009672FC">
        <w:rPr>
          <w:rFonts w:ascii="Garamond" w:hAnsi="Garamond"/>
          <w:noProof/>
        </w:rPr>
        <w:t>(3), 321–335. https://doi.org/10.1177/009102609802700303</w:t>
      </w:r>
    </w:p>
    <w:p w14:paraId="18BC997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Giusti, J. D., Alberti, F. G., &amp; Belfanti, F. (2017). Makers and clusters. Knowledge leaks in open innovation networks. </w:t>
      </w:r>
      <w:r w:rsidRPr="009672FC">
        <w:rPr>
          <w:rFonts w:ascii="Garamond" w:hAnsi="Garamond"/>
          <w:i/>
          <w:iCs/>
          <w:noProof/>
        </w:rPr>
        <w:t>Journal of Innovation &amp; Knowledge</w:t>
      </w:r>
      <w:r w:rsidRPr="009672FC">
        <w:rPr>
          <w:rFonts w:ascii="Garamond" w:hAnsi="Garamond"/>
          <w:noProof/>
        </w:rPr>
        <w:t xml:space="preserve">, </w:t>
      </w:r>
      <w:r w:rsidRPr="009672FC">
        <w:rPr>
          <w:rFonts w:ascii="Garamond" w:hAnsi="Garamond"/>
          <w:i/>
          <w:iCs/>
          <w:noProof/>
        </w:rPr>
        <w:t>85</w:t>
      </w:r>
      <w:r w:rsidRPr="009672FC">
        <w:rPr>
          <w:rFonts w:ascii="Garamond" w:hAnsi="Garamond"/>
          <w:noProof/>
        </w:rPr>
        <w:t>(2017), 1–9. https://doi.org/10.1016/j.jik.2018.04.001</w:t>
      </w:r>
    </w:p>
    <w:p w14:paraId="1658921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Grant, R. M. (1996). Toward a knowledge</w:t>
      </w:r>
      <w:r w:rsidRPr="009672FC">
        <w:rPr>
          <w:noProof/>
        </w:rPr>
        <w:t>‐</w:t>
      </w:r>
      <w:r w:rsidRPr="009672FC">
        <w:rPr>
          <w:rFonts w:ascii="Garamond" w:hAnsi="Garamond"/>
          <w:noProof/>
        </w:rPr>
        <w:t xml:space="preserve">based theory of the firm.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 109–122.</w:t>
      </w:r>
    </w:p>
    <w:p w14:paraId="5EE8919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Green, K. W., Inman, R. A., Birou, L. M., &amp; Whitten, D. (2014). Total JIT (T-JIT) and its impact </w:t>
      </w:r>
      <w:r w:rsidRPr="009672FC">
        <w:rPr>
          <w:rFonts w:ascii="Garamond" w:hAnsi="Garamond"/>
          <w:noProof/>
        </w:rPr>
        <w:lastRenderedPageBreak/>
        <w:t xml:space="preserve">on supply chain competency and organizational performance. </w:t>
      </w:r>
      <w:r w:rsidRPr="009672FC">
        <w:rPr>
          <w:rFonts w:ascii="Garamond" w:hAnsi="Garamond"/>
          <w:i/>
          <w:iCs/>
          <w:noProof/>
        </w:rPr>
        <w:t>International Journal of Production Economics</w:t>
      </w:r>
      <w:r w:rsidRPr="009672FC">
        <w:rPr>
          <w:rFonts w:ascii="Garamond" w:hAnsi="Garamond"/>
          <w:noProof/>
        </w:rPr>
        <w:t xml:space="preserve">, </w:t>
      </w:r>
      <w:r w:rsidRPr="009672FC">
        <w:rPr>
          <w:rFonts w:ascii="Garamond" w:hAnsi="Garamond"/>
          <w:i/>
          <w:iCs/>
          <w:noProof/>
        </w:rPr>
        <w:t>147</w:t>
      </w:r>
      <w:r w:rsidRPr="009672FC">
        <w:rPr>
          <w:rFonts w:ascii="Garamond" w:hAnsi="Garamond"/>
          <w:noProof/>
        </w:rPr>
        <w:t>(PART A), 125–135. https://doi.org/10.1016/j.ijpe.2013.08.026</w:t>
      </w:r>
    </w:p>
    <w:p w14:paraId="1B25E13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Griffiths, M. D., Gundry, L. K., &amp; Kickul, J. R. (2013). The socio-political, economic, and cultural determinants of social entrepreneurship activity: An empirical examination. </w:t>
      </w:r>
      <w:r w:rsidRPr="009672FC">
        <w:rPr>
          <w:rFonts w:ascii="Garamond" w:hAnsi="Garamond"/>
          <w:i/>
          <w:iCs/>
          <w:noProof/>
        </w:rPr>
        <w:t>Journal of Small Business and Enterprise Development</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(2), 341–357. https://doi.org/10.1108/14626001311326761</w:t>
      </w:r>
    </w:p>
    <w:p w14:paraId="173CC30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Gross, P. L. ., &amp; Gross, E. . (1927). College Libraries and Chemecial Education.</w:t>
      </w:r>
    </w:p>
    <w:p w14:paraId="1112E68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Guinot, J., Chiva, R., &amp; Mallén, F. (2013). Organizational trust and performance: Is organizational learning capability a missing link? </w:t>
      </w:r>
      <w:r w:rsidRPr="009672FC">
        <w:rPr>
          <w:rFonts w:ascii="Garamond" w:hAnsi="Garamond"/>
          <w:i/>
          <w:iCs/>
          <w:noProof/>
        </w:rPr>
        <w:t>Journal of Management and Organization</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(5), 559–582. https://doi.org/10.1017/jmo.2014.3</w:t>
      </w:r>
    </w:p>
    <w:p w14:paraId="1D22434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Gulati, R. (1995). Does Familiarity Breed Trust</w:t>
      </w:r>
      <w:r w:rsidRPr="009672FC">
        <w:rPr>
          <w:noProof/>
        </w:rPr>
        <w:t> </w:t>
      </w:r>
      <w:r w:rsidRPr="009672FC">
        <w:rPr>
          <w:rFonts w:ascii="Garamond" w:hAnsi="Garamond"/>
          <w:noProof/>
        </w:rPr>
        <w:t xml:space="preserve">? The Implications of Repeated Ties for Contractual Choice in Alliances. </w:t>
      </w:r>
      <w:r w:rsidRPr="009672FC">
        <w:rPr>
          <w:rFonts w:ascii="Garamond" w:hAnsi="Garamond"/>
          <w:i/>
          <w:iCs/>
          <w:noProof/>
        </w:rPr>
        <w:t>The Academy of Management Journal</w:t>
      </w:r>
      <w:r w:rsidRPr="009672FC">
        <w:rPr>
          <w:rFonts w:ascii="Garamond" w:hAnsi="Garamond"/>
          <w:noProof/>
        </w:rPr>
        <w:t xml:space="preserve">, </w:t>
      </w:r>
      <w:r w:rsidRPr="009672FC">
        <w:rPr>
          <w:rFonts w:ascii="Garamond" w:hAnsi="Garamond"/>
          <w:i/>
          <w:iCs/>
          <w:noProof/>
        </w:rPr>
        <w:t>38</w:t>
      </w:r>
      <w:r w:rsidRPr="009672FC">
        <w:rPr>
          <w:rFonts w:ascii="Garamond" w:hAnsi="Garamond"/>
          <w:noProof/>
        </w:rPr>
        <w:t>(1), 85–112. https://doi.org/10.1016/j.electacta.2011.07.104</w:t>
      </w:r>
    </w:p>
    <w:p w14:paraId="467BAEC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Gulati, R. (1998). Alliances and networks.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 19. Retrieved from http://grameenresearch.org/grameen-methodology-2/</w:t>
      </w:r>
    </w:p>
    <w:p w14:paraId="11ED7DD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Gulati, R., Nohria, N., &amp; Zaheer, A. (2000). Strategic Networks.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21</w:t>
      </w:r>
      <w:r w:rsidRPr="009672FC">
        <w:rPr>
          <w:rFonts w:ascii="Garamond" w:hAnsi="Garamond"/>
          <w:noProof/>
        </w:rPr>
        <w:t>, 203–215. https://doi.org/10.1002/(SICI)1097-0266(200003)21:3&lt;203::AID-SMJ102&gt;3.0.CO;2-K</w:t>
      </w:r>
    </w:p>
    <w:p w14:paraId="5F01374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Gulati, Ranjay. (1995). Social Structure and Alliance Formation Patterns: A Longitudinal Analysis. </w:t>
      </w:r>
      <w:r w:rsidRPr="009672FC">
        <w:rPr>
          <w:rFonts w:ascii="Garamond" w:hAnsi="Garamond"/>
          <w:i/>
          <w:iCs/>
          <w:noProof/>
        </w:rPr>
        <w:t>Administrative Science Quarterly</w:t>
      </w:r>
      <w:r w:rsidRPr="009672FC">
        <w:rPr>
          <w:rFonts w:ascii="Garamond" w:hAnsi="Garamond"/>
          <w:noProof/>
        </w:rPr>
        <w:t xml:space="preserve">, </w:t>
      </w:r>
      <w:r w:rsidRPr="009672FC">
        <w:rPr>
          <w:rFonts w:ascii="Garamond" w:hAnsi="Garamond"/>
          <w:i/>
          <w:iCs/>
          <w:noProof/>
        </w:rPr>
        <w:t>40</w:t>
      </w:r>
      <w:r w:rsidRPr="009672FC">
        <w:rPr>
          <w:rFonts w:ascii="Garamond" w:hAnsi="Garamond"/>
          <w:noProof/>
        </w:rPr>
        <w:t>(4), 619–652. https://doi.org/10.2307/2393756</w:t>
      </w:r>
    </w:p>
    <w:p w14:paraId="4CB2BC5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Gulati, Ranjay, &amp; Gargiulo, M. (1999). Where Do Interorganizational Networks Come From? </w:t>
      </w:r>
      <w:r w:rsidRPr="009672FC">
        <w:rPr>
          <w:rFonts w:ascii="Garamond" w:hAnsi="Garamond"/>
          <w:i/>
          <w:iCs/>
          <w:noProof/>
        </w:rPr>
        <w:t>American Journal of Sociology</w:t>
      </w:r>
      <w:r w:rsidRPr="009672FC">
        <w:rPr>
          <w:rFonts w:ascii="Garamond" w:hAnsi="Garamond"/>
          <w:noProof/>
        </w:rPr>
        <w:t xml:space="preserve">, </w:t>
      </w:r>
      <w:r w:rsidRPr="009672FC">
        <w:rPr>
          <w:rFonts w:ascii="Garamond" w:hAnsi="Garamond"/>
          <w:i/>
          <w:iCs/>
          <w:noProof/>
        </w:rPr>
        <w:t>104</w:t>
      </w:r>
      <w:r w:rsidRPr="009672FC">
        <w:rPr>
          <w:rFonts w:ascii="Garamond" w:hAnsi="Garamond"/>
          <w:noProof/>
        </w:rPr>
        <w:t>(5), 1439–1493. https://doi.org/10.1086/210179</w:t>
      </w:r>
    </w:p>
    <w:p w14:paraId="7FF13B9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Hair, J. F., Hult, G. T. M., Ringle, C. M., &amp; Sarstedt, M. (2013). </w:t>
      </w:r>
      <w:r w:rsidRPr="009672FC">
        <w:rPr>
          <w:rFonts w:ascii="Garamond" w:hAnsi="Garamond"/>
          <w:i/>
          <w:iCs/>
          <w:noProof/>
        </w:rPr>
        <w:t>A Primer on Partial Least Squares Structural Equation Modeling (PLS-SEM). Thousand Oaks</w:t>
      </w:r>
      <w:r w:rsidRPr="009672FC">
        <w:rPr>
          <w:rFonts w:ascii="Garamond" w:hAnsi="Garamond"/>
          <w:noProof/>
        </w:rPr>
        <w:t xml:space="preserve">. </w:t>
      </w:r>
      <w:r w:rsidRPr="009672FC">
        <w:rPr>
          <w:rFonts w:ascii="Garamond" w:hAnsi="Garamond"/>
          <w:i/>
          <w:iCs/>
          <w:noProof/>
        </w:rPr>
        <w:t>Sage</w:t>
      </w:r>
      <w:r w:rsidRPr="009672FC">
        <w:rPr>
          <w:rFonts w:ascii="Garamond" w:hAnsi="Garamond"/>
          <w:noProof/>
        </w:rPr>
        <w:t>.</w:t>
      </w:r>
    </w:p>
    <w:p w14:paraId="6488CB3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Hair, Joe F, Black, W. C., Babin, B. J., &amp; Anderson, R. E. (2015). </w:t>
      </w:r>
      <w:r w:rsidRPr="009672FC">
        <w:rPr>
          <w:rFonts w:ascii="Garamond" w:hAnsi="Garamond"/>
          <w:i/>
          <w:iCs/>
          <w:noProof/>
        </w:rPr>
        <w:t>Multivariate Data Analysis</w:t>
      </w:r>
      <w:r w:rsidRPr="009672FC">
        <w:rPr>
          <w:rFonts w:ascii="Garamond" w:hAnsi="Garamond"/>
          <w:noProof/>
        </w:rPr>
        <w:t xml:space="preserve">. </w:t>
      </w:r>
      <w:r w:rsidRPr="009672FC">
        <w:rPr>
          <w:rFonts w:ascii="Garamond" w:hAnsi="Garamond"/>
          <w:i/>
          <w:iCs/>
          <w:noProof/>
        </w:rPr>
        <w:t>Journal of Research Methodology (JRM)</w:t>
      </w:r>
      <w:r w:rsidRPr="009672FC">
        <w:rPr>
          <w:rFonts w:ascii="Garamond" w:hAnsi="Garamond"/>
          <w:noProof/>
        </w:rPr>
        <w:t xml:space="preserve"> (Vol. 22). https://doi.org/10.2307/1266874</w:t>
      </w:r>
    </w:p>
    <w:p w14:paraId="6EE95E2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Hair, Joe F, Ringle, C. M., &amp; Sarstedt, M. (2011). PPLS-SEM: Indeed a Silver Bullet. </w:t>
      </w:r>
      <w:r w:rsidRPr="009672FC">
        <w:rPr>
          <w:rFonts w:ascii="Garamond" w:hAnsi="Garamond"/>
          <w:i/>
          <w:iCs/>
          <w:noProof/>
        </w:rPr>
        <w:t>Journal of Marketing Theory and Practice</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(2), 139–151. https://doi.org/10.2753/MTP</w:t>
      </w:r>
    </w:p>
    <w:p w14:paraId="09CD5E6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Halinen, A., Medlin, C. J., &amp; Törnroos, J. Å. (2012). Time and process in business network research.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(2), 215–223. https://doi.org/10.1016/j.indmarman.2012.01.006</w:t>
      </w:r>
    </w:p>
    <w:p w14:paraId="26AB484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Han, J., Teng, X., &amp; Cai, X. (2019). A novel network optimization partner selection method based on collaborative and knowledge networks. </w:t>
      </w:r>
      <w:r w:rsidRPr="009672FC">
        <w:rPr>
          <w:rFonts w:ascii="Garamond" w:hAnsi="Garamond"/>
          <w:i/>
          <w:iCs/>
          <w:noProof/>
        </w:rPr>
        <w:t>Information Sciences</w:t>
      </w:r>
      <w:r w:rsidRPr="009672FC">
        <w:rPr>
          <w:rFonts w:ascii="Garamond" w:hAnsi="Garamond"/>
          <w:noProof/>
        </w:rPr>
        <w:t xml:space="preserve">, </w:t>
      </w:r>
      <w:r w:rsidRPr="009672FC">
        <w:rPr>
          <w:rFonts w:ascii="Garamond" w:hAnsi="Garamond"/>
          <w:i/>
          <w:iCs/>
          <w:noProof/>
        </w:rPr>
        <w:t>484</w:t>
      </w:r>
      <w:r w:rsidRPr="009672FC">
        <w:rPr>
          <w:rFonts w:ascii="Garamond" w:hAnsi="Garamond"/>
          <w:noProof/>
        </w:rPr>
        <w:t>, 269–285. https://doi.org/10.1016/j.ins.2019.01.072</w:t>
      </w:r>
    </w:p>
    <w:p w14:paraId="14014BE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Harvey, C., Maclean, M., Gordon, J., &amp; Shaw, E. (2011). Andrew Carnegie and the foundations of contemporary entrepreneurial philanthropy. </w:t>
      </w:r>
      <w:r w:rsidRPr="009672FC">
        <w:rPr>
          <w:rFonts w:ascii="Garamond" w:hAnsi="Garamond"/>
          <w:i/>
          <w:iCs/>
          <w:noProof/>
        </w:rPr>
        <w:t>Business History</w:t>
      </w:r>
      <w:r w:rsidRPr="009672FC">
        <w:rPr>
          <w:rFonts w:ascii="Garamond" w:hAnsi="Garamond"/>
          <w:noProof/>
        </w:rPr>
        <w:t xml:space="preserve">, </w:t>
      </w:r>
      <w:r w:rsidRPr="009672FC">
        <w:rPr>
          <w:rFonts w:ascii="Garamond" w:hAnsi="Garamond"/>
          <w:i/>
          <w:iCs/>
          <w:noProof/>
        </w:rPr>
        <w:t>53</w:t>
      </w:r>
      <w:r w:rsidRPr="009672FC">
        <w:rPr>
          <w:rFonts w:ascii="Garamond" w:hAnsi="Garamond"/>
          <w:noProof/>
        </w:rPr>
        <w:t>(3), 425–450. https://doi.org/10.1080/00076791.2011.565516</w:t>
      </w:r>
    </w:p>
    <w:p w14:paraId="10C98A8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Hatak, I., Fink, M., &amp; Frank, H. (2015). Business freedom, corruption and the performance of trusting cooperation partners: empirical findings from six European countries. </w:t>
      </w:r>
      <w:r w:rsidRPr="009672FC">
        <w:rPr>
          <w:rFonts w:ascii="Garamond" w:hAnsi="Garamond"/>
          <w:i/>
          <w:iCs/>
          <w:noProof/>
        </w:rPr>
        <w:t>Review of Managerial Science</w:t>
      </w:r>
      <w:r w:rsidRPr="009672FC">
        <w:rPr>
          <w:rFonts w:ascii="Garamond" w:hAnsi="Garamond"/>
          <w:noProof/>
        </w:rPr>
        <w:t xml:space="preserve">, </w:t>
      </w:r>
      <w:r w:rsidRPr="009672FC">
        <w:rPr>
          <w:rFonts w:ascii="Garamond" w:hAnsi="Garamond"/>
          <w:i/>
          <w:iCs/>
          <w:noProof/>
        </w:rPr>
        <w:t>9</w:t>
      </w:r>
      <w:r w:rsidRPr="009672FC">
        <w:rPr>
          <w:rFonts w:ascii="Garamond" w:hAnsi="Garamond"/>
          <w:noProof/>
        </w:rPr>
        <w:t>(3), 523–547. https://doi.org/10.1007/s11846-014-0127-7</w:t>
      </w:r>
    </w:p>
    <w:p w14:paraId="1ED50E7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Heath, R. L., Seshadri, S., &amp; Lee, J. (1998). Risk Communication: A Two-Community Analysis of Proximity, Dread, Trust, Involvement, Uncertainty, Openness/Accessibility, and Knowledge on Support/Opposition Toward Chemical Companies. </w:t>
      </w:r>
      <w:r w:rsidRPr="009672FC">
        <w:rPr>
          <w:rFonts w:ascii="Garamond" w:hAnsi="Garamond"/>
          <w:i/>
          <w:iCs/>
          <w:noProof/>
        </w:rPr>
        <w:t>Journal of Public Relations Research</w:t>
      </w:r>
      <w:r w:rsidRPr="009672FC">
        <w:rPr>
          <w:rFonts w:ascii="Garamond" w:hAnsi="Garamond"/>
          <w:noProof/>
        </w:rPr>
        <w:t xml:space="preserve">, </w:t>
      </w:r>
      <w:r w:rsidRPr="009672FC">
        <w:rPr>
          <w:rFonts w:ascii="Garamond" w:hAnsi="Garamond"/>
          <w:i/>
          <w:iCs/>
          <w:noProof/>
        </w:rPr>
        <w:t>10</w:t>
      </w:r>
      <w:r w:rsidRPr="009672FC">
        <w:rPr>
          <w:rFonts w:ascii="Garamond" w:hAnsi="Garamond"/>
          <w:noProof/>
        </w:rPr>
        <w:t>(1), 35–56. https://doi.org/10.1207/s1532754xjprr1001_02</w:t>
      </w:r>
    </w:p>
    <w:p w14:paraId="6E9839B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Hedvall, K., Jagstedt, S., &amp; Dubois, A. (2019). Solutions in business networks: Implications of an interorganizational perspective.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104</w:t>
      </w:r>
      <w:r w:rsidRPr="009672FC">
        <w:rPr>
          <w:rFonts w:ascii="Garamond" w:hAnsi="Garamond"/>
          <w:noProof/>
        </w:rPr>
        <w:t>(March), 411–421. https://doi.org/10.1016/j.jbusres.2019.02.035</w:t>
      </w:r>
    </w:p>
    <w:p w14:paraId="60EA85C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Henseler, J., Dijkstra, T. K., Sarstedt, M., Ringle, C. M., Diamantopoulos, A., Straub, D. W., … Calantone, R. J. (2014). Common Beliefs and Reality About PLS: Comments on Rönkkö and Evermann (2013). </w:t>
      </w:r>
      <w:r w:rsidRPr="009672FC">
        <w:rPr>
          <w:rFonts w:ascii="Garamond" w:hAnsi="Garamond"/>
          <w:i/>
          <w:iCs/>
          <w:noProof/>
        </w:rPr>
        <w:t>Organizational Research Methods</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(2), 182–209. https://doi.org/10.1177/1094428114526928</w:t>
      </w:r>
    </w:p>
    <w:p w14:paraId="201A358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Henseler, J., Ringle, C. M., &amp; Sinkovics, R. R. (2009). The use of partial least squares path modeling in international marketing. </w:t>
      </w:r>
      <w:r w:rsidRPr="009672FC">
        <w:rPr>
          <w:rFonts w:ascii="Garamond" w:hAnsi="Garamond"/>
          <w:i/>
          <w:iCs/>
          <w:noProof/>
        </w:rPr>
        <w:t>Advances in International Marketing</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(May 2014), 277–319. https://doi.org/10.1108/S1474-7979(2009)0000020014</w:t>
      </w:r>
    </w:p>
    <w:p w14:paraId="28842B8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Hlupic, V., &amp; Qureshi, S. (2003). A research model for collaborative value creation from intellectual capital. In </w:t>
      </w:r>
      <w:r w:rsidRPr="009672FC">
        <w:rPr>
          <w:rFonts w:ascii="Garamond" w:hAnsi="Garamond"/>
          <w:i/>
          <w:iCs/>
          <w:noProof/>
        </w:rPr>
        <w:t>Proceedings of the International Conference on Information Technology Interfaces, ITI</w:t>
      </w:r>
      <w:r w:rsidRPr="009672FC">
        <w:rPr>
          <w:rFonts w:ascii="Garamond" w:hAnsi="Garamond"/>
          <w:noProof/>
        </w:rPr>
        <w:t xml:space="preserve"> (pp. 431–437). https://doi.org/10.1109/ITI.2003.1225381</w:t>
      </w:r>
    </w:p>
    <w:p w14:paraId="718779D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Hockerts, K. (2006). Entrepreneurial Opportunity in Social Purpose Business Ventures. In </w:t>
      </w:r>
      <w:r w:rsidRPr="009672FC">
        <w:rPr>
          <w:rFonts w:ascii="Garamond" w:hAnsi="Garamond"/>
          <w:i/>
          <w:iCs/>
          <w:noProof/>
        </w:rPr>
        <w:t>Social Entrepreneurship</w:t>
      </w:r>
      <w:r w:rsidRPr="009672FC">
        <w:rPr>
          <w:rFonts w:ascii="Garamond" w:hAnsi="Garamond"/>
          <w:noProof/>
        </w:rPr>
        <w:t xml:space="preserve"> (pp. 142–154). Palgrave Macmillan, a division of Macmillan Publishers Limited.</w:t>
      </w:r>
    </w:p>
    <w:p w14:paraId="755A211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Hoholm, T., &amp; Olsen, P. I. (2012). The contrary forces of innovation. A conceptual model for studying networked innovation processes.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(2), 344–356. https://doi.org/10.1016/j.indmarman.2012.01.013</w:t>
      </w:r>
    </w:p>
    <w:p w14:paraId="1DB4767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Holm, D. B., Eriksson, K., &amp; Johanson, J. (1999). Creating value through mutual commitment to business network relationships.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(5), 467–486. https://doi.org/10.1002/(SICI)1097-0266(199905)20:5&lt;467::AID-SMJ38&gt;3.0.CO;2-J</w:t>
      </w:r>
    </w:p>
    <w:p w14:paraId="2F3106C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Hossain, S. (2019). </w:t>
      </w:r>
      <w:r w:rsidRPr="009672FC">
        <w:rPr>
          <w:rFonts w:ascii="Garamond" w:hAnsi="Garamond"/>
          <w:i/>
          <w:iCs/>
          <w:noProof/>
        </w:rPr>
        <w:t>An exploratory study on the contextual factors influencing social entrepreneurial opportunity an emerging economy’s perspective</w:t>
      </w:r>
      <w:r w:rsidRPr="009672FC">
        <w:rPr>
          <w:rFonts w:ascii="Garamond" w:hAnsi="Garamond"/>
          <w:noProof/>
        </w:rPr>
        <w:t>. Retrieved from http://unsworks.unsw.edu.au/fapi/datastream/unsworks:56456/SOURCE02?view=true</w:t>
      </w:r>
    </w:p>
    <w:p w14:paraId="06DEA4F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Huarng, K. H., &amp; Ribeiro-Soriano, D. E. (2014). Developmental management: Theories, methods, </w:t>
      </w:r>
      <w:r w:rsidRPr="009672FC">
        <w:rPr>
          <w:rFonts w:ascii="Garamond" w:hAnsi="Garamond"/>
          <w:noProof/>
        </w:rPr>
        <w:lastRenderedPageBreak/>
        <w:t xml:space="preserve">and applications in entrepreneurship, innovation, and sensemaking.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67</w:t>
      </w:r>
      <w:r w:rsidRPr="009672FC">
        <w:rPr>
          <w:rFonts w:ascii="Garamond" w:hAnsi="Garamond"/>
          <w:noProof/>
        </w:rPr>
        <w:t>(5), 657–662. https://doi.org/10.1016/j.jbusres.2013.11.023</w:t>
      </w:r>
    </w:p>
    <w:p w14:paraId="266B5DF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Huertas-García, R., Lengler, J., &amp; Consolación-Segura, C. (2017). Co-branding strategy in cause-related advertising: the fit between brand and cause. </w:t>
      </w:r>
      <w:r w:rsidRPr="009672FC">
        <w:rPr>
          <w:rFonts w:ascii="Garamond" w:hAnsi="Garamond"/>
          <w:i/>
          <w:iCs/>
          <w:noProof/>
        </w:rPr>
        <w:t>Journal of Product and Brand Management</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(2), 135–150. https://doi.org/10.1108/JPBM-07-2015-0939</w:t>
      </w:r>
    </w:p>
    <w:p w14:paraId="7FFFA19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Hughes, M., Rigtering, J. P. C., Covin, J. G., Bouncken, R. B., &amp; Kraus, S. (2018). Innovative Behaviour, Trust and Perceived Workplace Performance. </w:t>
      </w:r>
      <w:r w:rsidRPr="009672FC">
        <w:rPr>
          <w:rFonts w:ascii="Garamond" w:hAnsi="Garamond"/>
          <w:i/>
          <w:iCs/>
          <w:noProof/>
        </w:rPr>
        <w:t>British Journal of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(4), 750–768. https://doi.org/10.1111/1467-8551.12305</w:t>
      </w:r>
    </w:p>
    <w:p w14:paraId="0CE7232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Hulland, J. (1999). Use of Partial Least Squares (PLS) in Strategic Management Research: A Review of Four Recent Studies.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(2), 195–204.</w:t>
      </w:r>
    </w:p>
    <w:p w14:paraId="1A3C6E6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Huo, B., Ye, Y., Zhao, X., &amp; Zhu, K. (2019). Supply chain quality integration: A taxonomy perspective. </w:t>
      </w:r>
      <w:r w:rsidRPr="009672FC">
        <w:rPr>
          <w:rFonts w:ascii="Garamond" w:hAnsi="Garamond"/>
          <w:i/>
          <w:iCs/>
          <w:noProof/>
        </w:rPr>
        <w:t>International Journal of Production Economics</w:t>
      </w:r>
      <w:r w:rsidRPr="009672FC">
        <w:rPr>
          <w:rFonts w:ascii="Garamond" w:hAnsi="Garamond"/>
          <w:noProof/>
        </w:rPr>
        <w:t xml:space="preserve">, </w:t>
      </w:r>
      <w:r w:rsidRPr="009672FC">
        <w:rPr>
          <w:rFonts w:ascii="Garamond" w:hAnsi="Garamond"/>
          <w:i/>
          <w:iCs/>
          <w:noProof/>
        </w:rPr>
        <w:t>207</w:t>
      </w:r>
      <w:r w:rsidRPr="009672FC">
        <w:rPr>
          <w:rFonts w:ascii="Garamond" w:hAnsi="Garamond"/>
          <w:noProof/>
        </w:rPr>
        <w:t>, 236–246. https://doi.org/10.1016/j.ijpe.2016.05.004</w:t>
      </w:r>
    </w:p>
    <w:p w14:paraId="1B643A1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Ibrahim, M., &amp; Ribbers, P. (2006). Trust, dependence and global interorganizational systems. In </w:t>
      </w:r>
      <w:r w:rsidRPr="009672FC">
        <w:rPr>
          <w:rFonts w:ascii="Garamond" w:hAnsi="Garamond"/>
          <w:i/>
          <w:iCs/>
          <w:noProof/>
        </w:rPr>
        <w:t>Proceedings of the Annual Hawaii International Conference on System Sciences</w:t>
      </w:r>
      <w:r w:rsidRPr="009672FC">
        <w:rPr>
          <w:rFonts w:ascii="Garamond" w:hAnsi="Garamond"/>
          <w:noProof/>
        </w:rPr>
        <w:t xml:space="preserve"> (Vol. 8, pp. 1–8). https://doi.org/10.1109/HICSS.2006.512</w:t>
      </w:r>
    </w:p>
    <w:p w14:paraId="6F15419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Ibrahim, M., &amp; Ribbers, P. M. (2009). The impacts of competence-trust and openness-trust on interorganizational systems. </w:t>
      </w:r>
      <w:r w:rsidRPr="009672FC">
        <w:rPr>
          <w:rFonts w:ascii="Garamond" w:hAnsi="Garamond"/>
          <w:i/>
          <w:iCs/>
          <w:noProof/>
        </w:rPr>
        <w:t>European Journal of Information Systems</w:t>
      </w:r>
      <w:r w:rsidRPr="009672FC">
        <w:rPr>
          <w:rFonts w:ascii="Garamond" w:hAnsi="Garamond"/>
          <w:noProof/>
        </w:rPr>
        <w:t xml:space="preserve">, </w:t>
      </w:r>
      <w:r w:rsidRPr="009672FC">
        <w:rPr>
          <w:rFonts w:ascii="Garamond" w:hAnsi="Garamond"/>
          <w:i/>
          <w:iCs/>
          <w:noProof/>
        </w:rPr>
        <w:t>18</w:t>
      </w:r>
      <w:r w:rsidRPr="009672FC">
        <w:rPr>
          <w:rFonts w:ascii="Garamond" w:hAnsi="Garamond"/>
          <w:noProof/>
        </w:rPr>
        <w:t>(3), 223–234. https://doi.org/10.1057/ejis.2009.17</w:t>
      </w:r>
    </w:p>
    <w:p w14:paraId="1D81673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Ireland, R. D., Hitt, M. A., &amp; Vaidyanath, D. (2002). Alliance Management as a Source of Competitive Advantage.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28</w:t>
      </w:r>
      <w:r w:rsidRPr="009672FC">
        <w:rPr>
          <w:rFonts w:ascii="Garamond" w:hAnsi="Garamond"/>
          <w:noProof/>
        </w:rPr>
        <w:t>(3), 413–446.</w:t>
      </w:r>
    </w:p>
    <w:p w14:paraId="086269E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Johnston, A., &amp; Huggins, R. (2018). Partner selection and university-industry linkages: Assessing small firms’ initial perceptions of the credibility of their partners. </w:t>
      </w:r>
      <w:r w:rsidRPr="009672FC">
        <w:rPr>
          <w:rFonts w:ascii="Garamond" w:hAnsi="Garamond"/>
          <w:i/>
          <w:iCs/>
          <w:noProof/>
        </w:rPr>
        <w:t>Technovation</w:t>
      </w:r>
      <w:r w:rsidRPr="009672FC">
        <w:rPr>
          <w:rFonts w:ascii="Garamond" w:hAnsi="Garamond"/>
          <w:noProof/>
        </w:rPr>
        <w:t xml:space="preserve">, </w:t>
      </w:r>
      <w:r w:rsidRPr="009672FC">
        <w:rPr>
          <w:rFonts w:ascii="Garamond" w:hAnsi="Garamond"/>
          <w:i/>
          <w:iCs/>
          <w:noProof/>
        </w:rPr>
        <w:t>78</w:t>
      </w:r>
      <w:r w:rsidRPr="009672FC">
        <w:rPr>
          <w:rFonts w:ascii="Garamond" w:hAnsi="Garamond"/>
          <w:noProof/>
        </w:rPr>
        <w:t>(May 2016), 15–26. https://doi.org/10.1016/j.technovation.2018.02.005</w:t>
      </w:r>
    </w:p>
    <w:p w14:paraId="392445D5" w14:textId="77777777" w:rsidR="0089733D" w:rsidRPr="009672FC" w:rsidRDefault="00813D37"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Jonas, J. M., Boha, J., Sörhammar, D., &amp; Moeslein, K. M. (2018). Stakeholder engagement in innovation engagement in service ecosystems. </w:t>
      </w:r>
      <w:r w:rsidRPr="009672FC">
        <w:rPr>
          <w:rFonts w:ascii="Garamond" w:hAnsi="Garamond"/>
          <w:i/>
          <w:iCs/>
          <w:noProof/>
        </w:rPr>
        <w:t>Journal of Service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(3), 399–421. https://doi.org/10.1108/JOSM-09-2016-0239</w:t>
      </w:r>
      <w:r w:rsidR="0089733D" w:rsidRPr="009672FC">
        <w:rPr>
          <w:rFonts w:ascii="Garamond" w:hAnsi="Garamond"/>
          <w:noProof/>
        </w:rPr>
        <w:t>.</w:t>
      </w:r>
    </w:p>
    <w:p w14:paraId="7B5E9405" w14:textId="77777777" w:rsidR="0089733D" w:rsidRPr="009672FC" w:rsidRDefault="0089733D"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bCs/>
        </w:rPr>
        <w:t>Jensen, M., &amp; Meckling, W. (1976) Theory of the firm: Managerial behavior, agency costs, and ownership structure. Journal of Financial Economics, 3, 305-360</w:t>
      </w:r>
      <w:r w:rsidRPr="009672FC">
        <w:rPr>
          <w:rFonts w:ascii="Garamond" w:hAnsi="Garamond"/>
          <w:noProof/>
        </w:rPr>
        <w:t>.</w:t>
      </w:r>
    </w:p>
    <w:p w14:paraId="6B9A6439" w14:textId="77777777" w:rsidR="0089733D" w:rsidRPr="009672FC" w:rsidRDefault="0089733D"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rPr>
        <w:t>Jepperson, R. 2002. The development and application of sociological neo-institutionalism.’ In J. Berger &amp; M. Zelditch, Jr. (eds.), New directions in contemporary sociological theory, p. 229–266 Lanham, MD: Rowman and Littlefield</w:t>
      </w:r>
      <w:r w:rsidRPr="009672FC">
        <w:rPr>
          <w:rFonts w:ascii="Garamond" w:hAnsi="Garamond"/>
          <w:noProof/>
        </w:rPr>
        <w:t>.</w:t>
      </w:r>
    </w:p>
    <w:p w14:paraId="14EAF491" w14:textId="4889DAC4" w:rsidR="00813D37" w:rsidRPr="009672FC" w:rsidRDefault="00813D37"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Kadefors, A., Bjo, E., &amp; Karlsson, A. (2007). Procuring service innovations: Contractor selection for partnering projects.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25</w:t>
      </w:r>
      <w:r w:rsidRPr="009672FC">
        <w:rPr>
          <w:rFonts w:ascii="Garamond" w:hAnsi="Garamond"/>
          <w:noProof/>
        </w:rPr>
        <w:t>, 375–385. https://doi.org/10.1016/j.ijproman.2007.01.003</w:t>
      </w:r>
    </w:p>
    <w:p w14:paraId="14B50B0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Kale, P., Singh, H., &amp; Perlmutter, H. (2000). Learning and Protection of Proprietary Assets in Strategic Alliances: Building Relational Capital. </w:t>
      </w:r>
      <w:r w:rsidRPr="009672FC">
        <w:rPr>
          <w:rFonts w:ascii="Garamond" w:hAnsi="Garamond"/>
          <w:i/>
          <w:iCs/>
          <w:noProof/>
        </w:rPr>
        <w:t>Strategic Management Journal</w:t>
      </w:r>
      <w:r w:rsidRPr="009672FC">
        <w:rPr>
          <w:rFonts w:ascii="Garamond" w:hAnsi="Garamond"/>
          <w:noProof/>
        </w:rPr>
        <w:t>, (21), 217–237.</w:t>
      </w:r>
    </w:p>
    <w:p w14:paraId="0075202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Kalkman, J. P., &amp; de Waard, E. J. (2017). Inter-organizational disaster management projects: Finding the middle way between trust and control.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(5), 889–899. https://doi.org/10.1016/j.ijproman.2016.09.013</w:t>
      </w:r>
    </w:p>
    <w:p w14:paraId="285E4CE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Kleinaltenkamp, M., Brodie, R. J., Frow, P., Hughes, T., &amp; Peters, L. D. (2012). Resource integration; Commentary. </w:t>
      </w:r>
      <w:r w:rsidRPr="009672FC">
        <w:rPr>
          <w:rFonts w:ascii="Garamond" w:hAnsi="Garamond"/>
          <w:i/>
          <w:iCs/>
          <w:noProof/>
        </w:rPr>
        <w:t>Marketing Theory</w:t>
      </w:r>
      <w:r w:rsidRPr="009672FC">
        <w:rPr>
          <w:rFonts w:ascii="Garamond" w:hAnsi="Garamond"/>
          <w:noProof/>
        </w:rPr>
        <w:t>. https://doi.org/10.1177/1470593111429512</w:t>
      </w:r>
    </w:p>
    <w:p w14:paraId="44B84B1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Kleinaltenkamp, M., Karpen, I. O., Plewa, C., Jaakkola, E., &amp; Conduit, J. (2019). Collective engagement in organizational settings.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80</w:t>
      </w:r>
      <w:r w:rsidRPr="009672FC">
        <w:rPr>
          <w:rFonts w:ascii="Garamond" w:hAnsi="Garamond"/>
          <w:noProof/>
        </w:rPr>
        <w:t>, 11–23.</w:t>
      </w:r>
    </w:p>
    <w:p w14:paraId="6D25F0F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Kogut, B. (2007). The Network as Knowledge</w:t>
      </w:r>
      <w:r w:rsidRPr="009672FC">
        <w:rPr>
          <w:noProof/>
        </w:rPr>
        <w:t> </w:t>
      </w:r>
      <w:r w:rsidRPr="009672FC">
        <w:rPr>
          <w:rFonts w:ascii="Garamond" w:hAnsi="Garamond"/>
          <w:noProof/>
        </w:rPr>
        <w:t xml:space="preserve">: Generative Rules and the Emergence of Structure Bruce Kogut, </w:t>
      </w:r>
      <w:r w:rsidRPr="009672FC">
        <w:rPr>
          <w:rFonts w:ascii="Garamond" w:hAnsi="Garamond"/>
          <w:i/>
          <w:iCs/>
          <w:noProof/>
        </w:rPr>
        <w:t>21</w:t>
      </w:r>
      <w:r w:rsidRPr="009672FC">
        <w:rPr>
          <w:rFonts w:ascii="Garamond" w:hAnsi="Garamond"/>
          <w:noProof/>
        </w:rPr>
        <w:t>(3), 405–425.</w:t>
      </w:r>
    </w:p>
    <w:p w14:paraId="639ACF1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Kogut, Bruce, &amp; Zander, U. (1992). Knowledge of the Firm , Combinative Capabilities , and the Replication of Technology.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3</w:t>
      </w:r>
      <w:r w:rsidRPr="009672FC">
        <w:rPr>
          <w:rFonts w:ascii="Garamond" w:hAnsi="Garamond"/>
          <w:noProof/>
        </w:rPr>
        <w:t>(3), 383–397.</w:t>
      </w:r>
    </w:p>
    <w:p w14:paraId="45083DD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Kong, X., Wan, J. bo, Hu, H., Su, S., &amp; Hu, Y. (2017). Evolving patterns in a collaboration network of global R&amp;D on monoclonal antibodies. </w:t>
      </w:r>
      <w:r w:rsidRPr="009672FC">
        <w:rPr>
          <w:rFonts w:ascii="Garamond" w:hAnsi="Garamond"/>
          <w:i/>
          <w:iCs/>
          <w:noProof/>
        </w:rPr>
        <w:t>MABS</w:t>
      </w:r>
      <w:r w:rsidRPr="009672FC">
        <w:rPr>
          <w:rFonts w:ascii="Garamond" w:hAnsi="Garamond"/>
          <w:noProof/>
        </w:rPr>
        <w:t xml:space="preserve">, </w:t>
      </w:r>
      <w:r w:rsidRPr="009672FC">
        <w:rPr>
          <w:rFonts w:ascii="Garamond" w:hAnsi="Garamond"/>
          <w:i/>
          <w:iCs/>
          <w:noProof/>
        </w:rPr>
        <w:t>9</w:t>
      </w:r>
      <w:r w:rsidRPr="009672FC">
        <w:rPr>
          <w:rFonts w:ascii="Garamond" w:hAnsi="Garamond"/>
          <w:noProof/>
        </w:rPr>
        <w:t>(7), 1041–1051. https://doi.org/10.1080/19420862.2017.1356527</w:t>
      </w:r>
    </w:p>
    <w:p w14:paraId="683829D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Kraus, S., Breier, M., &amp; Dasí-rodríguez, S. (2020). The art of crafting a systematic literature review in entrepreneurship research. </w:t>
      </w:r>
      <w:r w:rsidRPr="009672FC">
        <w:rPr>
          <w:rFonts w:ascii="Garamond" w:hAnsi="Garamond"/>
          <w:i/>
          <w:iCs/>
          <w:noProof/>
        </w:rPr>
        <w:t>International Entrepreneurship and Management Journal</w:t>
      </w:r>
      <w:r w:rsidRPr="009672FC">
        <w:rPr>
          <w:rFonts w:ascii="Garamond" w:hAnsi="Garamond"/>
          <w:noProof/>
        </w:rPr>
        <w:t>.</w:t>
      </w:r>
    </w:p>
    <w:p w14:paraId="4DA99EF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Kraus, S., Clauss, T., Breier, M., Gast, J., Zardini, A., &amp; Tiberius, V. (2020). The economics of COVID-19: initial empirical evidence on how family firms in five European countries cope with the corona crisis. </w:t>
      </w:r>
      <w:r w:rsidRPr="009672FC">
        <w:rPr>
          <w:rFonts w:ascii="Garamond" w:hAnsi="Garamond"/>
          <w:i/>
          <w:iCs/>
          <w:noProof/>
        </w:rPr>
        <w:t>International Journal of Entrepreneurial Behaviour and Research</w:t>
      </w:r>
      <w:r w:rsidRPr="009672FC">
        <w:rPr>
          <w:rFonts w:ascii="Garamond" w:hAnsi="Garamond"/>
          <w:noProof/>
        </w:rPr>
        <w:t>. https://doi.org/10.1108/IJEBR-04-2020-0214</w:t>
      </w:r>
    </w:p>
    <w:p w14:paraId="7F44CB6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Krause, W., &amp; Schutte, C. S. . (2015). A perspective on open innovation in small- and medium-sized enterprises in South Africa, and design requirements for an open innovation approach. </w:t>
      </w:r>
      <w:r w:rsidRPr="009672FC">
        <w:rPr>
          <w:rFonts w:ascii="Garamond" w:hAnsi="Garamond"/>
          <w:i/>
          <w:iCs/>
          <w:noProof/>
        </w:rPr>
        <w:t>South African Journal of Industrial Engineering</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(May 2015), 163–178.</w:t>
      </w:r>
    </w:p>
    <w:p w14:paraId="0D3C7F3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Kroeger, F. (2012). Trusting organizations: The institutionalization of trust in interorganizational relationships. </w:t>
      </w:r>
      <w:r w:rsidRPr="009672FC">
        <w:rPr>
          <w:rFonts w:ascii="Garamond" w:hAnsi="Garamond"/>
          <w:i/>
          <w:iCs/>
          <w:noProof/>
        </w:rPr>
        <w:t>Organization</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(6), 743–763. https://doi.org/10.1177/1350508411420900</w:t>
      </w:r>
    </w:p>
    <w:p w14:paraId="64EA505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Kumar, R. (2011). </w:t>
      </w:r>
      <w:r w:rsidRPr="009672FC">
        <w:rPr>
          <w:rFonts w:ascii="Garamond" w:hAnsi="Garamond"/>
          <w:i/>
          <w:iCs/>
          <w:noProof/>
        </w:rPr>
        <w:t>Research Methodology: A step-by-step guide for beginners</w:t>
      </w:r>
      <w:r w:rsidRPr="009672FC">
        <w:rPr>
          <w:rFonts w:ascii="Garamond" w:hAnsi="Garamond"/>
          <w:noProof/>
        </w:rPr>
        <w:t xml:space="preserve"> (3rd Editio). 1 Oliver’s Yard,55 City Road London EC1Y 1SP: SAGE Publications Ltd.</w:t>
      </w:r>
    </w:p>
    <w:p w14:paraId="0C197CF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Kumar, V., &amp; Pansari, A. (2016). Competitive advantage through engagement. </w:t>
      </w:r>
      <w:r w:rsidRPr="009672FC">
        <w:rPr>
          <w:rFonts w:ascii="Garamond" w:hAnsi="Garamond"/>
          <w:i/>
          <w:iCs/>
          <w:noProof/>
        </w:rPr>
        <w:t>Journal of Marketing Research</w:t>
      </w:r>
      <w:r w:rsidRPr="009672FC">
        <w:rPr>
          <w:rFonts w:ascii="Garamond" w:hAnsi="Garamond"/>
          <w:noProof/>
        </w:rPr>
        <w:t xml:space="preserve">, </w:t>
      </w:r>
      <w:r w:rsidRPr="009672FC">
        <w:rPr>
          <w:rFonts w:ascii="Garamond" w:hAnsi="Garamond"/>
          <w:i/>
          <w:iCs/>
          <w:noProof/>
        </w:rPr>
        <w:t>53</w:t>
      </w:r>
      <w:r w:rsidRPr="009672FC">
        <w:rPr>
          <w:rFonts w:ascii="Garamond" w:hAnsi="Garamond"/>
          <w:noProof/>
        </w:rPr>
        <w:t>(4), 497–514. https://doi.org/10.1509/jmr.15.0044</w:t>
      </w:r>
    </w:p>
    <w:p w14:paraId="48DAE0C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Laan, A., Noorderhaven, N., Voordijk, H., &amp; Dewulf, G. (2011). Building trust in construction partnering projects: An exploratory case-study. </w:t>
      </w:r>
      <w:r w:rsidRPr="009672FC">
        <w:rPr>
          <w:rFonts w:ascii="Garamond" w:hAnsi="Garamond"/>
          <w:i/>
          <w:iCs/>
          <w:noProof/>
        </w:rPr>
        <w:t>Journal of Purchasing and Supply Management</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(2), 98–108. https://doi.org/10.1016/j.pursup.2010.11.001</w:t>
      </w:r>
    </w:p>
    <w:p w14:paraId="0FEDE0C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Lafferty, B. A. (2009). Selecting the Right Cause Partners for the Right Reasons: The Role of Importance and Fit in Cause–Brand Alliances. </w:t>
      </w:r>
      <w:r w:rsidRPr="009672FC">
        <w:rPr>
          <w:rFonts w:ascii="Garamond" w:hAnsi="Garamond"/>
          <w:i/>
          <w:iCs/>
          <w:noProof/>
        </w:rPr>
        <w:t>Psychology &amp; Marketing</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(4), 359–382. https://doi.org/10.1002/mar</w:t>
      </w:r>
    </w:p>
    <w:p w14:paraId="33D3F0E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Lafferty, B. A., &amp; Edmondson, D. R. (2014). A note on the role of cause type in cause-related marketing.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67</w:t>
      </w:r>
      <w:r w:rsidRPr="009672FC">
        <w:rPr>
          <w:rFonts w:ascii="Garamond" w:hAnsi="Garamond"/>
          <w:noProof/>
        </w:rPr>
        <w:t>(7), 1455–1460. https://doi.org/10.1016/j.jbusres.2013.07.021</w:t>
      </w:r>
    </w:p>
    <w:p w14:paraId="64CDAEE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Lafferty, B. A., &amp; Goldsmith, R. E. (2005). Cause-brand alliances: Does the cause help the brand or does the brand help the cause?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58</w:t>
      </w:r>
      <w:r w:rsidRPr="009672FC">
        <w:rPr>
          <w:rFonts w:ascii="Garamond" w:hAnsi="Garamond"/>
          <w:noProof/>
        </w:rPr>
        <w:t>(4), 423–429. https://doi.org/10.1016/j.jbusres.2003.07.001</w:t>
      </w:r>
    </w:p>
    <w:p w14:paraId="41BAA2D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Lafferty, B. A., Goldsmith, R. E., &amp; Hult, G. T. M. (2004). The impact of the alliance on the partners: A look at cause-brand alliances. </w:t>
      </w:r>
      <w:r w:rsidRPr="009672FC">
        <w:rPr>
          <w:rFonts w:ascii="Garamond" w:hAnsi="Garamond"/>
          <w:i/>
          <w:iCs/>
          <w:noProof/>
        </w:rPr>
        <w:t>Psychology and Marketing</w:t>
      </w:r>
      <w:r w:rsidRPr="009672FC">
        <w:rPr>
          <w:rFonts w:ascii="Garamond" w:hAnsi="Garamond"/>
          <w:noProof/>
        </w:rPr>
        <w:t xml:space="preserve">, </w:t>
      </w:r>
      <w:r w:rsidRPr="009672FC">
        <w:rPr>
          <w:rFonts w:ascii="Garamond" w:hAnsi="Garamond"/>
          <w:i/>
          <w:iCs/>
          <w:noProof/>
        </w:rPr>
        <w:t>21</w:t>
      </w:r>
      <w:r w:rsidRPr="009672FC">
        <w:rPr>
          <w:rFonts w:ascii="Garamond" w:hAnsi="Garamond"/>
          <w:noProof/>
        </w:rPr>
        <w:t>(7), 509–531. https://doi.org/10.1002/mar.20017</w:t>
      </w:r>
    </w:p>
    <w:p w14:paraId="3006C9C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Landqvist, M., &amp; Lind, F. (2019). A start-up embedding in three business network settings – A matter of resource combining.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80</w:t>
      </w:r>
      <w:r w:rsidRPr="009672FC">
        <w:rPr>
          <w:rFonts w:ascii="Garamond" w:hAnsi="Garamond"/>
          <w:noProof/>
        </w:rPr>
        <w:t>(December 2015), 160–171. https://doi.org/10.1016/j.indmarman.2017.12.005</w:t>
      </w:r>
    </w:p>
    <w:p w14:paraId="0F78D5A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Laplume, A. O., Litz, R. A., &amp; Sonpar, K. (2008). Stakeholder Theory</w:t>
      </w:r>
      <w:r w:rsidRPr="009672FC">
        <w:rPr>
          <w:noProof/>
        </w:rPr>
        <w:t> </w:t>
      </w:r>
      <w:r w:rsidRPr="009672FC">
        <w:rPr>
          <w:rFonts w:ascii="Garamond" w:hAnsi="Garamond"/>
          <w:noProof/>
        </w:rPr>
        <w:t xml:space="preserve">: Reviewing a Theory That Moves Us.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34</w:t>
      </w:r>
      <w:r w:rsidRPr="009672FC">
        <w:rPr>
          <w:rFonts w:ascii="Garamond" w:hAnsi="Garamond"/>
          <w:noProof/>
        </w:rPr>
        <w:t>(6), 1152–1189. https://doi.org/10.1177/0149206308324322</w:t>
      </w:r>
    </w:p>
    <w:p w14:paraId="29A93E2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Lazzerini, M., &amp; Putoto, G. (2020). COVID-19 in Italy: momentous decisions and many uncertainties. </w:t>
      </w:r>
      <w:r w:rsidRPr="009672FC">
        <w:rPr>
          <w:rFonts w:ascii="Garamond" w:hAnsi="Garamond"/>
          <w:i/>
          <w:iCs/>
          <w:noProof/>
        </w:rPr>
        <w:t>The Lancet Global Health</w:t>
      </w:r>
      <w:r w:rsidRPr="009672FC">
        <w:rPr>
          <w:rFonts w:ascii="Garamond" w:hAnsi="Garamond"/>
          <w:noProof/>
        </w:rPr>
        <w:t xml:space="preserve">, </w:t>
      </w:r>
      <w:r w:rsidRPr="009672FC">
        <w:rPr>
          <w:rFonts w:ascii="Garamond" w:hAnsi="Garamond"/>
          <w:i/>
          <w:iCs/>
          <w:noProof/>
        </w:rPr>
        <w:t>8</w:t>
      </w:r>
      <w:r w:rsidRPr="009672FC">
        <w:rPr>
          <w:rFonts w:ascii="Garamond" w:hAnsi="Garamond"/>
          <w:noProof/>
        </w:rPr>
        <w:t>(5), e641–e642. https://doi.org/10.1016/S2214-109X(20)30110-8</w:t>
      </w:r>
    </w:p>
    <w:p w14:paraId="5CC18FB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Lee, Y. M., &amp; Yang, C. (2014). The relationships among network ties, organizational agility, and organizational performance: A study of the flat glass industry in Taiwan. </w:t>
      </w:r>
      <w:r w:rsidRPr="009672FC">
        <w:rPr>
          <w:rFonts w:ascii="Garamond" w:hAnsi="Garamond"/>
          <w:i/>
          <w:iCs/>
          <w:noProof/>
        </w:rPr>
        <w:t>Journal of Management and Organization</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(2), 206–226. https://doi.org/10.1017/jmo.2014.32</w:t>
      </w:r>
    </w:p>
    <w:p w14:paraId="08B358D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Lehtinen, J., &amp; Aaltonen, K. (2020). Organizing external stakeholder engagement in inter-organizational projects: Opening the black box.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38</w:t>
      </w:r>
      <w:r w:rsidRPr="009672FC">
        <w:rPr>
          <w:rFonts w:ascii="Garamond" w:hAnsi="Garamond"/>
          <w:noProof/>
        </w:rPr>
        <w:t>(2), 85–98. https://doi.org/10.1016/j.ijproman.2019.12.001</w:t>
      </w:r>
    </w:p>
    <w:p w14:paraId="6364FA0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Lewicki, R. J., &amp; Wiethoff, C. (2000). </w:t>
      </w:r>
      <w:r w:rsidRPr="009672FC">
        <w:rPr>
          <w:rFonts w:ascii="Garamond" w:hAnsi="Garamond"/>
          <w:i/>
          <w:iCs/>
          <w:noProof/>
        </w:rPr>
        <w:t>Trust, trust development, and trust repair.</w:t>
      </w:r>
      <w:r w:rsidRPr="009672FC">
        <w:rPr>
          <w:rFonts w:ascii="Garamond" w:hAnsi="Garamond"/>
          <w:noProof/>
        </w:rPr>
        <w:t xml:space="preserve"> </w:t>
      </w:r>
      <w:r w:rsidRPr="009672FC">
        <w:rPr>
          <w:rFonts w:ascii="Garamond" w:hAnsi="Garamond"/>
          <w:i/>
          <w:iCs/>
          <w:noProof/>
        </w:rPr>
        <w:t>The handbook of conflict resolution: Theory and practice (2nd Ed).</w:t>
      </w:r>
      <w:r w:rsidRPr="009672FC">
        <w:rPr>
          <w:rFonts w:ascii="Garamond" w:hAnsi="Garamond"/>
          <w:noProof/>
        </w:rPr>
        <w:t xml:space="preserve"> Retrieved from http://ezproxy.net.ucf.edu/login?url=http://search.ebscohost.com/login.aspx?direct=true&amp;db=psyh&amp;AN=2006-12760-004&amp;site=ehost-live</w:t>
      </w:r>
    </w:p>
    <w:p w14:paraId="33D83C3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Lewis, J. D., &amp; Weigert, A. (1985). Trust as a social reality. </w:t>
      </w:r>
      <w:r w:rsidRPr="009672FC">
        <w:rPr>
          <w:rFonts w:ascii="Garamond" w:hAnsi="Garamond"/>
          <w:i/>
          <w:iCs/>
          <w:noProof/>
        </w:rPr>
        <w:t>Social Forces</w:t>
      </w:r>
      <w:r w:rsidRPr="009672FC">
        <w:rPr>
          <w:rFonts w:ascii="Garamond" w:hAnsi="Garamond"/>
          <w:noProof/>
        </w:rPr>
        <w:t xml:space="preserve">, </w:t>
      </w:r>
      <w:r w:rsidRPr="009672FC">
        <w:rPr>
          <w:rFonts w:ascii="Garamond" w:hAnsi="Garamond"/>
          <w:i/>
          <w:iCs/>
          <w:noProof/>
        </w:rPr>
        <w:t>63</w:t>
      </w:r>
      <w:r w:rsidRPr="009672FC">
        <w:rPr>
          <w:rFonts w:ascii="Garamond" w:hAnsi="Garamond"/>
          <w:noProof/>
        </w:rPr>
        <w:t>(4), 967–985. https://doi.org/10.1093/sf/63.4.967</w:t>
      </w:r>
    </w:p>
    <w:p w14:paraId="098B4F9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Liguori, E. W., &amp; Pittz, T. G. (2020). Strategies for small business: Surviving and thriving in the era of COVID-19. </w:t>
      </w:r>
      <w:r w:rsidRPr="009672FC">
        <w:rPr>
          <w:rFonts w:ascii="Garamond" w:hAnsi="Garamond"/>
          <w:i/>
          <w:iCs/>
          <w:noProof/>
        </w:rPr>
        <w:t>Journal of the International Council for Small Business</w:t>
      </w:r>
      <w:r w:rsidRPr="009672FC">
        <w:rPr>
          <w:rFonts w:ascii="Garamond" w:hAnsi="Garamond"/>
          <w:noProof/>
        </w:rPr>
        <w:t xml:space="preserve">, </w:t>
      </w:r>
      <w:r w:rsidRPr="009672FC">
        <w:rPr>
          <w:rFonts w:ascii="Garamond" w:hAnsi="Garamond"/>
          <w:i/>
          <w:iCs/>
          <w:noProof/>
        </w:rPr>
        <w:t>1</w:t>
      </w:r>
      <w:r w:rsidRPr="009672FC">
        <w:rPr>
          <w:rFonts w:ascii="Garamond" w:hAnsi="Garamond"/>
          <w:noProof/>
        </w:rPr>
        <w:t>(2), 106–110. https://doi.org/10.1080/26437015.2020.1779538</w:t>
      </w:r>
    </w:p>
    <w:p w14:paraId="407846F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Liu, B., &amp; Li, Z. (2018). Director-Generals’ Human and Social Capital, and Management Performance of Farmers’ Cooperatives: Evidence from China’s Fujian. </w:t>
      </w:r>
      <w:r w:rsidRPr="009672FC">
        <w:rPr>
          <w:rFonts w:ascii="Garamond" w:hAnsi="Garamond"/>
          <w:i/>
          <w:iCs/>
          <w:noProof/>
        </w:rPr>
        <w:t>International Journal of Management and Economics</w:t>
      </w:r>
      <w:r w:rsidRPr="009672FC">
        <w:rPr>
          <w:rFonts w:ascii="Garamond" w:hAnsi="Garamond"/>
          <w:noProof/>
        </w:rPr>
        <w:t xml:space="preserve">, </w:t>
      </w:r>
      <w:r w:rsidRPr="009672FC">
        <w:rPr>
          <w:rFonts w:ascii="Garamond" w:hAnsi="Garamond"/>
          <w:i/>
          <w:iCs/>
          <w:noProof/>
        </w:rPr>
        <w:t>54</w:t>
      </w:r>
      <w:r w:rsidRPr="009672FC">
        <w:rPr>
          <w:rFonts w:ascii="Garamond" w:hAnsi="Garamond"/>
          <w:noProof/>
        </w:rPr>
        <w:t>(2), 149–165. https://doi.org/10.2478/ijme-2018-0014</w:t>
      </w:r>
    </w:p>
    <w:p w14:paraId="6148458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Liu, G., Ko, W. W., &amp; Chapleo, C. (2018). How and When Socially Entrepreneurial Nonprofit Organizations Benefit From Adopting Social Alliance Management Routines to Manage Social Alliances? </w:t>
      </w:r>
      <w:r w:rsidRPr="009672FC">
        <w:rPr>
          <w:rFonts w:ascii="Garamond" w:hAnsi="Garamond"/>
          <w:i/>
          <w:iCs/>
          <w:noProof/>
        </w:rPr>
        <w:t>Journal of Business Ethics</w:t>
      </w:r>
      <w:r w:rsidRPr="009672FC">
        <w:rPr>
          <w:rFonts w:ascii="Garamond" w:hAnsi="Garamond"/>
          <w:noProof/>
        </w:rPr>
        <w:t xml:space="preserve">, </w:t>
      </w:r>
      <w:r w:rsidRPr="009672FC">
        <w:rPr>
          <w:rFonts w:ascii="Garamond" w:hAnsi="Garamond"/>
          <w:i/>
          <w:iCs/>
          <w:noProof/>
        </w:rPr>
        <w:t>151</w:t>
      </w:r>
      <w:r w:rsidRPr="009672FC">
        <w:rPr>
          <w:rFonts w:ascii="Garamond" w:hAnsi="Garamond"/>
          <w:noProof/>
        </w:rPr>
        <w:t>(2), 497–516. https://doi.org/10.1007/s10551-016-3231-6</w:t>
      </w:r>
    </w:p>
    <w:p w14:paraId="2CA04248" w14:textId="2356BDEF"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Lorenzoni, G., &amp; Lipparini, A. (1999). </w:t>
      </w:r>
      <w:r w:rsidR="008F28E0" w:rsidRPr="009672FC">
        <w:rPr>
          <w:rFonts w:ascii="Garamond" w:hAnsi="Garamond"/>
          <w:noProof/>
        </w:rPr>
        <w:t>The Leveraging of Interfirm Relationships As A Distinctive Organizational Capability</w:t>
      </w:r>
      <w:r w:rsidR="008F28E0" w:rsidRPr="009672FC">
        <w:rPr>
          <w:noProof/>
        </w:rPr>
        <w:t> </w:t>
      </w:r>
      <w:r w:rsidR="008F28E0" w:rsidRPr="009672FC">
        <w:rPr>
          <w:rFonts w:ascii="Garamond" w:hAnsi="Garamond"/>
          <w:noProof/>
        </w:rPr>
        <w:t>: A Longitudinal Study</w:t>
      </w:r>
      <w:r w:rsidRPr="009672FC">
        <w:rPr>
          <w:rFonts w:ascii="Garamond" w:hAnsi="Garamond"/>
          <w:noProof/>
        </w:rPr>
        <w:t xml:space="preserve">.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338</w:t>
      </w:r>
      <w:r w:rsidRPr="009672FC">
        <w:rPr>
          <w:rFonts w:ascii="Garamond" w:hAnsi="Garamond"/>
          <w:noProof/>
        </w:rPr>
        <w:t>(June 1996), 317–338.</w:t>
      </w:r>
    </w:p>
    <w:p w14:paraId="1B1B8FC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Lowe, S., Rod, M., &amp; Hwang, K. S. (2016). Understanding structures and practices of meaning-making in industrial networks. </w:t>
      </w:r>
      <w:r w:rsidRPr="009672FC">
        <w:rPr>
          <w:rFonts w:ascii="Garamond" w:hAnsi="Garamond"/>
          <w:i/>
          <w:iCs/>
          <w:noProof/>
        </w:rPr>
        <w:t>Journal of Business and Industrial Marketing</w:t>
      </w:r>
      <w:r w:rsidRPr="009672FC">
        <w:rPr>
          <w:rFonts w:ascii="Garamond" w:hAnsi="Garamond"/>
          <w:noProof/>
        </w:rPr>
        <w:t xml:space="preserve">, </w:t>
      </w:r>
      <w:r w:rsidRPr="009672FC">
        <w:rPr>
          <w:rFonts w:ascii="Garamond" w:hAnsi="Garamond"/>
          <w:i/>
          <w:iCs/>
          <w:noProof/>
        </w:rPr>
        <w:t>31</w:t>
      </w:r>
      <w:r w:rsidRPr="009672FC">
        <w:rPr>
          <w:rFonts w:ascii="Garamond" w:hAnsi="Garamond"/>
          <w:noProof/>
        </w:rPr>
        <w:t>(4), 531–542. https://doi.org/10.1108/JBIM-05-2015-0097</w:t>
      </w:r>
    </w:p>
    <w:p w14:paraId="0B66E9E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 P., Cai, X., Wei, Z., Song, Y., &amp; Wu, J. (2019). Quality management practices and inter-organizational project performance: Moderating effect of governance mechanisms.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37</w:t>
      </w:r>
      <w:r w:rsidRPr="009672FC">
        <w:rPr>
          <w:rFonts w:ascii="Garamond" w:hAnsi="Garamond"/>
          <w:noProof/>
        </w:rPr>
        <w:t>(6), 855–869. https://doi.org/10.1016/j.ijproman.2019.05.005</w:t>
      </w:r>
    </w:p>
    <w:p w14:paraId="062745D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 P., Yuan, S., &amp; Wu, J. (2017). The interaction effect between intra-organizational and inter-organizational control on the project performance of new product development in open innovation.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(8), 1627–1638. https://doi.org/10.1016/j.ijproman.2017.09.009</w:t>
      </w:r>
    </w:p>
    <w:p w14:paraId="2BB0030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Lui, S. S. (2009). The roles of competence trust, formal contract, and time horizon in interorganizational learning. </w:t>
      </w:r>
      <w:r w:rsidRPr="009672FC">
        <w:rPr>
          <w:rFonts w:ascii="Garamond" w:hAnsi="Garamond"/>
          <w:i/>
          <w:iCs/>
          <w:noProof/>
        </w:rPr>
        <w:t>Organization Studies</w:t>
      </w:r>
      <w:r w:rsidRPr="009672FC">
        <w:rPr>
          <w:rFonts w:ascii="Garamond" w:hAnsi="Garamond"/>
          <w:noProof/>
        </w:rPr>
        <w:t xml:space="preserve">, </w:t>
      </w:r>
      <w:r w:rsidRPr="009672FC">
        <w:rPr>
          <w:rFonts w:ascii="Garamond" w:hAnsi="Garamond"/>
          <w:i/>
          <w:iCs/>
          <w:noProof/>
        </w:rPr>
        <w:t>30</w:t>
      </w:r>
      <w:r w:rsidRPr="009672FC">
        <w:rPr>
          <w:rFonts w:ascii="Garamond" w:hAnsi="Garamond"/>
          <w:noProof/>
        </w:rPr>
        <w:t>(4), 333–353. https://doi.org/10.1177/0170840608101139</w:t>
      </w:r>
    </w:p>
    <w:p w14:paraId="1A720CC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Lui, S. S., Ngo, H. Y., &amp; Hon, A. H. Y. (2006). Coercive strategy in interfirm cooperation: Mediating roles of interpersonal and interorganizational trust.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59</w:t>
      </w:r>
      <w:r w:rsidRPr="009672FC">
        <w:rPr>
          <w:rFonts w:ascii="Garamond" w:hAnsi="Garamond"/>
          <w:noProof/>
        </w:rPr>
        <w:t>(4), 466–474. https://doi.org/10.1016/j.jbusres.2005.09.001</w:t>
      </w:r>
    </w:p>
    <w:p w14:paraId="2460D5D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Lui, S. S., &amp; Ngo, H. yue. (2004). The role of trust and contractual safeguards on cooperation in non-equity alliances.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30</w:t>
      </w:r>
      <w:r w:rsidRPr="009672FC">
        <w:rPr>
          <w:rFonts w:ascii="Garamond" w:hAnsi="Garamond"/>
          <w:noProof/>
        </w:rPr>
        <w:t>(4), 471–485. https://doi.org/10.1016/j.jm.2004.02.002</w:t>
      </w:r>
    </w:p>
    <w:p w14:paraId="7B1969C9" w14:textId="77777777" w:rsidR="0089733D" w:rsidRPr="009672FC" w:rsidRDefault="00813D37"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Lusch, R. F., Vargo, S. L., &amp; Tanniru, M. (2010). Service, value networks and learning. </w:t>
      </w:r>
      <w:r w:rsidRPr="009672FC">
        <w:rPr>
          <w:rFonts w:ascii="Garamond" w:hAnsi="Garamond"/>
          <w:i/>
          <w:iCs/>
          <w:noProof/>
        </w:rPr>
        <w:t>Journal of the Academy of Marketing Science</w:t>
      </w:r>
      <w:r w:rsidRPr="009672FC">
        <w:rPr>
          <w:rFonts w:ascii="Garamond" w:hAnsi="Garamond"/>
          <w:noProof/>
        </w:rPr>
        <w:t xml:space="preserve">, </w:t>
      </w:r>
      <w:r w:rsidRPr="009672FC">
        <w:rPr>
          <w:rFonts w:ascii="Garamond" w:hAnsi="Garamond"/>
          <w:i/>
          <w:iCs/>
          <w:noProof/>
        </w:rPr>
        <w:t>38</w:t>
      </w:r>
      <w:r w:rsidRPr="009672FC">
        <w:rPr>
          <w:rFonts w:ascii="Garamond" w:hAnsi="Garamond"/>
          <w:noProof/>
        </w:rPr>
        <w:t>(1), 19–31. https://doi.org/10.1007/s11747-008-0131-z</w:t>
      </w:r>
      <w:r w:rsidR="0089733D" w:rsidRPr="009672FC">
        <w:rPr>
          <w:rFonts w:ascii="Garamond" w:hAnsi="Garamond"/>
          <w:noProof/>
        </w:rPr>
        <w:t>.</w:t>
      </w:r>
    </w:p>
    <w:p w14:paraId="25C6E09E" w14:textId="77777777" w:rsidR="0089733D" w:rsidRPr="009672FC" w:rsidRDefault="0089733D"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bCs/>
        </w:rPr>
        <w:t>Lambert, D. M.,  Cooper, M. C. (2000). Issues in supply chain management. Industrial marketing management, 29(1), 65-83</w:t>
      </w:r>
      <w:r w:rsidRPr="009672FC">
        <w:rPr>
          <w:rFonts w:ascii="Garamond" w:hAnsi="Garamond"/>
          <w:noProof/>
        </w:rPr>
        <w:t>.</w:t>
      </w:r>
    </w:p>
    <w:p w14:paraId="60A06622" w14:textId="77777777" w:rsidR="0089733D" w:rsidRPr="009672FC" w:rsidRDefault="0089733D"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rPr>
        <w:t>Lane, C., and Bachmann, R. 1996. 'The Social Constitution of Trust: Supplier Relations in Britain and Germany'. Organization Studies. 17: 365-93</w:t>
      </w:r>
      <w:r w:rsidRPr="009672FC">
        <w:rPr>
          <w:rFonts w:ascii="Garamond" w:hAnsi="Garamond"/>
          <w:noProof/>
        </w:rPr>
        <w:t>.</w:t>
      </w:r>
    </w:p>
    <w:p w14:paraId="5F5B3AD7" w14:textId="77777777" w:rsidR="0089733D" w:rsidRPr="009672FC" w:rsidRDefault="0089733D"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rPr>
        <w:lastRenderedPageBreak/>
        <w:t>Milgrom, P., Roberts, J. (1992). Economics, Organization and Management. Englewood Cliffs, N.J.: Prentice Hall</w:t>
      </w:r>
      <w:r w:rsidRPr="009672FC">
        <w:rPr>
          <w:rFonts w:ascii="Garamond" w:hAnsi="Garamond"/>
          <w:noProof/>
        </w:rPr>
        <w:t>.</w:t>
      </w:r>
    </w:p>
    <w:p w14:paraId="39D37CEF" w14:textId="49ED4224" w:rsidR="00813D37" w:rsidRPr="009672FC" w:rsidRDefault="00813D37" w:rsidP="0089733D">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Mair, J., Robinson, J., &amp; Hockerts, K. (2006). </w:t>
      </w:r>
      <w:r w:rsidRPr="009672FC">
        <w:rPr>
          <w:rFonts w:ascii="Garamond" w:hAnsi="Garamond"/>
          <w:i/>
          <w:iCs/>
          <w:noProof/>
        </w:rPr>
        <w:t>Social entrepreneurship</w:t>
      </w:r>
      <w:r w:rsidRPr="009672FC">
        <w:rPr>
          <w:rFonts w:ascii="Garamond" w:hAnsi="Garamond"/>
          <w:noProof/>
        </w:rPr>
        <w:t xml:space="preserve">. </w:t>
      </w:r>
      <w:r w:rsidRPr="009672FC">
        <w:rPr>
          <w:rFonts w:ascii="Garamond" w:hAnsi="Garamond"/>
          <w:i/>
          <w:iCs/>
          <w:noProof/>
        </w:rPr>
        <w:t>Social Entrepreneurship</w:t>
      </w:r>
      <w:r w:rsidRPr="009672FC">
        <w:rPr>
          <w:rFonts w:ascii="Garamond" w:hAnsi="Garamond"/>
          <w:noProof/>
        </w:rPr>
        <w:t>. https://doi.org/10.1057/9780230625655</w:t>
      </w:r>
      <w:r w:rsidR="0089733D" w:rsidRPr="009672FC">
        <w:rPr>
          <w:rFonts w:ascii="Garamond" w:hAnsi="Garamond"/>
          <w:noProof/>
        </w:rPr>
        <w:t>.</w:t>
      </w:r>
    </w:p>
    <w:p w14:paraId="016CBC3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Malipiero, A., Munari, F., &amp; Sobrero, M. (2005). Focal firms as technological gatekeepers within industrial districts: knowledge creation and dissemination in the Italian packaging machinery industry. In </w:t>
      </w:r>
      <w:r w:rsidRPr="009672FC">
        <w:rPr>
          <w:rFonts w:ascii="Garamond" w:hAnsi="Garamond"/>
          <w:i/>
          <w:iCs/>
          <w:noProof/>
        </w:rPr>
        <w:t>DRUID Academy Winter 2005 PhD Conference</w:t>
      </w:r>
      <w:r w:rsidRPr="009672FC">
        <w:rPr>
          <w:rFonts w:ascii="Garamond" w:hAnsi="Garamond"/>
          <w:noProof/>
        </w:rPr>
        <w:t>. Retrieved from http://papers.ssrn.com/sol3/papers.cfm?abstract_id=717702</w:t>
      </w:r>
    </w:p>
    <w:p w14:paraId="437D1FD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Maqbool, R., &amp; Sudong, Y. (2018). Critical success factors for renewable energy projects; empirical evidence from Pakistan. </w:t>
      </w:r>
      <w:r w:rsidRPr="009672FC">
        <w:rPr>
          <w:rFonts w:ascii="Garamond" w:hAnsi="Garamond"/>
          <w:i/>
          <w:iCs/>
          <w:noProof/>
        </w:rPr>
        <w:t>Journal of Cleaner Production</w:t>
      </w:r>
      <w:r w:rsidRPr="009672FC">
        <w:rPr>
          <w:rFonts w:ascii="Garamond" w:hAnsi="Garamond"/>
          <w:noProof/>
        </w:rPr>
        <w:t xml:space="preserve">, </w:t>
      </w:r>
      <w:r w:rsidRPr="009672FC">
        <w:rPr>
          <w:rFonts w:ascii="Garamond" w:hAnsi="Garamond"/>
          <w:i/>
          <w:iCs/>
          <w:noProof/>
        </w:rPr>
        <w:t>195</w:t>
      </w:r>
      <w:r w:rsidRPr="009672FC">
        <w:rPr>
          <w:rFonts w:ascii="Garamond" w:hAnsi="Garamond"/>
          <w:noProof/>
        </w:rPr>
        <w:t>, 991–1002. https://doi.org/10.1016/j.jclepro.2018.05.274</w:t>
      </w:r>
    </w:p>
    <w:p w14:paraId="323C164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Mas, A., Sascha, T., Mario, K., Ralf, B., &amp; Kürsten, W. (2020). Advances in management research</w:t>
      </w:r>
      <w:r w:rsidRPr="009672FC">
        <w:rPr>
          <w:noProof/>
        </w:rPr>
        <w:t> </w:t>
      </w:r>
      <w:r w:rsidRPr="009672FC">
        <w:rPr>
          <w:rFonts w:ascii="Garamond" w:hAnsi="Garamond"/>
          <w:noProof/>
        </w:rPr>
        <w:t xml:space="preserve">: a bibliometric overview of the Review of Managerial Science. </w:t>
      </w:r>
      <w:r w:rsidRPr="009672FC">
        <w:rPr>
          <w:rFonts w:ascii="Garamond" w:hAnsi="Garamond"/>
          <w:i/>
          <w:iCs/>
          <w:noProof/>
        </w:rPr>
        <w:t>Review of Managerial Science</w:t>
      </w:r>
      <w:r w:rsidRPr="009672FC">
        <w:rPr>
          <w:rFonts w:ascii="Garamond" w:hAnsi="Garamond"/>
          <w:noProof/>
        </w:rPr>
        <w:t>, (0123456789). https://doi.org/10.1007/s11846-020-00406-z</w:t>
      </w:r>
    </w:p>
    <w:p w14:paraId="462ED76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Matinheikki, J., Artto, K., Peltokorpi, A., &amp; Rajala, R. (2016). Managing inter-organizational networks for value creation in the front-end of projects.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34</w:t>
      </w:r>
      <w:r w:rsidRPr="009672FC">
        <w:rPr>
          <w:rFonts w:ascii="Garamond" w:hAnsi="Garamond"/>
          <w:noProof/>
        </w:rPr>
        <w:t>(7), 1226–1241. https://doi.org/10.1016/j.ijproman.2016.06.003</w:t>
      </w:r>
    </w:p>
    <w:p w14:paraId="0E09E30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Matinheikki, J., Pesonen, T., Artto, K., &amp; Peltokorpi, A. (2017). New value creation in business networks: The role of collective action in constructing system-level goals.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67</w:t>
      </w:r>
      <w:r w:rsidRPr="009672FC">
        <w:rPr>
          <w:rFonts w:ascii="Garamond" w:hAnsi="Garamond"/>
          <w:noProof/>
        </w:rPr>
        <w:t>(April 2016), 122–133. https://doi.org/10.1016/j.indmarman.2017.06.011</w:t>
      </w:r>
    </w:p>
    <w:p w14:paraId="2C5688B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Maurer, I. (2010). How to build trust in inter-organizational projects: The impact of project staffing and project rewards on the formation of trust, knowledge acquisition and product innovation.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28</w:t>
      </w:r>
      <w:r w:rsidRPr="009672FC">
        <w:rPr>
          <w:rFonts w:ascii="Garamond" w:hAnsi="Garamond"/>
          <w:noProof/>
        </w:rPr>
        <w:t>(7), 629–637. https://doi.org/10.1016/j.ijproman.2009.11.006</w:t>
      </w:r>
    </w:p>
    <w:p w14:paraId="0EC8794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Mayer, R. C., Davis, J. H., &amp; Schoorman, D. F. (1995). An Integrative Model of Organizational Trust. </w:t>
      </w:r>
      <w:r w:rsidRPr="009672FC">
        <w:rPr>
          <w:rFonts w:ascii="Garamond" w:hAnsi="Garamond"/>
          <w:i/>
          <w:iCs/>
          <w:noProof/>
        </w:rPr>
        <w:t>The Academy of Management Review</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(3), 709–734.</w:t>
      </w:r>
    </w:p>
    <w:p w14:paraId="3BE2531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McGrath, H., Medlin, C. J., &amp; O’Toole, T. (2019). A process-based model of network capability development by a start-up firm.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80</w:t>
      </w:r>
      <w:r w:rsidRPr="009672FC">
        <w:rPr>
          <w:rFonts w:ascii="Garamond" w:hAnsi="Garamond"/>
          <w:noProof/>
        </w:rPr>
        <w:t>(December 2015), 214–227. https://doi.org/10.1016/j.indmarman.2017.11.011</w:t>
      </w:r>
    </w:p>
    <w:p w14:paraId="749B7F0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Medlin, C. J., &amp; Törnroos, J. Å. (2015). Exploring and exploiting network relationships to commercialize technology: A biofuel case.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49</w:t>
      </w:r>
      <w:r w:rsidRPr="009672FC">
        <w:rPr>
          <w:rFonts w:ascii="Garamond" w:hAnsi="Garamond"/>
          <w:noProof/>
        </w:rPr>
        <w:t>, 42–52. https://doi.org/10.1016/j.indmarman.2015.05.036</w:t>
      </w:r>
    </w:p>
    <w:p w14:paraId="0C66688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Menon, S., &amp; Kahn, B. E. (2001). Corporate sponsorships of philanthropic activities: Do they help the sponsor? </w:t>
      </w:r>
      <w:r w:rsidRPr="009672FC">
        <w:rPr>
          <w:rFonts w:ascii="Garamond" w:hAnsi="Garamond"/>
          <w:i/>
          <w:iCs/>
          <w:noProof/>
        </w:rPr>
        <w:t>Social Marketing Quarterly</w:t>
      </w:r>
      <w:r w:rsidRPr="009672FC">
        <w:rPr>
          <w:rFonts w:ascii="Garamond" w:hAnsi="Garamond"/>
          <w:noProof/>
        </w:rPr>
        <w:t xml:space="preserve">, </w:t>
      </w:r>
      <w:r w:rsidRPr="009672FC">
        <w:rPr>
          <w:rFonts w:ascii="Garamond" w:hAnsi="Garamond"/>
          <w:i/>
          <w:iCs/>
          <w:noProof/>
        </w:rPr>
        <w:t>7</w:t>
      </w:r>
      <w:r w:rsidRPr="009672FC">
        <w:rPr>
          <w:rFonts w:ascii="Garamond" w:hAnsi="Garamond"/>
          <w:noProof/>
        </w:rPr>
        <w:t>(3), 76–79. https://doi.org/10.1080/15245004.2001.9961169</w:t>
      </w:r>
    </w:p>
    <w:p w14:paraId="4FC3A85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Mishra, A. (1996). Organizational Responses to Crises: The Centrality of Trust. in Kramer, R. and Tyler, T. eds. Trust in Organizations, Sage, Beverly Hills. In </w:t>
      </w:r>
      <w:r w:rsidRPr="009672FC">
        <w:rPr>
          <w:rFonts w:ascii="Garamond" w:hAnsi="Garamond"/>
          <w:i/>
          <w:iCs/>
          <w:noProof/>
        </w:rPr>
        <w:t>Trust In Organizations</w:t>
      </w:r>
      <w:r w:rsidRPr="009672FC">
        <w:rPr>
          <w:rFonts w:ascii="Garamond" w:hAnsi="Garamond"/>
          <w:noProof/>
        </w:rPr>
        <w:t xml:space="preserve"> (pp. 261–287).</w:t>
      </w:r>
    </w:p>
    <w:p w14:paraId="201D705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Mohd Noor, K. B. (2014). Case Study</w:t>
      </w:r>
      <w:r w:rsidRPr="009672FC">
        <w:rPr>
          <w:noProof/>
        </w:rPr>
        <w:t> </w:t>
      </w:r>
      <w:r w:rsidRPr="009672FC">
        <w:rPr>
          <w:rFonts w:ascii="Garamond" w:hAnsi="Garamond"/>
          <w:noProof/>
        </w:rPr>
        <w:t xml:space="preserve">: A Strategic Research Methodology. </w:t>
      </w:r>
      <w:r w:rsidRPr="009672FC">
        <w:rPr>
          <w:rFonts w:ascii="Garamond" w:hAnsi="Garamond"/>
          <w:i/>
          <w:iCs/>
          <w:noProof/>
        </w:rPr>
        <w:t>American Journal of Applied Sciences</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(11). https://doi.org/10.3844/ajassp.2008.1602.1604</w:t>
      </w:r>
    </w:p>
    <w:p w14:paraId="246B7A9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Mohr, J. J., &amp; Sengupta, S. (2002). Managing the paradox of inter-firm learning</w:t>
      </w:r>
      <w:r w:rsidRPr="009672FC">
        <w:rPr>
          <w:noProof/>
        </w:rPr>
        <w:t> </w:t>
      </w:r>
      <w:r w:rsidRPr="009672FC">
        <w:rPr>
          <w:rFonts w:ascii="Garamond" w:hAnsi="Garamond"/>
          <w:noProof/>
        </w:rPr>
        <w:t xml:space="preserve">: the role of governance mechanisms. </w:t>
      </w:r>
      <w:r w:rsidRPr="009672FC">
        <w:rPr>
          <w:rFonts w:ascii="Garamond" w:hAnsi="Garamond"/>
          <w:i/>
          <w:iCs/>
          <w:noProof/>
        </w:rPr>
        <w:t>Journal of Business &amp; Industrial Marketing</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(4), 282–301. https://doi.org/10.1108/08858620210431688</w:t>
      </w:r>
    </w:p>
    <w:p w14:paraId="4A49F90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Morgan, R. M., &amp; Hunt, S. D. (1994). The Commitment-Trust Theory of Relationship Marketing. </w:t>
      </w:r>
      <w:r w:rsidRPr="009672FC">
        <w:rPr>
          <w:rFonts w:ascii="Garamond" w:hAnsi="Garamond"/>
          <w:i/>
          <w:iCs/>
          <w:noProof/>
        </w:rPr>
        <w:t>Journal of Marketing</w:t>
      </w:r>
      <w:r w:rsidRPr="009672FC">
        <w:rPr>
          <w:rFonts w:ascii="Garamond" w:hAnsi="Garamond"/>
          <w:noProof/>
        </w:rPr>
        <w:t xml:space="preserve">, </w:t>
      </w:r>
      <w:r w:rsidRPr="009672FC">
        <w:rPr>
          <w:rFonts w:ascii="Garamond" w:hAnsi="Garamond"/>
          <w:i/>
          <w:iCs/>
          <w:noProof/>
        </w:rPr>
        <w:t>58</w:t>
      </w:r>
      <w:r w:rsidRPr="009672FC">
        <w:rPr>
          <w:rFonts w:ascii="Garamond" w:hAnsi="Garamond"/>
          <w:noProof/>
        </w:rPr>
        <w:t>(July), 20–38.</w:t>
      </w:r>
    </w:p>
    <w:p w14:paraId="12E327A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Moysidou, K., &amp; Hausberg, J. P. (2019). In crowdfunding we trust: A trust-building model in lending crowdfunding. </w:t>
      </w:r>
      <w:r w:rsidRPr="009672FC">
        <w:rPr>
          <w:rFonts w:ascii="Garamond" w:hAnsi="Garamond"/>
          <w:i/>
          <w:iCs/>
          <w:noProof/>
        </w:rPr>
        <w:t>Journal of Small Business Management</w:t>
      </w:r>
      <w:r w:rsidRPr="009672FC">
        <w:rPr>
          <w:rFonts w:ascii="Garamond" w:hAnsi="Garamond"/>
          <w:noProof/>
        </w:rPr>
        <w:t xml:space="preserve">, </w:t>
      </w:r>
      <w:r w:rsidRPr="009672FC">
        <w:rPr>
          <w:rFonts w:ascii="Garamond" w:hAnsi="Garamond"/>
          <w:i/>
          <w:iCs/>
          <w:noProof/>
        </w:rPr>
        <w:t>58</w:t>
      </w:r>
      <w:r w:rsidRPr="009672FC">
        <w:rPr>
          <w:rFonts w:ascii="Garamond" w:hAnsi="Garamond"/>
          <w:noProof/>
        </w:rPr>
        <w:t>(3), 511–543. https://doi.org/10.1080/00472778.2019.1661682</w:t>
      </w:r>
    </w:p>
    <w:p w14:paraId="2F76298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MSMEs Policy, G. The Gambia National Policy for MSMEs for 2019-2024 (2019).</w:t>
      </w:r>
    </w:p>
    <w:p w14:paraId="63233E4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Najafian, M., &amp; Colabi, A. M. (2014). Inter-organizational Relationship and Innovation</w:t>
      </w:r>
      <w:r w:rsidRPr="009672FC">
        <w:rPr>
          <w:noProof/>
        </w:rPr>
        <w:t> </w:t>
      </w:r>
      <w:r w:rsidRPr="009672FC">
        <w:rPr>
          <w:rFonts w:ascii="Garamond" w:hAnsi="Garamond"/>
          <w:noProof/>
        </w:rPr>
        <w:t xml:space="preserve">: A Review of Literature. </w:t>
      </w:r>
      <w:r w:rsidRPr="009672FC">
        <w:rPr>
          <w:rFonts w:ascii="Garamond" w:hAnsi="Garamond"/>
          <w:i/>
          <w:iCs/>
          <w:noProof/>
        </w:rPr>
        <w:t>Global Business and Management Research: An International Journal</w:t>
      </w:r>
      <w:r w:rsidRPr="009672FC">
        <w:rPr>
          <w:rFonts w:ascii="Garamond" w:hAnsi="Garamond"/>
          <w:noProof/>
        </w:rPr>
        <w:t xml:space="preserve">, </w:t>
      </w:r>
      <w:r w:rsidRPr="009672FC">
        <w:rPr>
          <w:rFonts w:ascii="Garamond" w:hAnsi="Garamond"/>
          <w:i/>
          <w:iCs/>
          <w:noProof/>
        </w:rPr>
        <w:t>6</w:t>
      </w:r>
      <w:r w:rsidRPr="009672FC">
        <w:rPr>
          <w:rFonts w:ascii="Garamond" w:hAnsi="Garamond"/>
          <w:noProof/>
        </w:rPr>
        <w:t>(1), 52–70.</w:t>
      </w:r>
    </w:p>
    <w:p w14:paraId="5A18689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Negruşa, A. L., Rus, R. V., &amp; Sofică, A. (2014). Innovative Tools Used by Business Networks and Clusters in Communication. </w:t>
      </w:r>
      <w:r w:rsidRPr="009672FC">
        <w:rPr>
          <w:rFonts w:ascii="Garamond" w:hAnsi="Garamond"/>
          <w:i/>
          <w:iCs/>
          <w:noProof/>
        </w:rPr>
        <w:t>Procedia - Social and Behavioral Sciences</w:t>
      </w:r>
      <w:r w:rsidRPr="009672FC">
        <w:rPr>
          <w:rFonts w:ascii="Garamond" w:hAnsi="Garamond"/>
          <w:noProof/>
        </w:rPr>
        <w:t xml:space="preserve">, </w:t>
      </w:r>
      <w:r w:rsidRPr="009672FC">
        <w:rPr>
          <w:rFonts w:ascii="Garamond" w:hAnsi="Garamond"/>
          <w:i/>
          <w:iCs/>
          <w:noProof/>
        </w:rPr>
        <w:t>148</w:t>
      </w:r>
      <w:r w:rsidRPr="009672FC">
        <w:rPr>
          <w:rFonts w:ascii="Garamond" w:hAnsi="Garamond"/>
          <w:noProof/>
        </w:rPr>
        <w:t>, 588–595. https://doi.org/10.1016/j.sbspro.2014.07.084</w:t>
      </w:r>
    </w:p>
    <w:p w14:paraId="7571DB1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Nell, P. C., &amp; Andersson, U. (2012). The complexity of the business network context and its effect on subsidiary relational (over-) embeddedness. </w:t>
      </w:r>
      <w:r w:rsidRPr="009672FC">
        <w:rPr>
          <w:rFonts w:ascii="Garamond" w:hAnsi="Garamond"/>
          <w:i/>
          <w:iCs/>
          <w:noProof/>
        </w:rPr>
        <w:t>International Business Review</w:t>
      </w:r>
      <w:r w:rsidRPr="009672FC">
        <w:rPr>
          <w:rFonts w:ascii="Garamond" w:hAnsi="Garamond"/>
          <w:noProof/>
        </w:rPr>
        <w:t xml:space="preserve">, </w:t>
      </w:r>
      <w:r w:rsidRPr="009672FC">
        <w:rPr>
          <w:rFonts w:ascii="Garamond" w:hAnsi="Garamond"/>
          <w:i/>
          <w:iCs/>
          <w:noProof/>
        </w:rPr>
        <w:t>21</w:t>
      </w:r>
      <w:r w:rsidRPr="009672FC">
        <w:rPr>
          <w:rFonts w:ascii="Garamond" w:hAnsi="Garamond"/>
          <w:noProof/>
        </w:rPr>
        <w:t>(6), 1087–1098. https://doi.org/10.1016/j.ibusrev.2011.12.002</w:t>
      </w:r>
    </w:p>
    <w:p w14:paraId="2BEF314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Newell, S., &amp; Swan, J. (2000). Trust and inter-organizational networking. </w:t>
      </w:r>
      <w:r w:rsidRPr="009672FC">
        <w:rPr>
          <w:rFonts w:ascii="Garamond" w:hAnsi="Garamond"/>
          <w:i/>
          <w:iCs/>
          <w:noProof/>
        </w:rPr>
        <w:t>Human Relations</w:t>
      </w:r>
      <w:r w:rsidRPr="009672FC">
        <w:rPr>
          <w:rFonts w:ascii="Garamond" w:hAnsi="Garamond"/>
          <w:noProof/>
        </w:rPr>
        <w:t xml:space="preserve">, </w:t>
      </w:r>
      <w:r w:rsidRPr="009672FC">
        <w:rPr>
          <w:rFonts w:ascii="Garamond" w:hAnsi="Garamond"/>
          <w:i/>
          <w:iCs/>
          <w:noProof/>
        </w:rPr>
        <w:t>53</w:t>
      </w:r>
      <w:r w:rsidRPr="009672FC">
        <w:rPr>
          <w:rFonts w:ascii="Garamond" w:hAnsi="Garamond"/>
          <w:noProof/>
        </w:rPr>
        <w:t>(10), 1287–1328.</w:t>
      </w:r>
    </w:p>
    <w:p w14:paraId="1242AA3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Ngugi, I. K., Johnsen, R. E., &amp; Erde, P. (2010). Relational capabilities for value co-creation and innovation in SMEs. </w:t>
      </w:r>
      <w:r w:rsidRPr="009672FC">
        <w:rPr>
          <w:rFonts w:ascii="Garamond" w:hAnsi="Garamond"/>
          <w:i/>
          <w:iCs/>
          <w:noProof/>
        </w:rPr>
        <w:t>Journal of Small Business and Enterprise Development</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(2), 260–278. https://doi.org/10.1108/14626001011041256</w:t>
      </w:r>
    </w:p>
    <w:p w14:paraId="2289D58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Nicola, M., Alsafi, Z., Sohrabi, C., Kerwan, A., Al-Jabir, A., Iosifidis, C., … Agha, R. (2020). The socio-economic implications of the coronavirus pandemic (COVID-19): A review. </w:t>
      </w:r>
      <w:r w:rsidRPr="009672FC">
        <w:rPr>
          <w:rFonts w:ascii="Garamond" w:hAnsi="Garamond"/>
          <w:i/>
          <w:iCs/>
          <w:noProof/>
        </w:rPr>
        <w:t>International Journal of Surgery</w:t>
      </w:r>
      <w:r w:rsidRPr="009672FC">
        <w:rPr>
          <w:rFonts w:ascii="Garamond" w:hAnsi="Garamond"/>
          <w:noProof/>
        </w:rPr>
        <w:t xml:space="preserve">, </w:t>
      </w:r>
      <w:r w:rsidRPr="009672FC">
        <w:rPr>
          <w:rFonts w:ascii="Garamond" w:hAnsi="Garamond"/>
          <w:i/>
          <w:iCs/>
          <w:noProof/>
        </w:rPr>
        <w:t>78</w:t>
      </w:r>
      <w:r w:rsidRPr="009672FC">
        <w:rPr>
          <w:rFonts w:ascii="Garamond" w:hAnsi="Garamond"/>
          <w:noProof/>
        </w:rPr>
        <w:t>(April), 185–193. https://doi.org/10.1016/j.ijsu.2020.04.018</w:t>
      </w:r>
    </w:p>
    <w:p w14:paraId="1CD08C8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Nordin, F. (2006). Identifying intraorganisational and interorganisational alliance conflicts - A longitudinal study of an alliance pilot project in the high technology industry.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(2), 116–127. https://doi.org/10.1016/j.indmarman.2004.12.010</w:t>
      </w:r>
    </w:p>
    <w:p w14:paraId="07AD037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Nowell, B. (2009). Profiling capacity for coordination and systems change: The relative </w:t>
      </w:r>
      <w:r w:rsidRPr="009672FC">
        <w:rPr>
          <w:rFonts w:ascii="Garamond" w:hAnsi="Garamond"/>
          <w:noProof/>
        </w:rPr>
        <w:lastRenderedPageBreak/>
        <w:t xml:space="preserve">contribution of stakeholder relationships in interorganizational collaboratives. </w:t>
      </w:r>
      <w:r w:rsidRPr="009672FC">
        <w:rPr>
          <w:rFonts w:ascii="Garamond" w:hAnsi="Garamond"/>
          <w:i/>
          <w:iCs/>
          <w:noProof/>
        </w:rPr>
        <w:t>American Journal of Community Psychology</w:t>
      </w:r>
      <w:r w:rsidRPr="009672FC">
        <w:rPr>
          <w:rFonts w:ascii="Garamond" w:hAnsi="Garamond"/>
          <w:noProof/>
        </w:rPr>
        <w:t xml:space="preserve">, </w:t>
      </w:r>
      <w:r w:rsidRPr="009672FC">
        <w:rPr>
          <w:rFonts w:ascii="Garamond" w:hAnsi="Garamond"/>
          <w:i/>
          <w:iCs/>
          <w:noProof/>
        </w:rPr>
        <w:t>44</w:t>
      </w:r>
      <w:r w:rsidRPr="009672FC">
        <w:rPr>
          <w:rFonts w:ascii="Garamond" w:hAnsi="Garamond"/>
          <w:noProof/>
        </w:rPr>
        <w:t>(3), 196–212. https://doi.org/10.1007/s10464-009-9276-2</w:t>
      </w:r>
    </w:p>
    <w:p w14:paraId="136BE5C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Nuroğlu, H. H. (2016). Business Network Governance Structure and IT Capabilities. </w:t>
      </w:r>
      <w:r w:rsidRPr="009672FC">
        <w:rPr>
          <w:rFonts w:ascii="Garamond" w:hAnsi="Garamond"/>
          <w:i/>
          <w:iCs/>
          <w:noProof/>
        </w:rPr>
        <w:t>Procedia - Social and Behavioral Sciences</w:t>
      </w:r>
      <w:r w:rsidRPr="009672FC">
        <w:rPr>
          <w:rFonts w:ascii="Garamond" w:hAnsi="Garamond"/>
          <w:noProof/>
        </w:rPr>
        <w:t xml:space="preserve">, </w:t>
      </w:r>
      <w:r w:rsidRPr="009672FC">
        <w:rPr>
          <w:rFonts w:ascii="Garamond" w:hAnsi="Garamond"/>
          <w:i/>
          <w:iCs/>
          <w:noProof/>
        </w:rPr>
        <w:t>229</w:t>
      </w:r>
      <w:r w:rsidRPr="009672FC">
        <w:rPr>
          <w:rFonts w:ascii="Garamond" w:hAnsi="Garamond"/>
          <w:noProof/>
        </w:rPr>
        <w:t>, 50–59. https://doi.org/10.1016/j.sbspro.2016.07.113</w:t>
      </w:r>
    </w:p>
    <w:p w14:paraId="2D5B819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Öberg, C. (2019). The role of business networks for innovation. </w:t>
      </w:r>
      <w:r w:rsidRPr="009672FC">
        <w:rPr>
          <w:rFonts w:ascii="Garamond" w:hAnsi="Garamond"/>
          <w:i/>
          <w:iCs/>
          <w:noProof/>
        </w:rPr>
        <w:t>Journal of Innovation and Knowledge</w:t>
      </w:r>
      <w:r w:rsidRPr="009672FC">
        <w:rPr>
          <w:rFonts w:ascii="Garamond" w:hAnsi="Garamond"/>
          <w:noProof/>
        </w:rPr>
        <w:t xml:space="preserve">, </w:t>
      </w:r>
      <w:r w:rsidRPr="009672FC">
        <w:rPr>
          <w:rFonts w:ascii="Garamond" w:hAnsi="Garamond"/>
          <w:i/>
          <w:iCs/>
          <w:noProof/>
        </w:rPr>
        <w:t>4</w:t>
      </w:r>
      <w:r w:rsidRPr="009672FC">
        <w:rPr>
          <w:rFonts w:ascii="Garamond" w:hAnsi="Garamond"/>
          <w:noProof/>
        </w:rPr>
        <w:t>(2), 124–128. https://doi.org/10.1016/j.jik.2017.10.001</w:t>
      </w:r>
    </w:p>
    <w:p w14:paraId="2A87B72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Olsen, P. I., Prenkert, F., Hoholm, T., &amp; Harrison, D. (2014). The dynamics of networked power in a concentrated business network.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67</w:t>
      </w:r>
      <w:r w:rsidRPr="009672FC">
        <w:rPr>
          <w:rFonts w:ascii="Garamond" w:hAnsi="Garamond"/>
          <w:noProof/>
        </w:rPr>
        <w:t>(12), 2579–2589. https://doi.org/10.1016/j.jbusres.2014.03.017</w:t>
      </w:r>
    </w:p>
    <w:p w14:paraId="338A349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Orlandi, L. B., Martino, E. De, &amp; Rossignoli, C. (2019). Strategic Value of Agricultural Business Networks in Sustaining Common Goods. </w:t>
      </w:r>
      <w:r w:rsidRPr="009672FC">
        <w:rPr>
          <w:rFonts w:ascii="Garamond" w:hAnsi="Garamond"/>
          <w:i/>
          <w:iCs/>
          <w:noProof/>
        </w:rPr>
        <w:t>Sustainability</w:t>
      </w:r>
      <w:r w:rsidRPr="009672FC">
        <w:rPr>
          <w:rFonts w:ascii="Garamond" w:hAnsi="Garamond"/>
          <w:noProof/>
        </w:rPr>
        <w:t>, (11), 1–19. https://doi.org/10.3390/su11215986</w:t>
      </w:r>
    </w:p>
    <w:p w14:paraId="580FCA5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Osarenkhoe, A. (2010). A study of inter-fi rm dynamics between competition and cooperation – A coopetition strategy. </w:t>
      </w:r>
      <w:r w:rsidRPr="009672FC">
        <w:rPr>
          <w:rFonts w:ascii="Garamond" w:hAnsi="Garamond"/>
          <w:i/>
          <w:iCs/>
          <w:noProof/>
        </w:rPr>
        <w:t>Database Marketing &amp; Customer Strategy Management</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(April), 201–221. https://doi.org/10.1057/dbm.2010.23</w:t>
      </w:r>
    </w:p>
    <w:p w14:paraId="70D2246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Oxley, J. E., &amp; Sampson, R. C. (2004). The Scope and Governance of International R&amp;D Alliances.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749</w:t>
      </w:r>
      <w:r w:rsidRPr="009672FC">
        <w:rPr>
          <w:rFonts w:ascii="Garamond" w:hAnsi="Garamond"/>
          <w:noProof/>
        </w:rPr>
        <w:t>, 723–749. https://doi.org/10.2139/ssrn.398320</w:t>
      </w:r>
    </w:p>
    <w:p w14:paraId="48CB511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Paliszkiewicz, J. (2012). Managers’ Orientation on Trust and Organizational Performance. </w:t>
      </w:r>
      <w:r w:rsidRPr="009672FC">
        <w:rPr>
          <w:rFonts w:ascii="Garamond" w:hAnsi="Garamond"/>
          <w:i/>
          <w:iCs/>
          <w:noProof/>
        </w:rPr>
        <w:t>Jindal Journal of Business Research</w:t>
      </w:r>
      <w:r w:rsidRPr="009672FC">
        <w:rPr>
          <w:rFonts w:ascii="Garamond" w:hAnsi="Garamond"/>
          <w:noProof/>
        </w:rPr>
        <w:t xml:space="preserve">, </w:t>
      </w:r>
      <w:r w:rsidRPr="009672FC">
        <w:rPr>
          <w:rFonts w:ascii="Garamond" w:hAnsi="Garamond"/>
          <w:i/>
          <w:iCs/>
          <w:noProof/>
        </w:rPr>
        <w:t>1</w:t>
      </w:r>
      <w:r w:rsidRPr="009672FC">
        <w:rPr>
          <w:rFonts w:ascii="Garamond" w:hAnsi="Garamond"/>
          <w:noProof/>
        </w:rPr>
        <w:t>(2), 153–161. https://doi.org/10.1177/2278682113476164</w:t>
      </w:r>
    </w:p>
    <w:p w14:paraId="3AF3D3A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Paliszkiewicz, J., Koohang, A., Gołuchowski, J., &amp; Horn Nord, J. (2014). Management trust, organizational trust, and organizational performance: advancing and measuring a theoretical model. </w:t>
      </w:r>
      <w:r w:rsidRPr="009672FC">
        <w:rPr>
          <w:rFonts w:ascii="Garamond" w:hAnsi="Garamond"/>
          <w:i/>
          <w:iCs/>
          <w:noProof/>
        </w:rPr>
        <w:t>Management and Production Engineering Review</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(1), 32–41. https://doi.org/10.2478/mper-2014-0005</w:t>
      </w:r>
    </w:p>
    <w:p w14:paraId="370C5D4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Parente, R., ElTarabishy, A., Vesci, M., &amp; Botti, A. (2018). The Epistemology of Humane Entrepreneurship: Theory and Proposal for Future Research Agenda. </w:t>
      </w:r>
      <w:r w:rsidRPr="009672FC">
        <w:rPr>
          <w:rFonts w:ascii="Garamond" w:hAnsi="Garamond"/>
          <w:i/>
          <w:iCs/>
          <w:noProof/>
        </w:rPr>
        <w:t>Journal of Small Business Management</w:t>
      </w:r>
      <w:r w:rsidRPr="009672FC">
        <w:rPr>
          <w:rFonts w:ascii="Garamond" w:hAnsi="Garamond"/>
          <w:noProof/>
        </w:rPr>
        <w:t xml:space="preserve">, </w:t>
      </w:r>
      <w:r w:rsidRPr="009672FC">
        <w:rPr>
          <w:rFonts w:ascii="Garamond" w:hAnsi="Garamond"/>
          <w:i/>
          <w:iCs/>
          <w:noProof/>
        </w:rPr>
        <w:t>56</w:t>
      </w:r>
      <w:r w:rsidRPr="009672FC">
        <w:rPr>
          <w:rFonts w:ascii="Garamond" w:hAnsi="Garamond"/>
          <w:noProof/>
        </w:rPr>
        <w:t>, 30–52. https://doi.org/10.1111/jsbm.12432</w:t>
      </w:r>
    </w:p>
    <w:p w14:paraId="706346E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Parker, B., &amp; Selsky, J. W. (2004). Interface dynamics in cause-based partnerships: An exploration of emergent culture. </w:t>
      </w:r>
      <w:r w:rsidRPr="009672FC">
        <w:rPr>
          <w:rFonts w:ascii="Garamond" w:hAnsi="Garamond"/>
          <w:i/>
          <w:iCs/>
          <w:noProof/>
        </w:rPr>
        <w:t>Nonprofit and Voluntary Sector Quarterly</w:t>
      </w:r>
      <w:r w:rsidRPr="009672FC">
        <w:rPr>
          <w:rFonts w:ascii="Garamond" w:hAnsi="Garamond"/>
          <w:noProof/>
        </w:rPr>
        <w:t xml:space="preserve">, </w:t>
      </w:r>
      <w:r w:rsidRPr="009672FC">
        <w:rPr>
          <w:rFonts w:ascii="Garamond" w:hAnsi="Garamond"/>
          <w:i/>
          <w:iCs/>
          <w:noProof/>
        </w:rPr>
        <w:t>33</w:t>
      </w:r>
      <w:r w:rsidRPr="009672FC">
        <w:rPr>
          <w:rFonts w:ascii="Garamond" w:hAnsi="Garamond"/>
          <w:noProof/>
        </w:rPr>
        <w:t>(3), 458–488. https://doi.org/10.1177/0899764004266016</w:t>
      </w:r>
    </w:p>
    <w:p w14:paraId="2BA5060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Parker, H. (2012). Knowledge acquisition and leakage in inter-firm relationships involving new technology-based firms. </w:t>
      </w:r>
      <w:r w:rsidRPr="009672FC">
        <w:rPr>
          <w:rFonts w:ascii="Garamond" w:hAnsi="Garamond"/>
          <w:i/>
          <w:iCs/>
          <w:noProof/>
        </w:rPr>
        <w:t>Management Decision</w:t>
      </w:r>
      <w:r w:rsidRPr="009672FC">
        <w:rPr>
          <w:rFonts w:ascii="Garamond" w:hAnsi="Garamond"/>
          <w:noProof/>
        </w:rPr>
        <w:t xml:space="preserve">, </w:t>
      </w:r>
      <w:r w:rsidRPr="009672FC">
        <w:rPr>
          <w:rFonts w:ascii="Garamond" w:hAnsi="Garamond"/>
          <w:i/>
          <w:iCs/>
          <w:noProof/>
        </w:rPr>
        <w:t>50</w:t>
      </w:r>
      <w:r w:rsidRPr="009672FC">
        <w:rPr>
          <w:rFonts w:ascii="Garamond" w:hAnsi="Garamond"/>
          <w:noProof/>
        </w:rPr>
        <w:t>(9), 1618–1633. https://doi.org/10.1108/00251741211266714</w:t>
      </w:r>
    </w:p>
    <w:p w14:paraId="74E443C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Patzelt, H., &amp; Shepherd, D. A. (2016). The decision to persist with underperforming alliances: The role of trust and control. </w:t>
      </w:r>
      <w:r w:rsidRPr="009672FC">
        <w:rPr>
          <w:rFonts w:ascii="Garamond" w:hAnsi="Garamond"/>
          <w:i/>
          <w:iCs/>
          <w:noProof/>
        </w:rPr>
        <w:t>Decision Making in Entrepreneurship: Selected Joint Papers of Dean A. Shepherd</w:t>
      </w:r>
      <w:r w:rsidRPr="009672FC">
        <w:rPr>
          <w:rFonts w:ascii="Garamond" w:hAnsi="Garamond"/>
          <w:noProof/>
        </w:rPr>
        <w:t>, (November), 386–412. https://doi.org/10.4337/9781784716042</w:t>
      </w:r>
    </w:p>
    <w:p w14:paraId="74092D5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Pavlou, P. A., Tan, Y. H., &amp; Gefen, D. (2003). The transitional role of institutional trust in online interorganizational relationships. In </w:t>
      </w:r>
      <w:r w:rsidRPr="009672FC">
        <w:rPr>
          <w:rFonts w:ascii="Garamond" w:hAnsi="Garamond"/>
          <w:i/>
          <w:iCs/>
          <w:noProof/>
        </w:rPr>
        <w:t>Proceedings of the 36th Annual Hawaii International Conference on System Sciences, HICSS 2003</w:t>
      </w:r>
      <w:r w:rsidRPr="009672FC">
        <w:rPr>
          <w:rFonts w:ascii="Garamond" w:hAnsi="Garamond"/>
          <w:noProof/>
        </w:rPr>
        <w:t>. IEEE. https://doi.org/10.1109/HICSS.2003.1174574</w:t>
      </w:r>
    </w:p>
    <w:p w14:paraId="1F1C585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Pavlou, Paul A. (2002). Institutional trust in interorganizational exchange relationships: The role of electronic B2B marketplaces. </w:t>
      </w:r>
      <w:r w:rsidRPr="009672FC">
        <w:rPr>
          <w:rFonts w:ascii="Garamond" w:hAnsi="Garamond"/>
          <w:i/>
          <w:iCs/>
          <w:noProof/>
        </w:rPr>
        <w:t>Journal of Strategic Information Systems</w:t>
      </w:r>
      <w:r w:rsidRPr="009672FC">
        <w:rPr>
          <w:rFonts w:ascii="Garamond" w:hAnsi="Garamond"/>
          <w:noProof/>
        </w:rPr>
        <w:t xml:space="preserve">, </w:t>
      </w:r>
      <w:r w:rsidRPr="009672FC">
        <w:rPr>
          <w:rFonts w:ascii="Garamond" w:hAnsi="Garamond"/>
          <w:i/>
          <w:iCs/>
          <w:noProof/>
        </w:rPr>
        <w:t>11</w:t>
      </w:r>
      <w:r w:rsidRPr="009672FC">
        <w:rPr>
          <w:rFonts w:ascii="Garamond" w:hAnsi="Garamond"/>
          <w:noProof/>
        </w:rPr>
        <w:t>(3–4), 215–243.</w:t>
      </w:r>
    </w:p>
    <w:p w14:paraId="1D76BCD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Pesch, R., &amp; Bouncken, R. B. (2017). The double-edged sword of cultural distance in international alliances: How perceived cultural distance influences trust and task discourse to drive new product development performance. </w:t>
      </w:r>
      <w:r w:rsidRPr="009672FC">
        <w:rPr>
          <w:rFonts w:ascii="Garamond" w:hAnsi="Garamond"/>
          <w:i/>
          <w:iCs/>
          <w:noProof/>
        </w:rPr>
        <w:t>Cross Cultural and Strategic Management</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(1), 33–54. https://doi.org/10.1108/CCSM-03-2016-0065</w:t>
      </w:r>
    </w:p>
    <w:p w14:paraId="6F36F11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Petticrew, M., &amp; Roberts, H. (2006). </w:t>
      </w:r>
      <w:r w:rsidRPr="009672FC">
        <w:rPr>
          <w:rFonts w:ascii="Garamond" w:hAnsi="Garamond"/>
          <w:i/>
          <w:iCs/>
          <w:noProof/>
        </w:rPr>
        <w:t>Systematic Reviews in the Social Sciences: A Practical Guide</w:t>
      </w:r>
      <w:r w:rsidRPr="009672FC">
        <w:rPr>
          <w:rFonts w:ascii="Garamond" w:hAnsi="Garamond"/>
          <w:noProof/>
        </w:rPr>
        <w:t>.</w:t>
      </w:r>
    </w:p>
    <w:p w14:paraId="6418C2C8" w14:textId="77777777" w:rsidR="008F28E0"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Pinto, J. K., Slevin, D. P., &amp; English, B. (2009). Trust in projects: An empirical assessment of owner/contractor relationships.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27</w:t>
      </w:r>
      <w:r w:rsidRPr="009672FC">
        <w:rPr>
          <w:rFonts w:ascii="Garamond" w:hAnsi="Garamond"/>
          <w:noProof/>
        </w:rPr>
        <w:t>(6), 638–648. https://doi.org/10.1016/j.ijproman.2008.09.010</w:t>
      </w:r>
      <w:r w:rsidR="008F28E0" w:rsidRPr="009672FC">
        <w:rPr>
          <w:rFonts w:ascii="Garamond" w:hAnsi="Garamond"/>
          <w:noProof/>
        </w:rPr>
        <w:t>.</w:t>
      </w:r>
    </w:p>
    <w:p w14:paraId="012BEB2A" w14:textId="77777777" w:rsidR="008F28E0"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Pittaway, L., Holt, R., &amp; Broad, J. (2014). Synthesising knowledge in entrepreneurship research - the role of systematic literature reviews. </w:t>
      </w:r>
      <w:r w:rsidRPr="009672FC">
        <w:rPr>
          <w:rFonts w:ascii="Garamond" w:hAnsi="Garamond"/>
          <w:i/>
          <w:iCs/>
          <w:noProof/>
        </w:rPr>
        <w:t>Handbook of Research on Small Business and Entrepreneurship</w:t>
      </w:r>
      <w:r w:rsidRPr="009672FC">
        <w:rPr>
          <w:rFonts w:ascii="Garamond" w:hAnsi="Garamond"/>
          <w:noProof/>
        </w:rPr>
        <w:t>, 83–105. https://doi.org/10.4337/9781849809245.00014</w:t>
      </w:r>
      <w:r w:rsidR="008F28E0" w:rsidRPr="009672FC">
        <w:rPr>
          <w:rFonts w:ascii="Garamond" w:hAnsi="Garamond"/>
          <w:noProof/>
        </w:rPr>
        <w:t>.</w:t>
      </w:r>
    </w:p>
    <w:p w14:paraId="0E026546"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Pfeffer J.,  Salancik G. R., (2003), The External Control of Organizations: A Resource Dependence Perspective, Stanford University Press, California</w:t>
      </w:r>
      <w:r w:rsidRPr="009672FC">
        <w:rPr>
          <w:rFonts w:ascii="Garamond" w:hAnsi="Garamond"/>
          <w:noProof/>
        </w:rPr>
        <w:t>.</w:t>
      </w:r>
    </w:p>
    <w:p w14:paraId="2308FBD8"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Powell, W.W., &amp; DiMaggio, P.J. (eds.) 1991. The new institutionalism in organizational analysis. Chicago: University of Chicago Press</w:t>
      </w:r>
      <w:r w:rsidRPr="009672FC">
        <w:rPr>
          <w:rFonts w:ascii="Garamond" w:hAnsi="Garamond"/>
          <w:noProof/>
        </w:rPr>
        <w:t>.</w:t>
      </w:r>
    </w:p>
    <w:p w14:paraId="1F83F4D4"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Ricciardi F. (2014). Innovation Processes in Business Networks: Managing Inter-Organizational Relationships for Innovational Excellence. WIESBADEN: Springer</w:t>
      </w:r>
      <w:r w:rsidRPr="009672FC">
        <w:rPr>
          <w:rFonts w:ascii="Garamond" w:hAnsi="Garamond"/>
          <w:noProof/>
        </w:rPr>
        <w:t>.</w:t>
      </w:r>
    </w:p>
    <w:p w14:paraId="5E9FC56A"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bCs/>
        </w:rPr>
        <w:t>Ross, S. (1973) The economic theory of agency: The principal's problem. American Economic Review, 63, 134-139</w:t>
      </w:r>
      <w:r w:rsidRPr="009672FC">
        <w:rPr>
          <w:rFonts w:ascii="Garamond" w:hAnsi="Garamond"/>
          <w:noProof/>
        </w:rPr>
        <w:t>.</w:t>
      </w:r>
    </w:p>
    <w:p w14:paraId="3D1E2437" w14:textId="5D86F91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Rossignoli, C., Ricciardi, F. (2015). Inter-organizational relationships. Heidelberg: Springer</w:t>
      </w:r>
      <w:r w:rsidRPr="009672FC">
        <w:rPr>
          <w:rFonts w:ascii="Garamond" w:hAnsi="Garamond"/>
          <w:noProof/>
        </w:rPr>
        <w:t>.</w:t>
      </w:r>
    </w:p>
    <w:p w14:paraId="51FCCA94" w14:textId="220F3983" w:rsidR="00813D37"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Radziwon, A., &amp; Bogers, M. (2019). Open innovation in SMEs: Exploring inter-organizational relationships in an ecosystem. </w:t>
      </w:r>
      <w:r w:rsidRPr="009672FC">
        <w:rPr>
          <w:rFonts w:ascii="Garamond" w:hAnsi="Garamond"/>
          <w:i/>
          <w:iCs/>
          <w:noProof/>
        </w:rPr>
        <w:t>Technological Forecasting and Social Change</w:t>
      </w:r>
      <w:r w:rsidRPr="009672FC">
        <w:rPr>
          <w:rFonts w:ascii="Garamond" w:hAnsi="Garamond"/>
          <w:noProof/>
        </w:rPr>
        <w:t xml:space="preserve">, </w:t>
      </w:r>
      <w:r w:rsidRPr="009672FC">
        <w:rPr>
          <w:rFonts w:ascii="Garamond" w:hAnsi="Garamond"/>
          <w:i/>
          <w:iCs/>
          <w:noProof/>
        </w:rPr>
        <w:t>146</w:t>
      </w:r>
      <w:r w:rsidRPr="009672FC">
        <w:rPr>
          <w:rFonts w:ascii="Garamond" w:hAnsi="Garamond"/>
          <w:noProof/>
        </w:rPr>
        <w:t>(October 2016), 573–587. https://doi.org/10.1016/j.techfore.2018.04.021</w:t>
      </w:r>
    </w:p>
    <w:p w14:paraId="69F4660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Raisch, S., Birkinshaw, J., Probst, G., &amp; Tushman, M. L. (2009). Organizational Ambidexterity: Balancing Exploitation and Exploration for Sustained Performance.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20</w:t>
      </w:r>
      <w:r w:rsidRPr="009672FC">
        <w:rPr>
          <w:rFonts w:ascii="Garamond" w:hAnsi="Garamond"/>
          <w:noProof/>
        </w:rPr>
        <w:t>(4), 685–695. https://doi.org/10.1287/orsc.1090.0428</w:t>
      </w:r>
    </w:p>
    <w:p w14:paraId="5FFA373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Rajapathirana, R. P. J., &amp; Hui, Y. (2018). Relationship between innovation capability, innovation type, and firm performance. </w:t>
      </w:r>
      <w:r w:rsidRPr="009672FC">
        <w:rPr>
          <w:rFonts w:ascii="Garamond" w:hAnsi="Garamond"/>
          <w:i/>
          <w:iCs/>
          <w:noProof/>
        </w:rPr>
        <w:t>Journal of Innovation and Knowledge</w:t>
      </w:r>
      <w:r w:rsidRPr="009672FC">
        <w:rPr>
          <w:rFonts w:ascii="Garamond" w:hAnsi="Garamond"/>
          <w:noProof/>
        </w:rPr>
        <w:t xml:space="preserve">, </w:t>
      </w:r>
      <w:r w:rsidRPr="009672FC">
        <w:rPr>
          <w:rFonts w:ascii="Garamond" w:hAnsi="Garamond"/>
          <w:i/>
          <w:iCs/>
          <w:noProof/>
        </w:rPr>
        <w:t>3</w:t>
      </w:r>
      <w:r w:rsidRPr="009672FC">
        <w:rPr>
          <w:rFonts w:ascii="Garamond" w:hAnsi="Garamond"/>
          <w:noProof/>
        </w:rPr>
        <w:t>(1), 44–55. https://doi.org/10.1016/j.jik.2017.06.002</w:t>
      </w:r>
    </w:p>
    <w:p w14:paraId="1D240BD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Ranney, M. L., Griffeth, V., &amp; Jha, A. K. (2020). Critical Supply Shortages — The Need for Ventilators and Personal Protective Equipment during the Covid-19 Pandemic. </w:t>
      </w:r>
      <w:r w:rsidRPr="009672FC">
        <w:rPr>
          <w:rFonts w:ascii="Garamond" w:hAnsi="Garamond"/>
          <w:i/>
          <w:iCs/>
          <w:noProof/>
        </w:rPr>
        <w:t>New England Journal of Medicine</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(1), 1–2. https://doi.org/DOI: 10.1056/NEJMp2009027</w:t>
      </w:r>
    </w:p>
    <w:p w14:paraId="0AE659E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Rashid, Y., Rashid, A., Warraich, M. A., Sameen Sabir, S., &amp; Waseem, A. (2019). Case Study Method</w:t>
      </w:r>
      <w:r w:rsidRPr="009672FC">
        <w:rPr>
          <w:noProof/>
        </w:rPr>
        <w:t> </w:t>
      </w:r>
      <w:r w:rsidRPr="009672FC">
        <w:rPr>
          <w:rFonts w:ascii="Garamond" w:hAnsi="Garamond"/>
          <w:noProof/>
        </w:rPr>
        <w:t xml:space="preserve">: A Step-by-Step Guide for Business Researchers. </w:t>
      </w:r>
      <w:r w:rsidRPr="009672FC">
        <w:rPr>
          <w:rFonts w:ascii="Garamond" w:hAnsi="Garamond"/>
          <w:i/>
          <w:iCs/>
          <w:noProof/>
        </w:rPr>
        <w:t>International Journal of Qualitative Methods</w:t>
      </w:r>
      <w:r w:rsidRPr="009672FC">
        <w:rPr>
          <w:rFonts w:ascii="Garamond" w:hAnsi="Garamond"/>
          <w:noProof/>
        </w:rPr>
        <w:t xml:space="preserve">, </w:t>
      </w:r>
      <w:r w:rsidRPr="009672FC">
        <w:rPr>
          <w:rFonts w:ascii="Garamond" w:hAnsi="Garamond"/>
          <w:i/>
          <w:iCs/>
          <w:noProof/>
        </w:rPr>
        <w:t>18</w:t>
      </w:r>
      <w:r w:rsidRPr="009672FC">
        <w:rPr>
          <w:rFonts w:ascii="Garamond" w:hAnsi="Garamond"/>
          <w:noProof/>
        </w:rPr>
        <w:t>, 1–13. https://doi.org/10.1177/1609406919862424</w:t>
      </w:r>
    </w:p>
    <w:p w14:paraId="4213818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Ratten, V. (2020). Coronavirus (Covid-19) and entrepreneurship: cultural, lifestyle and societal changes. </w:t>
      </w:r>
      <w:r w:rsidRPr="009672FC">
        <w:rPr>
          <w:rFonts w:ascii="Garamond" w:hAnsi="Garamond"/>
          <w:i/>
          <w:iCs/>
          <w:noProof/>
        </w:rPr>
        <w:t>Journal of Entrepreneurship in Emerging Economies</w:t>
      </w:r>
      <w:r w:rsidRPr="009672FC">
        <w:rPr>
          <w:rFonts w:ascii="Garamond" w:hAnsi="Garamond"/>
          <w:noProof/>
        </w:rPr>
        <w:t xml:space="preserve">, </w:t>
      </w:r>
      <w:r w:rsidRPr="009672FC">
        <w:rPr>
          <w:rFonts w:ascii="Garamond" w:hAnsi="Garamond"/>
          <w:i/>
          <w:iCs/>
          <w:noProof/>
        </w:rPr>
        <w:t>13</w:t>
      </w:r>
      <w:r w:rsidRPr="009672FC">
        <w:rPr>
          <w:rFonts w:ascii="Garamond" w:hAnsi="Garamond"/>
          <w:noProof/>
        </w:rPr>
        <w:t>(4), 747–761. https://doi.org/10.1108/JEEE-06-2020-0163</w:t>
      </w:r>
    </w:p>
    <w:p w14:paraId="015D01F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Rehm, S. V., Goel, L., &amp; Junglas, I. (2016). Information management for innovation networks - An empirical study on the “who, what and how” in networked innovation. </w:t>
      </w:r>
      <w:r w:rsidRPr="009672FC">
        <w:rPr>
          <w:rFonts w:ascii="Garamond" w:hAnsi="Garamond"/>
          <w:i/>
          <w:iCs/>
          <w:noProof/>
        </w:rPr>
        <w:t>International Journal of Information Management</w:t>
      </w:r>
      <w:r w:rsidRPr="009672FC">
        <w:rPr>
          <w:rFonts w:ascii="Garamond" w:hAnsi="Garamond"/>
          <w:noProof/>
        </w:rPr>
        <w:t xml:space="preserve">, </w:t>
      </w:r>
      <w:r w:rsidRPr="009672FC">
        <w:rPr>
          <w:rFonts w:ascii="Garamond" w:hAnsi="Garamond"/>
          <w:i/>
          <w:iCs/>
          <w:noProof/>
        </w:rPr>
        <w:t>36</w:t>
      </w:r>
      <w:r w:rsidRPr="009672FC">
        <w:rPr>
          <w:rFonts w:ascii="Garamond" w:hAnsi="Garamond"/>
          <w:noProof/>
        </w:rPr>
        <w:t>(3), 348–359. https://doi.org/10.1016/j.ijinfomgt.2015.11.004</w:t>
      </w:r>
    </w:p>
    <w:p w14:paraId="682240F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Reypens, C., Lievens, A., &amp; Blazevic, V. (2016). Leveraging value in multi-stakeholder innovation networks: A process framework for value co-creation and capture.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56</w:t>
      </w:r>
      <w:r w:rsidRPr="009672FC">
        <w:rPr>
          <w:rFonts w:ascii="Garamond" w:hAnsi="Garamond"/>
          <w:noProof/>
        </w:rPr>
        <w:t>, 40–50. https://doi.org/10.1016/j.indmarman.2016.03.005</w:t>
      </w:r>
    </w:p>
    <w:p w14:paraId="05233FD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Ricciardi, F., Zardini, A., &amp; Rossignoli, C. (2016). Organizational dynamism and adaptive business model innovation: The triple paradox configuration.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69</w:t>
      </w:r>
      <w:r w:rsidRPr="009672FC">
        <w:rPr>
          <w:rFonts w:ascii="Garamond" w:hAnsi="Garamond"/>
          <w:noProof/>
        </w:rPr>
        <w:t>(11), 5487–5493. https://doi.org/10.1016/j.jbusres.2016.04.154</w:t>
      </w:r>
    </w:p>
    <w:p w14:paraId="3453EC1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Ricciardi, F., Zardini, A., &amp; Rossignoli, C. (2018). Business network commons and their fragilities</w:t>
      </w:r>
      <w:r w:rsidRPr="009672FC">
        <w:rPr>
          <w:noProof/>
        </w:rPr>
        <w:t> </w:t>
      </w:r>
      <w:r w:rsidRPr="009672FC">
        <w:rPr>
          <w:rFonts w:ascii="Garamond" w:hAnsi="Garamond"/>
          <w:noProof/>
        </w:rPr>
        <w:t xml:space="preserve">: Emerging configurations of local organizational fields.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89</w:t>
      </w:r>
      <w:r w:rsidRPr="009672FC">
        <w:rPr>
          <w:rFonts w:ascii="Garamond" w:hAnsi="Garamond"/>
          <w:noProof/>
        </w:rPr>
        <w:t>, 328–335. https://doi.org/10.1016/j.jbusres.2018.01.005</w:t>
      </w:r>
    </w:p>
    <w:p w14:paraId="129462C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Rosenfeld, S. A. (1996). Does cooperation enhance competitiveness? Assessing the impacts of inter-firm collaboration. </w:t>
      </w:r>
      <w:r w:rsidRPr="009672FC">
        <w:rPr>
          <w:rFonts w:ascii="Garamond" w:hAnsi="Garamond"/>
          <w:i/>
          <w:iCs/>
          <w:noProof/>
        </w:rPr>
        <w:t>Research Policy</w:t>
      </w:r>
      <w:r w:rsidRPr="009672FC">
        <w:rPr>
          <w:rFonts w:ascii="Garamond" w:hAnsi="Garamond"/>
          <w:noProof/>
        </w:rPr>
        <w:t xml:space="preserve">, </w:t>
      </w:r>
      <w:r w:rsidRPr="009672FC">
        <w:rPr>
          <w:rFonts w:ascii="Garamond" w:hAnsi="Garamond"/>
          <w:i/>
          <w:iCs/>
          <w:noProof/>
        </w:rPr>
        <w:t>25</w:t>
      </w:r>
      <w:r w:rsidRPr="009672FC">
        <w:rPr>
          <w:rFonts w:ascii="Garamond" w:hAnsi="Garamond"/>
          <w:noProof/>
        </w:rPr>
        <w:t>, 247–263.</w:t>
      </w:r>
    </w:p>
    <w:p w14:paraId="619D556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Rossignoli, C., &amp; Ricciardi, F. (2015). </w:t>
      </w:r>
      <w:r w:rsidRPr="009672FC">
        <w:rPr>
          <w:rFonts w:ascii="Garamond" w:hAnsi="Garamond"/>
          <w:i/>
          <w:iCs/>
          <w:noProof/>
        </w:rPr>
        <w:t>Inter-Organizational Relationships. Towards a Dynamic Model for Understanding Business Network Performance</w:t>
      </w:r>
      <w:r w:rsidRPr="009672FC">
        <w:rPr>
          <w:rFonts w:ascii="Garamond" w:hAnsi="Garamond"/>
          <w:noProof/>
        </w:rPr>
        <w:t xml:space="preserve">. </w:t>
      </w:r>
      <w:r w:rsidRPr="009672FC">
        <w:rPr>
          <w:rFonts w:ascii="Garamond" w:hAnsi="Garamond"/>
          <w:i/>
          <w:iCs/>
          <w:noProof/>
        </w:rPr>
        <w:t>European Planning Studies</w:t>
      </w:r>
      <w:r w:rsidRPr="009672FC">
        <w:rPr>
          <w:rFonts w:ascii="Garamond" w:hAnsi="Garamond"/>
          <w:noProof/>
        </w:rPr>
        <w:t xml:space="preserve"> (Vol. 7). https://doi.org/10.1080/09654319908720526</w:t>
      </w:r>
    </w:p>
    <w:p w14:paraId="6BE1978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Rossignoli, C., Ricciardi, F., &amp; Bonomi, S. (2018). Organizing for Commons-Enabling Decision-Making Under Conflicting Institutional Logics in Social Entrepreneurship. </w:t>
      </w:r>
      <w:r w:rsidRPr="009672FC">
        <w:rPr>
          <w:rFonts w:ascii="Garamond" w:hAnsi="Garamond"/>
          <w:i/>
          <w:iCs/>
          <w:noProof/>
        </w:rPr>
        <w:t>Group Decision and Negotiation</w:t>
      </w:r>
      <w:r w:rsidRPr="009672FC">
        <w:rPr>
          <w:rFonts w:ascii="Garamond" w:hAnsi="Garamond"/>
          <w:noProof/>
        </w:rPr>
        <w:t xml:space="preserve">, </w:t>
      </w:r>
      <w:r w:rsidRPr="009672FC">
        <w:rPr>
          <w:rFonts w:ascii="Garamond" w:hAnsi="Garamond"/>
          <w:i/>
          <w:iCs/>
          <w:noProof/>
        </w:rPr>
        <w:t>27</w:t>
      </w:r>
      <w:r w:rsidRPr="009672FC">
        <w:rPr>
          <w:rFonts w:ascii="Garamond" w:hAnsi="Garamond"/>
          <w:noProof/>
        </w:rPr>
        <w:t>(3), 417–443. https://doi.org/10.1007/s10726-018-9564-z</w:t>
      </w:r>
    </w:p>
    <w:p w14:paraId="487FB4D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Rowley, J. (2000). Using Case Studies in Research. </w:t>
      </w:r>
      <w:r w:rsidRPr="009672FC">
        <w:rPr>
          <w:rFonts w:ascii="Garamond" w:hAnsi="Garamond"/>
          <w:i/>
          <w:iCs/>
          <w:noProof/>
        </w:rPr>
        <w:t>Management Research News</w:t>
      </w:r>
      <w:r w:rsidRPr="009672FC">
        <w:rPr>
          <w:rFonts w:ascii="Garamond" w:hAnsi="Garamond"/>
          <w:noProof/>
        </w:rPr>
        <w:t xml:space="preserve">, </w:t>
      </w:r>
      <w:r w:rsidRPr="009672FC">
        <w:rPr>
          <w:rFonts w:ascii="Garamond" w:hAnsi="Garamond"/>
          <w:i/>
          <w:iCs/>
          <w:noProof/>
        </w:rPr>
        <w:t>25</w:t>
      </w:r>
      <w:r w:rsidRPr="009672FC">
        <w:rPr>
          <w:rFonts w:ascii="Garamond" w:hAnsi="Garamond"/>
          <w:noProof/>
        </w:rPr>
        <w:t>, 16–27.</w:t>
      </w:r>
    </w:p>
    <w:p w14:paraId="664A8EC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Ruuska, I., Ahola, T., Artto, K., Locatelli, G., &amp; Mancini, M. (2011). A new governance approach for multi-firm projects: Lessons from Olkiluoto 3 and Flamanville 3 nuclear power plant projects.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(6), 647–660. https://doi.org/10.1016/j.ijproman.2010.10.001</w:t>
      </w:r>
    </w:p>
    <w:p w14:paraId="07CF58C7" w14:textId="77777777" w:rsidR="008F28E0"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Rzepka, A. (2019). Innovation, inter-organizational relation, and co-operation between enterprises </w:t>
      </w:r>
      <w:r w:rsidRPr="009672FC">
        <w:rPr>
          <w:rFonts w:ascii="Garamond" w:hAnsi="Garamond"/>
          <w:noProof/>
        </w:rPr>
        <w:lastRenderedPageBreak/>
        <w:t xml:space="preserve">in Podkarpacie region in Poland. </w:t>
      </w:r>
      <w:r w:rsidRPr="009672FC">
        <w:rPr>
          <w:rFonts w:ascii="Garamond" w:hAnsi="Garamond"/>
          <w:i/>
          <w:iCs/>
          <w:noProof/>
        </w:rPr>
        <w:t>Procedia Manufacturing</w:t>
      </w:r>
      <w:r w:rsidRPr="009672FC">
        <w:rPr>
          <w:rFonts w:ascii="Garamond" w:hAnsi="Garamond"/>
          <w:noProof/>
        </w:rPr>
        <w:t xml:space="preserve">, </w:t>
      </w:r>
      <w:r w:rsidRPr="009672FC">
        <w:rPr>
          <w:rFonts w:ascii="Garamond" w:hAnsi="Garamond"/>
          <w:i/>
          <w:iCs/>
          <w:noProof/>
        </w:rPr>
        <w:t>30</w:t>
      </w:r>
      <w:r w:rsidRPr="009672FC">
        <w:rPr>
          <w:rFonts w:ascii="Garamond" w:hAnsi="Garamond"/>
          <w:noProof/>
        </w:rPr>
        <w:t>, 642–649. https://doi.org/10.1016/j.promfg.2019.02.091</w:t>
      </w:r>
      <w:r w:rsidR="008F28E0" w:rsidRPr="009672FC">
        <w:rPr>
          <w:rFonts w:ascii="Garamond" w:hAnsi="Garamond"/>
          <w:noProof/>
        </w:rPr>
        <w:t>.</w:t>
      </w:r>
    </w:p>
    <w:p w14:paraId="1F61DF87" w14:textId="77777777" w:rsidR="008F28E0" w:rsidRPr="009672FC" w:rsidRDefault="008F28E0"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rPr>
        <w:t>Scott, W.R. 2001. Institutions and Organizations. 2nd edn. Thousand Oaks: Sage</w:t>
      </w:r>
      <w:r w:rsidRPr="009672FC">
        <w:rPr>
          <w:rFonts w:ascii="Garamond" w:hAnsi="Garamond"/>
          <w:noProof/>
        </w:rPr>
        <w:t>.</w:t>
      </w:r>
    </w:p>
    <w:p w14:paraId="1A0A2017" w14:textId="08C90DC5" w:rsidR="00813D37" w:rsidRPr="009672FC" w:rsidRDefault="00813D37" w:rsidP="008F28E0">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Sacchetti, S., &amp; Tortia, E. (2016). The Extended Governance of Cooperative Firms: Inter-Firm Coordination and Consistency of Values. </w:t>
      </w:r>
      <w:r w:rsidRPr="009672FC">
        <w:rPr>
          <w:rFonts w:ascii="Garamond" w:hAnsi="Garamond"/>
          <w:i/>
          <w:iCs/>
          <w:noProof/>
        </w:rPr>
        <w:t>Annals of Public and Cooperative Economics</w:t>
      </w:r>
      <w:r w:rsidRPr="009672FC">
        <w:rPr>
          <w:rFonts w:ascii="Garamond" w:hAnsi="Garamond"/>
          <w:noProof/>
        </w:rPr>
        <w:t xml:space="preserve">, </w:t>
      </w:r>
      <w:r w:rsidRPr="009672FC">
        <w:rPr>
          <w:rFonts w:ascii="Garamond" w:hAnsi="Garamond"/>
          <w:i/>
          <w:iCs/>
          <w:noProof/>
        </w:rPr>
        <w:t>87</w:t>
      </w:r>
      <w:r w:rsidRPr="009672FC">
        <w:rPr>
          <w:rFonts w:ascii="Garamond" w:hAnsi="Garamond"/>
          <w:noProof/>
        </w:rPr>
        <w:t>(1), 93–116. https://doi.org/10.1111/apce.12058</w:t>
      </w:r>
      <w:r w:rsidR="008F28E0" w:rsidRPr="009672FC">
        <w:rPr>
          <w:rFonts w:ascii="Garamond" w:hAnsi="Garamond"/>
          <w:noProof/>
        </w:rPr>
        <w:t>.</w:t>
      </w:r>
    </w:p>
    <w:p w14:paraId="117DD14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Saldaña, J. (2013). </w:t>
      </w:r>
      <w:r w:rsidRPr="009672FC">
        <w:rPr>
          <w:rFonts w:ascii="Garamond" w:hAnsi="Garamond"/>
          <w:i/>
          <w:iCs/>
          <w:noProof/>
        </w:rPr>
        <w:t>The Coding Manual for Qualitative Researchers</w:t>
      </w:r>
      <w:r w:rsidRPr="009672FC">
        <w:rPr>
          <w:rFonts w:ascii="Garamond" w:hAnsi="Garamond"/>
          <w:noProof/>
        </w:rPr>
        <w:t xml:space="preserve">. </w:t>
      </w:r>
      <w:r w:rsidRPr="009672FC">
        <w:rPr>
          <w:rFonts w:ascii="Garamond" w:hAnsi="Garamond"/>
          <w:i/>
          <w:iCs/>
          <w:noProof/>
        </w:rPr>
        <w:t>SAGE Publications Ltd (2nd Eds.)</w:t>
      </w:r>
      <w:r w:rsidRPr="009672FC">
        <w:rPr>
          <w:rFonts w:ascii="Garamond" w:hAnsi="Garamond"/>
          <w:noProof/>
        </w:rPr>
        <w:t>. https://doi.org/10.1017/cbo9780511527630.008</w:t>
      </w:r>
    </w:p>
    <w:p w14:paraId="22D31A4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Salehi, F., Zolkiewski, J., Perks, H., &amp; Bahreini, M. A. (2018). Exploration of capability and role development in an emerging technology network. </w:t>
      </w:r>
      <w:r w:rsidRPr="009672FC">
        <w:rPr>
          <w:rFonts w:ascii="Garamond" w:hAnsi="Garamond"/>
          <w:i/>
          <w:iCs/>
          <w:noProof/>
        </w:rPr>
        <w:t>Journal of Business and Industrial Marketing</w:t>
      </w:r>
      <w:r w:rsidRPr="009672FC">
        <w:rPr>
          <w:rFonts w:ascii="Garamond" w:hAnsi="Garamond"/>
          <w:noProof/>
        </w:rPr>
        <w:t xml:space="preserve">, </w:t>
      </w:r>
      <w:r w:rsidRPr="009672FC">
        <w:rPr>
          <w:rFonts w:ascii="Garamond" w:hAnsi="Garamond"/>
          <w:i/>
          <w:iCs/>
          <w:noProof/>
        </w:rPr>
        <w:t>33</w:t>
      </w:r>
      <w:r w:rsidRPr="009672FC">
        <w:rPr>
          <w:rFonts w:ascii="Garamond" w:hAnsi="Garamond"/>
          <w:noProof/>
        </w:rPr>
        <w:t>(7), 931–944. https://doi.org/10.1108/JBIM-09-2017-0211</w:t>
      </w:r>
    </w:p>
    <w:p w14:paraId="17A36B6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Sammarra, A., &amp; Biggiero, L. (2008). Heterogeneity and Specificity of Inter-Firm Knowledge Flows in Innovation Networks Alessia Sammarra and Lucio Biggiero, (June).</w:t>
      </w:r>
    </w:p>
    <w:p w14:paraId="735B6FC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Samu, S., &amp; Wymer, Jr., W. W. (2001). Nonprofit-Business Alliance Model: Formation and Outcomes. </w:t>
      </w:r>
      <w:r w:rsidRPr="009672FC">
        <w:rPr>
          <w:rFonts w:ascii="Garamond" w:hAnsi="Garamond"/>
          <w:i/>
          <w:iCs/>
          <w:noProof/>
        </w:rPr>
        <w:t>Journal of Nonprofit &amp; Public Sector Marketing</w:t>
      </w:r>
      <w:r w:rsidRPr="009672FC">
        <w:rPr>
          <w:rFonts w:ascii="Garamond" w:hAnsi="Garamond"/>
          <w:noProof/>
        </w:rPr>
        <w:t xml:space="preserve">, </w:t>
      </w:r>
      <w:r w:rsidRPr="009672FC">
        <w:rPr>
          <w:rFonts w:ascii="Garamond" w:hAnsi="Garamond"/>
          <w:i/>
          <w:iCs/>
          <w:noProof/>
        </w:rPr>
        <w:t>5142</w:t>
      </w:r>
      <w:r w:rsidRPr="009672FC">
        <w:rPr>
          <w:rFonts w:ascii="Garamond" w:hAnsi="Garamond"/>
          <w:noProof/>
        </w:rPr>
        <w:t>(2001), 45–61. https://doi.org/10.1300/J054v09n01</w:t>
      </w:r>
    </w:p>
    <w:p w14:paraId="15DC3C0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Sarkar, M. B., Aulakh, P. S., &amp; Cavusgil, S. T. (1998). The strategic role of relational bonding in interorganizational collaborations: An empirical study of the global construction industry. </w:t>
      </w:r>
      <w:r w:rsidRPr="009672FC">
        <w:rPr>
          <w:rFonts w:ascii="Garamond" w:hAnsi="Garamond"/>
          <w:i/>
          <w:iCs/>
          <w:noProof/>
        </w:rPr>
        <w:t>Journal of International Management</w:t>
      </w:r>
      <w:r w:rsidRPr="009672FC">
        <w:rPr>
          <w:rFonts w:ascii="Garamond" w:hAnsi="Garamond"/>
          <w:noProof/>
        </w:rPr>
        <w:t xml:space="preserve">, </w:t>
      </w:r>
      <w:r w:rsidRPr="009672FC">
        <w:rPr>
          <w:rFonts w:ascii="Garamond" w:hAnsi="Garamond"/>
          <w:i/>
          <w:iCs/>
          <w:noProof/>
        </w:rPr>
        <w:t>4</w:t>
      </w:r>
      <w:r w:rsidRPr="009672FC">
        <w:rPr>
          <w:rFonts w:ascii="Garamond" w:hAnsi="Garamond"/>
          <w:noProof/>
        </w:rPr>
        <w:t>(2), 85–107. https://doi.org/10.1016/S1075-4253(98)00009-X</w:t>
      </w:r>
    </w:p>
    <w:p w14:paraId="3CF883E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Sarkar, M. B., Echambadi, R. A. J., &amp; Harrison, J. S. (2001). Alliance entrepreneurship and firm market performance.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(6–7), 701–711. https://doi.org/10.1002/smj.179</w:t>
      </w:r>
    </w:p>
    <w:p w14:paraId="24E841A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Saunders, C., Wu, Y., Li, Y., &amp; Weisfeld, S. (2004). Interorganizational trust in B2B relationships. In </w:t>
      </w:r>
      <w:r w:rsidRPr="009672FC">
        <w:rPr>
          <w:rFonts w:ascii="Garamond" w:hAnsi="Garamond"/>
          <w:i/>
          <w:iCs/>
          <w:noProof/>
        </w:rPr>
        <w:t>ACM International Conference Proceeding Series</w:t>
      </w:r>
      <w:r w:rsidRPr="009672FC">
        <w:rPr>
          <w:rFonts w:ascii="Garamond" w:hAnsi="Garamond"/>
          <w:noProof/>
        </w:rPr>
        <w:t xml:space="preserve"> (Vol. 60, pp. 272–279). https://doi.org/10.1145/1052220.1052255</w:t>
      </w:r>
    </w:p>
    <w:p w14:paraId="7D2C7C1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Saunders, M., Lewis, P., &amp; Thornhill, A. (2009). </w:t>
      </w:r>
      <w:r w:rsidRPr="009672FC">
        <w:rPr>
          <w:rFonts w:ascii="Garamond" w:hAnsi="Garamond"/>
          <w:i/>
          <w:iCs/>
          <w:noProof/>
        </w:rPr>
        <w:t>Research methods for business students</w:t>
      </w:r>
      <w:r w:rsidRPr="009672FC">
        <w:rPr>
          <w:rFonts w:ascii="Garamond" w:hAnsi="Garamond"/>
          <w:noProof/>
        </w:rPr>
        <w:t xml:space="preserve"> (5th Editio). Edinburgh Gate, Harlow, Essex CM20 2JE, England: Pearson Education Limited.</w:t>
      </w:r>
    </w:p>
    <w:p w14:paraId="2EA23E7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Saxton, T. (1997). The Effects of Partner and Relationship Characteristics on Alliance Outcomes. </w:t>
      </w:r>
      <w:r w:rsidRPr="009672FC">
        <w:rPr>
          <w:rFonts w:ascii="Garamond" w:hAnsi="Garamond"/>
          <w:i/>
          <w:iCs/>
          <w:noProof/>
        </w:rPr>
        <w:t>The Academy of Management Journal</w:t>
      </w:r>
      <w:r w:rsidRPr="009672FC">
        <w:rPr>
          <w:rFonts w:ascii="Garamond" w:hAnsi="Garamond"/>
          <w:noProof/>
        </w:rPr>
        <w:t xml:space="preserve">, </w:t>
      </w:r>
      <w:r w:rsidRPr="009672FC">
        <w:rPr>
          <w:rFonts w:ascii="Garamond" w:hAnsi="Garamond"/>
          <w:i/>
          <w:iCs/>
          <w:noProof/>
        </w:rPr>
        <w:t>40</w:t>
      </w:r>
      <w:r w:rsidRPr="009672FC">
        <w:rPr>
          <w:rFonts w:ascii="Garamond" w:hAnsi="Garamond"/>
          <w:noProof/>
        </w:rPr>
        <w:t>(2), 443–461.</w:t>
      </w:r>
    </w:p>
    <w:p w14:paraId="21429A6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Schilke, O., &amp; Cook, K. S. (2013). A cross-level process theory of trust development in interorganizational relationships. </w:t>
      </w:r>
      <w:r w:rsidRPr="009672FC">
        <w:rPr>
          <w:rFonts w:ascii="Garamond" w:hAnsi="Garamond"/>
          <w:i/>
          <w:iCs/>
          <w:noProof/>
        </w:rPr>
        <w:t>Strategic Organization</w:t>
      </w:r>
      <w:r w:rsidRPr="009672FC">
        <w:rPr>
          <w:rFonts w:ascii="Garamond" w:hAnsi="Garamond"/>
          <w:noProof/>
        </w:rPr>
        <w:t xml:space="preserve">, </w:t>
      </w:r>
      <w:r w:rsidRPr="009672FC">
        <w:rPr>
          <w:rFonts w:ascii="Garamond" w:hAnsi="Garamond"/>
          <w:i/>
          <w:iCs/>
          <w:noProof/>
        </w:rPr>
        <w:t>11</w:t>
      </w:r>
      <w:r w:rsidRPr="009672FC">
        <w:rPr>
          <w:rFonts w:ascii="Garamond" w:hAnsi="Garamond"/>
          <w:noProof/>
        </w:rPr>
        <w:t>(3), 281–303. https://doi.org/10.1177/1476127012472096</w:t>
      </w:r>
    </w:p>
    <w:p w14:paraId="132AD02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Scuotto, V., Santoro, G., Bresciani, S., &amp; Del Giudice, M. (2017). Shifting intra- and inter-organizational innovation processes towards digital business: An empirical analysis of SMEs. </w:t>
      </w:r>
      <w:r w:rsidRPr="009672FC">
        <w:rPr>
          <w:rFonts w:ascii="Garamond" w:hAnsi="Garamond"/>
          <w:i/>
          <w:iCs/>
          <w:noProof/>
        </w:rPr>
        <w:lastRenderedPageBreak/>
        <w:t>Creativity and Innovation Management</w:t>
      </w:r>
      <w:r w:rsidRPr="009672FC">
        <w:rPr>
          <w:rFonts w:ascii="Garamond" w:hAnsi="Garamond"/>
          <w:noProof/>
        </w:rPr>
        <w:t xml:space="preserve">, </w:t>
      </w:r>
      <w:r w:rsidRPr="009672FC">
        <w:rPr>
          <w:rFonts w:ascii="Garamond" w:hAnsi="Garamond"/>
          <w:i/>
          <w:iCs/>
          <w:noProof/>
        </w:rPr>
        <w:t>26</w:t>
      </w:r>
      <w:r w:rsidRPr="009672FC">
        <w:rPr>
          <w:rFonts w:ascii="Garamond" w:hAnsi="Garamond"/>
          <w:noProof/>
        </w:rPr>
        <w:t>(3), 247–255. https://doi.org/10.1111/caim.12221</w:t>
      </w:r>
    </w:p>
    <w:p w14:paraId="6C7FC3A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Sedita, S. R. (2008). Interpersonal and inter-organizational networks in the performing arts: The case of project-based organizations in the live music industry. </w:t>
      </w:r>
      <w:r w:rsidRPr="009672FC">
        <w:rPr>
          <w:rFonts w:ascii="Garamond" w:hAnsi="Garamond"/>
          <w:i/>
          <w:iCs/>
          <w:noProof/>
        </w:rPr>
        <w:t>Industry and Innovation</w:t>
      </w:r>
      <w:r w:rsidRPr="009672FC">
        <w:rPr>
          <w:rFonts w:ascii="Garamond" w:hAnsi="Garamond"/>
          <w:noProof/>
        </w:rPr>
        <w:t xml:space="preserve">, </w:t>
      </w:r>
      <w:r w:rsidRPr="009672FC">
        <w:rPr>
          <w:rFonts w:ascii="Garamond" w:hAnsi="Garamond"/>
          <w:i/>
          <w:iCs/>
          <w:noProof/>
        </w:rPr>
        <w:t>15</w:t>
      </w:r>
      <w:r w:rsidRPr="009672FC">
        <w:rPr>
          <w:rFonts w:ascii="Garamond" w:hAnsi="Garamond"/>
          <w:noProof/>
        </w:rPr>
        <w:t>(5), 493–511. https://doi.org/10.1080/13662710802373833</w:t>
      </w:r>
    </w:p>
    <w:p w14:paraId="7C82B27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Sengupta, S., Castaldi, R. M., &amp; Silverman, M. (2000). A dependence-trust modelm of export alliance performance in small and medium enterprises (SMEs). </w:t>
      </w:r>
      <w:r w:rsidRPr="009672FC">
        <w:rPr>
          <w:rFonts w:ascii="Garamond" w:hAnsi="Garamond"/>
          <w:i/>
          <w:iCs/>
          <w:noProof/>
        </w:rPr>
        <w:t>Journal of Transnational Management Development</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(4), 25–40. https://doi.org/10.1300/J130v05n04_03</w:t>
      </w:r>
    </w:p>
    <w:p w14:paraId="3D0476C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Shamsuzzoha, A., Al-Kindi, M., &amp; Al-Hinai, N. (2018). Open innovation in small and medium size enterprises-perspective from virtual collaboration. </w:t>
      </w:r>
      <w:r w:rsidRPr="009672FC">
        <w:rPr>
          <w:rFonts w:ascii="Garamond" w:hAnsi="Garamond"/>
          <w:i/>
          <w:iCs/>
          <w:noProof/>
        </w:rPr>
        <w:t>International Journal of Engineering and Technology Innovation</w:t>
      </w:r>
      <w:r w:rsidRPr="009672FC">
        <w:rPr>
          <w:rFonts w:ascii="Garamond" w:hAnsi="Garamond"/>
          <w:noProof/>
        </w:rPr>
        <w:t xml:space="preserve">, </w:t>
      </w:r>
      <w:r w:rsidRPr="009672FC">
        <w:rPr>
          <w:rFonts w:ascii="Garamond" w:hAnsi="Garamond"/>
          <w:i/>
          <w:iCs/>
          <w:noProof/>
        </w:rPr>
        <w:t>8</w:t>
      </w:r>
      <w:r w:rsidRPr="009672FC">
        <w:rPr>
          <w:rFonts w:ascii="Garamond" w:hAnsi="Garamond"/>
          <w:noProof/>
        </w:rPr>
        <w:t>(3), 173–190.</w:t>
      </w:r>
    </w:p>
    <w:p w14:paraId="6F4DDFD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Shaw, E., &amp; Carter, S. (2007). Social entrepreneurship: Theoretical antecedents and empirical analysis of entrepreneurial processes and outcomes. </w:t>
      </w:r>
      <w:r w:rsidRPr="009672FC">
        <w:rPr>
          <w:rFonts w:ascii="Garamond" w:hAnsi="Garamond"/>
          <w:i/>
          <w:iCs/>
          <w:noProof/>
        </w:rPr>
        <w:t>Journal of Small Business and Enterprise Development</w:t>
      </w:r>
      <w:r w:rsidRPr="009672FC">
        <w:rPr>
          <w:rFonts w:ascii="Garamond" w:hAnsi="Garamond"/>
          <w:noProof/>
        </w:rPr>
        <w:t xml:space="preserve">, </w:t>
      </w:r>
      <w:r w:rsidRPr="009672FC">
        <w:rPr>
          <w:rFonts w:ascii="Garamond" w:hAnsi="Garamond"/>
          <w:i/>
          <w:iCs/>
          <w:noProof/>
        </w:rPr>
        <w:t>14</w:t>
      </w:r>
      <w:r w:rsidRPr="009672FC">
        <w:rPr>
          <w:rFonts w:ascii="Garamond" w:hAnsi="Garamond"/>
          <w:noProof/>
        </w:rPr>
        <w:t>(3), 418–434. https://doi.org/10.1108/14626000710773529</w:t>
      </w:r>
    </w:p>
    <w:p w14:paraId="1991781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Shazi, R., Gillespie, N., &amp; Steen, J. (2015). Trust as a predictor of innovation network ties in project teams.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33</w:t>
      </w:r>
      <w:r w:rsidRPr="009672FC">
        <w:rPr>
          <w:rFonts w:ascii="Garamond" w:hAnsi="Garamond"/>
          <w:noProof/>
        </w:rPr>
        <w:t>(1), 81–91. https://doi.org/10.1016/j.ijproman.2014.06.001</w:t>
      </w:r>
    </w:p>
    <w:p w14:paraId="7CB84EA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Shenhar, A. J., &amp; Dvir, D. (1996). Toward a typological theory of project management. </w:t>
      </w:r>
      <w:r w:rsidRPr="009672FC">
        <w:rPr>
          <w:rFonts w:ascii="Garamond" w:hAnsi="Garamond"/>
          <w:i/>
          <w:iCs/>
          <w:noProof/>
        </w:rPr>
        <w:t>Research Policy</w:t>
      </w:r>
      <w:r w:rsidRPr="009672FC">
        <w:rPr>
          <w:rFonts w:ascii="Garamond" w:hAnsi="Garamond"/>
          <w:noProof/>
        </w:rPr>
        <w:t xml:space="preserve">, </w:t>
      </w:r>
      <w:r w:rsidRPr="009672FC">
        <w:rPr>
          <w:rFonts w:ascii="Garamond" w:hAnsi="Garamond"/>
          <w:i/>
          <w:iCs/>
          <w:noProof/>
        </w:rPr>
        <w:t>25</w:t>
      </w:r>
      <w:r w:rsidRPr="009672FC">
        <w:rPr>
          <w:rFonts w:ascii="Garamond" w:hAnsi="Garamond"/>
          <w:noProof/>
        </w:rPr>
        <w:t>(4), 607–632. https://doi.org/10.1016/0048-7333(95)00877-2</w:t>
      </w:r>
    </w:p>
    <w:p w14:paraId="45ADA5F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Sheppard, B. H., &amp; Sherman, D. M. (1998a). The Grammars of Trust</w:t>
      </w:r>
      <w:r w:rsidRPr="009672FC">
        <w:rPr>
          <w:noProof/>
        </w:rPr>
        <w:t> </w:t>
      </w:r>
      <w:r w:rsidRPr="009672FC">
        <w:rPr>
          <w:rFonts w:ascii="Garamond" w:hAnsi="Garamond"/>
          <w:noProof/>
        </w:rPr>
        <w:t xml:space="preserve">: A Model and General Implications. </w:t>
      </w:r>
      <w:r w:rsidRPr="009672FC">
        <w:rPr>
          <w:rFonts w:ascii="Garamond" w:hAnsi="Garamond"/>
          <w:i/>
          <w:iCs/>
          <w:noProof/>
        </w:rPr>
        <w:t>The Academy of Management Review</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(3), 422–437.</w:t>
      </w:r>
    </w:p>
    <w:p w14:paraId="31C5048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Sheppard, B. H., &amp; Sherman, D. M. (1998b). The Grammars of Trust: A Model and General Implications. </w:t>
      </w:r>
      <w:r w:rsidRPr="009672FC">
        <w:rPr>
          <w:rFonts w:ascii="Garamond" w:hAnsi="Garamond"/>
          <w:i/>
          <w:iCs/>
          <w:noProof/>
        </w:rPr>
        <w:t>Academy of Management</w:t>
      </w:r>
      <w:r w:rsidRPr="009672FC">
        <w:rPr>
          <w:rFonts w:ascii="Garamond" w:hAnsi="Garamond"/>
          <w:noProof/>
        </w:rPr>
        <w:t xml:space="preserve">, </w:t>
      </w:r>
      <w:r w:rsidRPr="009672FC">
        <w:rPr>
          <w:rFonts w:ascii="Garamond" w:hAnsi="Garamond"/>
          <w:i/>
          <w:iCs/>
          <w:noProof/>
        </w:rPr>
        <w:t>23</w:t>
      </w:r>
      <w:r w:rsidRPr="009672FC">
        <w:rPr>
          <w:rFonts w:ascii="Garamond" w:hAnsi="Garamond"/>
          <w:noProof/>
        </w:rPr>
        <w:t>(3), 422–437.</w:t>
      </w:r>
    </w:p>
    <w:p w14:paraId="6E4B2B9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Shockey-Zalabak, P., Ellis, K., &amp; Winograd, G. (2000). Organizational Trust: What It Means, Why It Matters? </w:t>
      </w:r>
      <w:r w:rsidRPr="009672FC">
        <w:rPr>
          <w:rFonts w:ascii="Garamond" w:hAnsi="Garamond"/>
          <w:i/>
          <w:iCs/>
          <w:noProof/>
        </w:rPr>
        <w:t>Orgaization Development Journal.</w:t>
      </w:r>
      <w:r w:rsidRPr="009672FC">
        <w:rPr>
          <w:rFonts w:ascii="Garamond" w:hAnsi="Garamond"/>
          <w:noProof/>
        </w:rPr>
        <w:t xml:space="preserve">, </w:t>
      </w:r>
      <w:r w:rsidRPr="009672FC">
        <w:rPr>
          <w:rFonts w:ascii="Garamond" w:hAnsi="Garamond"/>
          <w:i/>
          <w:iCs/>
          <w:noProof/>
        </w:rPr>
        <w:t>18</w:t>
      </w:r>
      <w:r w:rsidRPr="009672FC">
        <w:rPr>
          <w:rFonts w:ascii="Garamond" w:hAnsi="Garamond"/>
          <w:noProof/>
        </w:rPr>
        <w:t>(4), 35.</w:t>
      </w:r>
    </w:p>
    <w:p w14:paraId="54D458C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Shockley-Zalabak, P. S., &amp; Morreale, S. P. (2011). Building High-trust Organizations. </w:t>
      </w:r>
      <w:r w:rsidRPr="009672FC">
        <w:rPr>
          <w:rFonts w:ascii="Garamond" w:hAnsi="Garamond"/>
          <w:i/>
          <w:iCs/>
          <w:noProof/>
        </w:rPr>
        <w:t>Leader to Leader</w:t>
      </w:r>
      <w:r w:rsidRPr="009672FC">
        <w:rPr>
          <w:rFonts w:ascii="Garamond" w:hAnsi="Garamond"/>
          <w:noProof/>
        </w:rPr>
        <w:t xml:space="preserve">, </w:t>
      </w:r>
      <w:r w:rsidRPr="009672FC">
        <w:rPr>
          <w:rFonts w:ascii="Garamond" w:hAnsi="Garamond"/>
          <w:i/>
          <w:iCs/>
          <w:noProof/>
        </w:rPr>
        <w:t>60</w:t>
      </w:r>
      <w:r w:rsidRPr="009672FC">
        <w:rPr>
          <w:rFonts w:ascii="Garamond" w:hAnsi="Garamond"/>
          <w:noProof/>
        </w:rPr>
        <w:t>, 39–45.</w:t>
      </w:r>
    </w:p>
    <w:p w14:paraId="715EE68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Singh, U., &amp; Srivastava, K. B. L. (2009). Interpersonal trust and organizational citizenship behavior. </w:t>
      </w:r>
      <w:r w:rsidRPr="009672FC">
        <w:rPr>
          <w:rFonts w:ascii="Garamond" w:hAnsi="Garamond"/>
          <w:i/>
          <w:iCs/>
          <w:noProof/>
        </w:rPr>
        <w:t>Psychological Studies</w:t>
      </w:r>
      <w:r w:rsidRPr="009672FC">
        <w:rPr>
          <w:rFonts w:ascii="Garamond" w:hAnsi="Garamond"/>
          <w:noProof/>
        </w:rPr>
        <w:t xml:space="preserve">, </w:t>
      </w:r>
      <w:r w:rsidRPr="009672FC">
        <w:rPr>
          <w:rFonts w:ascii="Garamond" w:hAnsi="Garamond"/>
          <w:i/>
          <w:iCs/>
          <w:noProof/>
        </w:rPr>
        <w:t>54</w:t>
      </w:r>
      <w:r w:rsidRPr="009672FC">
        <w:rPr>
          <w:rFonts w:ascii="Garamond" w:hAnsi="Garamond"/>
          <w:noProof/>
        </w:rPr>
        <w:t>(1), 65–76. https://doi.org/10.1007/s12646-009-0008-3</w:t>
      </w:r>
    </w:p>
    <w:p w14:paraId="60BE4B7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Six, F. E. (2007). Building interpersonal trust within organizations</w:t>
      </w:r>
      <w:r w:rsidRPr="009672FC">
        <w:rPr>
          <w:noProof/>
        </w:rPr>
        <w:t> </w:t>
      </w:r>
      <w:r w:rsidRPr="009672FC">
        <w:rPr>
          <w:rFonts w:ascii="Garamond" w:hAnsi="Garamond"/>
          <w:noProof/>
        </w:rPr>
        <w:t xml:space="preserve">: a relational signalling perspective. </w:t>
      </w:r>
      <w:r w:rsidRPr="009672FC">
        <w:rPr>
          <w:rFonts w:ascii="Garamond" w:hAnsi="Garamond"/>
          <w:i/>
          <w:iCs/>
          <w:noProof/>
        </w:rPr>
        <w:t>Journal of Management Governance</w:t>
      </w:r>
      <w:r w:rsidRPr="009672FC">
        <w:rPr>
          <w:rFonts w:ascii="Garamond" w:hAnsi="Garamond"/>
          <w:noProof/>
        </w:rPr>
        <w:t xml:space="preserve">, </w:t>
      </w:r>
      <w:r w:rsidRPr="009672FC">
        <w:rPr>
          <w:rFonts w:ascii="Garamond" w:hAnsi="Garamond"/>
          <w:i/>
          <w:iCs/>
          <w:noProof/>
        </w:rPr>
        <w:t>11</w:t>
      </w:r>
      <w:r w:rsidRPr="009672FC">
        <w:rPr>
          <w:rFonts w:ascii="Garamond" w:hAnsi="Garamond"/>
          <w:noProof/>
        </w:rPr>
        <w:t>, 285–309. https://doi.org/10.1007/s10997-007-9030-9</w:t>
      </w:r>
    </w:p>
    <w:p w14:paraId="7F6100B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Six, F., &amp; Sorge, A. (2008). Creating a High-Trust Organization</w:t>
      </w:r>
      <w:r w:rsidRPr="009672FC">
        <w:rPr>
          <w:noProof/>
        </w:rPr>
        <w:t> </w:t>
      </w:r>
      <w:r w:rsidRPr="009672FC">
        <w:rPr>
          <w:rFonts w:ascii="Garamond" w:hAnsi="Garamond"/>
          <w:noProof/>
        </w:rPr>
        <w:t xml:space="preserve">: An Exploration into Organizational Policies that Stimulate Interpersonal Trust Building. </w:t>
      </w:r>
      <w:r w:rsidRPr="009672FC">
        <w:rPr>
          <w:rFonts w:ascii="Garamond" w:hAnsi="Garamond"/>
          <w:i/>
          <w:iCs/>
          <w:noProof/>
        </w:rPr>
        <w:t>Journal of Management Studies</w:t>
      </w:r>
      <w:r w:rsidRPr="009672FC">
        <w:rPr>
          <w:rFonts w:ascii="Garamond" w:hAnsi="Garamond"/>
          <w:noProof/>
        </w:rPr>
        <w:t xml:space="preserve">, </w:t>
      </w:r>
      <w:r w:rsidRPr="009672FC">
        <w:rPr>
          <w:rFonts w:ascii="Garamond" w:hAnsi="Garamond"/>
          <w:i/>
          <w:iCs/>
          <w:noProof/>
        </w:rPr>
        <w:t>45</w:t>
      </w:r>
      <w:r w:rsidRPr="009672FC">
        <w:rPr>
          <w:rFonts w:ascii="Garamond" w:hAnsi="Garamond"/>
          <w:noProof/>
        </w:rPr>
        <w:t>(5), 857–884. https://doi.org/10.1111/j.1467-6486.2007.00763.x</w:t>
      </w:r>
    </w:p>
    <w:p w14:paraId="476493E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Söderlund, J., Hobbs, B., &amp; Ahola, T. (2014). Project-based and temporary organizing: Reconnecting and rediscovering.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32</w:t>
      </w:r>
      <w:r w:rsidRPr="009672FC">
        <w:rPr>
          <w:rFonts w:ascii="Garamond" w:hAnsi="Garamond"/>
          <w:noProof/>
        </w:rPr>
        <w:t>(7), 1085–1090. https://doi.org/10.1016/j.ijproman.2014.06.008</w:t>
      </w:r>
    </w:p>
    <w:p w14:paraId="788B5D8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Spang, K., &amp; Riemann, S. (2014). Partnering in Infrastructure Projects in Germany. </w:t>
      </w:r>
      <w:r w:rsidRPr="009672FC">
        <w:rPr>
          <w:rFonts w:ascii="Garamond" w:hAnsi="Garamond"/>
          <w:i/>
          <w:iCs/>
          <w:noProof/>
        </w:rPr>
        <w:t>Procedia - Social and Behavioral Sciences</w:t>
      </w:r>
      <w:r w:rsidRPr="009672FC">
        <w:rPr>
          <w:rFonts w:ascii="Garamond" w:hAnsi="Garamond"/>
          <w:noProof/>
        </w:rPr>
        <w:t xml:space="preserve">, </w:t>
      </w:r>
      <w:r w:rsidRPr="009672FC">
        <w:rPr>
          <w:rFonts w:ascii="Garamond" w:hAnsi="Garamond"/>
          <w:i/>
          <w:iCs/>
          <w:noProof/>
        </w:rPr>
        <w:t>119</w:t>
      </w:r>
      <w:r w:rsidRPr="009672FC">
        <w:rPr>
          <w:rFonts w:ascii="Garamond" w:hAnsi="Garamond"/>
          <w:noProof/>
        </w:rPr>
        <w:t>(0), 219–228. https://doi.org/10.1016/j.sbspro.2014.03.026</w:t>
      </w:r>
    </w:p>
    <w:p w14:paraId="15902F5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Spinelli, A., &amp; Pellino, G. (2020). COVID-19 pandemic: perspectives on an unfolding crisis. </w:t>
      </w:r>
      <w:r w:rsidRPr="009672FC">
        <w:rPr>
          <w:rFonts w:ascii="Garamond" w:hAnsi="Garamond"/>
          <w:i/>
          <w:iCs/>
          <w:noProof/>
        </w:rPr>
        <w:t>British Journal of Surgery</w:t>
      </w:r>
      <w:r w:rsidRPr="009672FC">
        <w:rPr>
          <w:rFonts w:ascii="Garamond" w:hAnsi="Garamond"/>
          <w:noProof/>
        </w:rPr>
        <w:t xml:space="preserve">, </w:t>
      </w:r>
      <w:r w:rsidRPr="009672FC">
        <w:rPr>
          <w:rFonts w:ascii="Garamond" w:hAnsi="Garamond"/>
          <w:i/>
          <w:iCs/>
          <w:noProof/>
        </w:rPr>
        <w:t>107</w:t>
      </w:r>
      <w:r w:rsidRPr="009672FC">
        <w:rPr>
          <w:rFonts w:ascii="Garamond" w:hAnsi="Garamond"/>
          <w:noProof/>
        </w:rPr>
        <w:t>(7), 785–787. https://doi.org/10.1002/bjs.11627</w:t>
      </w:r>
    </w:p>
    <w:p w14:paraId="57748C5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Storbacka, K. (2019). Actor engagement, value creation and market innovation.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80</w:t>
      </w:r>
      <w:r w:rsidRPr="009672FC">
        <w:rPr>
          <w:rFonts w:ascii="Garamond" w:hAnsi="Garamond"/>
          <w:noProof/>
        </w:rPr>
        <w:t>, 4–10. https://doi.org/10.1016/j.indmarman.2019.04.007</w:t>
      </w:r>
    </w:p>
    <w:p w14:paraId="2D38FC3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Storbacka, K., Brodie, R. J., Böhmann, T., Maglio, P. P., &amp; Nenonen, S. (2016). Actor engagement as a microfoundation for value co-creation.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69</w:t>
      </w:r>
      <w:r w:rsidRPr="009672FC">
        <w:rPr>
          <w:rFonts w:ascii="Garamond" w:hAnsi="Garamond"/>
          <w:noProof/>
        </w:rPr>
        <w:t>(8), 3008–3017. https://doi.org/10.1016/j.jbusres.2016.02.034</w:t>
      </w:r>
    </w:p>
    <w:p w14:paraId="7E30813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Storbacka, K., &amp; Nenonen, S. (2011). Markets as configurations. </w:t>
      </w:r>
      <w:r w:rsidRPr="009672FC">
        <w:rPr>
          <w:rFonts w:ascii="Garamond" w:hAnsi="Garamond"/>
          <w:i/>
          <w:iCs/>
          <w:noProof/>
        </w:rPr>
        <w:t>European Journal of Marketing</w:t>
      </w:r>
      <w:r w:rsidRPr="009672FC">
        <w:rPr>
          <w:rFonts w:ascii="Garamond" w:hAnsi="Garamond"/>
          <w:noProof/>
        </w:rPr>
        <w:t xml:space="preserve">, </w:t>
      </w:r>
      <w:r w:rsidRPr="009672FC">
        <w:rPr>
          <w:rFonts w:ascii="Garamond" w:hAnsi="Garamond"/>
          <w:i/>
          <w:iCs/>
          <w:noProof/>
        </w:rPr>
        <w:t>45</w:t>
      </w:r>
      <w:r w:rsidRPr="009672FC">
        <w:rPr>
          <w:rFonts w:ascii="Garamond" w:hAnsi="Garamond"/>
          <w:noProof/>
        </w:rPr>
        <w:t>(1), 241–258. https://doi.org/10.1108/03090561111095685</w:t>
      </w:r>
    </w:p>
    <w:p w14:paraId="25D97CB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Straiter, K. L. (2005). The Effects of Supervisors’ Trust of Subordinates and their Organization on Job Satisfaction and Organizational Commitment. </w:t>
      </w:r>
      <w:r w:rsidRPr="009672FC">
        <w:rPr>
          <w:rFonts w:ascii="Garamond" w:hAnsi="Garamond"/>
          <w:i/>
          <w:iCs/>
          <w:noProof/>
        </w:rPr>
        <w:t>International Journal of Leadership Studies Previous Studies</w:t>
      </w:r>
      <w:r w:rsidRPr="009672FC">
        <w:rPr>
          <w:rFonts w:ascii="Garamond" w:hAnsi="Garamond"/>
          <w:noProof/>
        </w:rPr>
        <w:t xml:space="preserve">, </w:t>
      </w:r>
      <w:r w:rsidRPr="009672FC">
        <w:rPr>
          <w:rFonts w:ascii="Garamond" w:hAnsi="Garamond"/>
          <w:i/>
          <w:iCs/>
          <w:noProof/>
        </w:rPr>
        <w:t>1</w:t>
      </w:r>
      <w:r w:rsidRPr="009672FC">
        <w:rPr>
          <w:rFonts w:ascii="Garamond" w:hAnsi="Garamond"/>
          <w:noProof/>
        </w:rPr>
        <w:t>(1), 86–101.</w:t>
      </w:r>
    </w:p>
    <w:p w14:paraId="23921D4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Stuart, T. E. (2000). Interorganizational Alliances and the Performance of Firms</w:t>
      </w:r>
      <w:r w:rsidRPr="009672FC">
        <w:rPr>
          <w:noProof/>
        </w:rPr>
        <w:t> </w:t>
      </w:r>
      <w:r w:rsidRPr="009672FC">
        <w:rPr>
          <w:rFonts w:ascii="Garamond" w:hAnsi="Garamond"/>
          <w:noProof/>
        </w:rPr>
        <w:t xml:space="preserve">: A Study of Growth and Innovation Rates in a High-Technology Industry. </w:t>
      </w:r>
      <w:r w:rsidRPr="009672FC">
        <w:rPr>
          <w:rFonts w:ascii="Garamond" w:hAnsi="Garamond"/>
          <w:i/>
          <w:iCs/>
          <w:noProof/>
        </w:rPr>
        <w:t>Strategic Management Journal</w:t>
      </w:r>
      <w:r w:rsidRPr="009672FC">
        <w:rPr>
          <w:rFonts w:ascii="Garamond" w:hAnsi="Garamond"/>
          <w:noProof/>
        </w:rPr>
        <w:t xml:space="preserve">, </w:t>
      </w:r>
      <w:r w:rsidRPr="009672FC">
        <w:rPr>
          <w:rFonts w:ascii="Garamond" w:hAnsi="Garamond"/>
          <w:i/>
          <w:iCs/>
          <w:noProof/>
        </w:rPr>
        <w:t>21</w:t>
      </w:r>
      <w:r w:rsidRPr="009672FC">
        <w:rPr>
          <w:rFonts w:ascii="Garamond" w:hAnsi="Garamond"/>
          <w:noProof/>
        </w:rPr>
        <w:t>(8), 791–811.</w:t>
      </w:r>
    </w:p>
    <w:p w14:paraId="3779C10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Su-rong, Z., &amp; Wen-ping, W. (2012). Inter-firm Networks, Organizational Learning and Knowledge Updating: An Empirical Study. </w:t>
      </w:r>
      <w:r w:rsidRPr="009672FC">
        <w:rPr>
          <w:rFonts w:ascii="Garamond" w:hAnsi="Garamond"/>
          <w:i/>
          <w:iCs/>
          <w:noProof/>
        </w:rPr>
        <w:t>Physics Procedia</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 1238–1242. https://doi.org/10.1016/j.phpro.2012.02.185</w:t>
      </w:r>
    </w:p>
    <w:p w14:paraId="54EEDEAB"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Swanson, D., Goel, L., Francisco, K., &amp; Stock, J. (2018). An analysis of supply chain management research by topic. </w:t>
      </w:r>
      <w:r w:rsidRPr="009672FC">
        <w:rPr>
          <w:rFonts w:ascii="Garamond" w:hAnsi="Garamond"/>
          <w:i/>
          <w:iCs/>
          <w:noProof/>
        </w:rPr>
        <w:t>Supply Chain Management: An International Journal</w:t>
      </w:r>
      <w:r w:rsidRPr="009672FC">
        <w:rPr>
          <w:rFonts w:ascii="Garamond" w:hAnsi="Garamond"/>
          <w:noProof/>
        </w:rPr>
        <w:t>, 1359–8546. https://doi.org/10.1108/SCM-05-2017-0166</w:t>
      </w:r>
    </w:p>
    <w:p w14:paraId="6AE117A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Taylor, D. W., &amp; Thorpe, R. (2004). Entrepreneurial learning: A process of co-participation. </w:t>
      </w:r>
      <w:r w:rsidRPr="009672FC">
        <w:rPr>
          <w:rFonts w:ascii="Garamond" w:hAnsi="Garamond"/>
          <w:i/>
          <w:iCs/>
          <w:noProof/>
        </w:rPr>
        <w:t>Journal of Small Business and Enterprise Development</w:t>
      </w:r>
      <w:r w:rsidRPr="009672FC">
        <w:rPr>
          <w:rFonts w:ascii="Garamond" w:hAnsi="Garamond"/>
          <w:noProof/>
        </w:rPr>
        <w:t xml:space="preserve">, </w:t>
      </w:r>
      <w:r w:rsidRPr="009672FC">
        <w:rPr>
          <w:rFonts w:ascii="Garamond" w:hAnsi="Garamond"/>
          <w:i/>
          <w:iCs/>
          <w:noProof/>
        </w:rPr>
        <w:t>11</w:t>
      </w:r>
      <w:r w:rsidRPr="009672FC">
        <w:rPr>
          <w:rFonts w:ascii="Garamond" w:hAnsi="Garamond"/>
          <w:noProof/>
        </w:rPr>
        <w:t>(2), 203–211. https://doi.org/10.1108/14626000410537146</w:t>
      </w:r>
    </w:p>
    <w:p w14:paraId="5854E06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Teng, B.-S. (2003). Collaborative Advantage of Strategic Alliances: Value Creation in the Value Net. </w:t>
      </w:r>
      <w:r w:rsidRPr="009672FC">
        <w:rPr>
          <w:rFonts w:ascii="Garamond" w:hAnsi="Garamond"/>
          <w:i/>
          <w:iCs/>
          <w:noProof/>
        </w:rPr>
        <w:t>Journal of General Management</w:t>
      </w:r>
      <w:r w:rsidRPr="009672FC">
        <w:rPr>
          <w:rFonts w:ascii="Garamond" w:hAnsi="Garamond"/>
          <w:noProof/>
        </w:rPr>
        <w:t xml:space="preserve">, </w:t>
      </w:r>
      <w:r w:rsidRPr="009672FC">
        <w:rPr>
          <w:rFonts w:ascii="Garamond" w:hAnsi="Garamond"/>
          <w:i/>
          <w:iCs/>
          <w:noProof/>
        </w:rPr>
        <w:t>29</w:t>
      </w:r>
      <w:r w:rsidRPr="009672FC">
        <w:rPr>
          <w:rFonts w:ascii="Garamond" w:hAnsi="Garamond"/>
          <w:noProof/>
        </w:rPr>
        <w:t>(2), 1–22. https://doi.org/10.1177/030630700302900201</w:t>
      </w:r>
    </w:p>
    <w:p w14:paraId="4B31593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Tharenou, P., Donohue, R., &amp; Cooper, B. (2007). </w:t>
      </w:r>
      <w:r w:rsidRPr="009672FC">
        <w:rPr>
          <w:rFonts w:ascii="Garamond" w:hAnsi="Garamond"/>
          <w:i/>
          <w:iCs/>
          <w:noProof/>
        </w:rPr>
        <w:t>Management Research Methods</w:t>
      </w:r>
      <w:r w:rsidRPr="009672FC">
        <w:rPr>
          <w:rFonts w:ascii="Garamond" w:hAnsi="Garamond"/>
          <w:noProof/>
        </w:rPr>
        <w:t>. Cambridge University Press.</w:t>
      </w:r>
    </w:p>
    <w:p w14:paraId="3F3924C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Thelwall, M. (2018). Dimensions</w:t>
      </w:r>
      <w:r w:rsidRPr="009672FC">
        <w:rPr>
          <w:noProof/>
        </w:rPr>
        <w:t> </w:t>
      </w:r>
      <w:r w:rsidRPr="009672FC">
        <w:rPr>
          <w:rFonts w:ascii="Garamond" w:hAnsi="Garamond"/>
          <w:noProof/>
        </w:rPr>
        <w:t>: A competitor to Scopus and the Web of Science</w:t>
      </w:r>
      <w:r w:rsidRPr="009672FC">
        <w:rPr>
          <w:noProof/>
        </w:rPr>
        <w:t> </w:t>
      </w:r>
      <w:r w:rsidRPr="009672FC">
        <w:rPr>
          <w:rFonts w:ascii="Garamond" w:hAnsi="Garamond"/>
          <w:noProof/>
        </w:rPr>
        <w:t xml:space="preserve">? </w:t>
      </w:r>
      <w:r w:rsidRPr="009672FC">
        <w:rPr>
          <w:rFonts w:ascii="Garamond" w:hAnsi="Garamond"/>
          <w:i/>
          <w:iCs/>
          <w:noProof/>
        </w:rPr>
        <w:t>Journal of Informetrics</w:t>
      </w:r>
      <w:r w:rsidRPr="009672FC">
        <w:rPr>
          <w:rFonts w:ascii="Garamond" w:hAnsi="Garamond"/>
          <w:noProof/>
        </w:rPr>
        <w:t xml:space="preserve">, </w:t>
      </w:r>
      <w:r w:rsidRPr="009672FC">
        <w:rPr>
          <w:rFonts w:ascii="Garamond" w:hAnsi="Garamond"/>
          <w:i/>
          <w:iCs/>
          <w:noProof/>
        </w:rPr>
        <w:t>12</w:t>
      </w:r>
      <w:r w:rsidRPr="009672FC">
        <w:rPr>
          <w:rFonts w:ascii="Garamond" w:hAnsi="Garamond"/>
          <w:noProof/>
        </w:rPr>
        <w:t>(2), 430–435. https://doi.org/10.1016/j.joi.2018.03.006</w:t>
      </w:r>
    </w:p>
    <w:p w14:paraId="0E446878"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Törnroos, J. Å., Halinen, A., &amp; Medlin, C. J. (2017). Dimensions of space in business network research.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61</w:t>
      </w:r>
      <w:r w:rsidRPr="009672FC">
        <w:rPr>
          <w:rFonts w:ascii="Garamond" w:hAnsi="Garamond"/>
          <w:noProof/>
        </w:rPr>
        <w:t>, 10–19. https://doi.org/10.1016/j.indmarman.2016.06.008</w:t>
      </w:r>
    </w:p>
    <w:p w14:paraId="7168815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Töytäri, P., Turunen, T., Klein, M., Eloranta, V., Biehl, S., &amp; Rajala, R. (2018). Aligning the Mindset and Capabilities within a Business Network for Successful Adoption of Smart Services. </w:t>
      </w:r>
      <w:r w:rsidRPr="009672FC">
        <w:rPr>
          <w:rFonts w:ascii="Garamond" w:hAnsi="Garamond"/>
          <w:i/>
          <w:iCs/>
          <w:noProof/>
        </w:rPr>
        <w:t>Journal of Product Innovation Management</w:t>
      </w:r>
      <w:r w:rsidRPr="009672FC">
        <w:rPr>
          <w:rFonts w:ascii="Garamond" w:hAnsi="Garamond"/>
          <w:noProof/>
        </w:rPr>
        <w:t xml:space="preserve">, </w:t>
      </w:r>
      <w:r w:rsidRPr="009672FC">
        <w:rPr>
          <w:rFonts w:ascii="Garamond" w:hAnsi="Garamond"/>
          <w:i/>
          <w:iCs/>
          <w:noProof/>
        </w:rPr>
        <w:t>35</w:t>
      </w:r>
      <w:r w:rsidRPr="009672FC">
        <w:rPr>
          <w:rFonts w:ascii="Garamond" w:hAnsi="Garamond"/>
          <w:noProof/>
        </w:rPr>
        <w:t>(5), 763–779. https://doi.org/10.1111/jpim.12462</w:t>
      </w:r>
    </w:p>
    <w:p w14:paraId="51368D7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Tranfield, D., Denyer, D., &amp; Smart, P. (2003). Towards a Methodology for Developing Evidence-Informed Management Knowledge by Means of Systematic Review. </w:t>
      </w:r>
      <w:r w:rsidRPr="009672FC">
        <w:rPr>
          <w:rFonts w:ascii="Garamond" w:hAnsi="Garamond"/>
          <w:i/>
          <w:iCs/>
          <w:noProof/>
        </w:rPr>
        <w:t>British Journal of Management</w:t>
      </w:r>
      <w:r w:rsidRPr="009672FC">
        <w:rPr>
          <w:rFonts w:ascii="Garamond" w:hAnsi="Garamond"/>
          <w:noProof/>
        </w:rPr>
        <w:t xml:space="preserve">, </w:t>
      </w:r>
      <w:r w:rsidRPr="009672FC">
        <w:rPr>
          <w:rFonts w:ascii="Garamond" w:hAnsi="Garamond"/>
          <w:i/>
          <w:iCs/>
          <w:noProof/>
        </w:rPr>
        <w:t>14</w:t>
      </w:r>
      <w:r w:rsidRPr="009672FC">
        <w:rPr>
          <w:rFonts w:ascii="Garamond" w:hAnsi="Garamond"/>
          <w:noProof/>
        </w:rPr>
        <w:t>, 207–222.</w:t>
      </w:r>
    </w:p>
    <w:p w14:paraId="34DEFF1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Trotter, R. T. (2012). Qualitative research sample design and sample size: Resolving and unresolved issues and inferential imperatives. </w:t>
      </w:r>
      <w:r w:rsidRPr="009672FC">
        <w:rPr>
          <w:rFonts w:ascii="Garamond" w:hAnsi="Garamond"/>
          <w:i/>
          <w:iCs/>
          <w:noProof/>
        </w:rPr>
        <w:t>Preventive Medicine</w:t>
      </w:r>
      <w:r w:rsidRPr="009672FC">
        <w:rPr>
          <w:rFonts w:ascii="Garamond" w:hAnsi="Garamond"/>
          <w:noProof/>
        </w:rPr>
        <w:t xml:space="preserve">, </w:t>
      </w:r>
      <w:r w:rsidRPr="009672FC">
        <w:rPr>
          <w:rFonts w:ascii="Garamond" w:hAnsi="Garamond"/>
          <w:i/>
          <w:iCs/>
          <w:noProof/>
        </w:rPr>
        <w:t>55</w:t>
      </w:r>
      <w:r w:rsidRPr="009672FC">
        <w:rPr>
          <w:rFonts w:ascii="Garamond" w:hAnsi="Garamond"/>
          <w:noProof/>
        </w:rPr>
        <w:t>(5), 398–400. https://doi.org/10.1016/j.ypmed.2012.07.003</w:t>
      </w:r>
    </w:p>
    <w:p w14:paraId="69ED6A9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Tsao, W., &amp; Chen, Y. (2011). A study of the impact and application of cause-corporate brand alliance on Taiwans tourist amusement industry. </w:t>
      </w:r>
      <w:r w:rsidRPr="009672FC">
        <w:rPr>
          <w:rFonts w:ascii="Garamond" w:hAnsi="Garamond"/>
          <w:i/>
          <w:iCs/>
          <w:noProof/>
        </w:rPr>
        <w:t>African Journal of Business Management</w:t>
      </w:r>
      <w:r w:rsidRPr="009672FC">
        <w:rPr>
          <w:rFonts w:ascii="Garamond" w:hAnsi="Garamond"/>
          <w:noProof/>
        </w:rPr>
        <w:t xml:space="preserve">, </w:t>
      </w:r>
      <w:r w:rsidRPr="009672FC">
        <w:rPr>
          <w:rFonts w:ascii="Garamond" w:hAnsi="Garamond"/>
          <w:i/>
          <w:iCs/>
          <w:noProof/>
        </w:rPr>
        <w:t>5</w:t>
      </w:r>
      <w:r w:rsidRPr="009672FC">
        <w:rPr>
          <w:rFonts w:ascii="Garamond" w:hAnsi="Garamond"/>
          <w:noProof/>
        </w:rPr>
        <w:t>(2), 316–331. https://doi.org/10.5897/AJBM10.089</w:t>
      </w:r>
    </w:p>
    <w:p w14:paraId="541F6DD6"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Tyssen, A. K., Wald, A., &amp; Spieth, P. (2014). The challenge of transactional and transformational leadership in projects.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32</w:t>
      </w:r>
      <w:r w:rsidRPr="009672FC">
        <w:rPr>
          <w:rFonts w:ascii="Garamond" w:hAnsi="Garamond"/>
          <w:noProof/>
        </w:rPr>
        <w:t>(3), 365–375. https://doi.org/10.1016/j.ijproman.2013.05.010</w:t>
      </w:r>
    </w:p>
    <w:p w14:paraId="54C5870E"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Urban, B. (2020). Entrepreneurial alertness, self-efficacy and social entrepreneurship intentions. </w:t>
      </w:r>
      <w:r w:rsidRPr="009672FC">
        <w:rPr>
          <w:rFonts w:ascii="Garamond" w:hAnsi="Garamond"/>
          <w:i/>
          <w:iCs/>
          <w:noProof/>
        </w:rPr>
        <w:t>Journal of Small Business and Enterprise Development</w:t>
      </w:r>
      <w:r w:rsidRPr="009672FC">
        <w:rPr>
          <w:rFonts w:ascii="Garamond" w:hAnsi="Garamond"/>
          <w:noProof/>
        </w:rPr>
        <w:t xml:space="preserve">, </w:t>
      </w:r>
      <w:r w:rsidRPr="009672FC">
        <w:rPr>
          <w:rFonts w:ascii="Garamond" w:hAnsi="Garamond"/>
          <w:i/>
          <w:iCs/>
          <w:noProof/>
        </w:rPr>
        <w:t>27</w:t>
      </w:r>
      <w:r w:rsidRPr="009672FC">
        <w:rPr>
          <w:rFonts w:ascii="Garamond" w:hAnsi="Garamond"/>
          <w:noProof/>
        </w:rPr>
        <w:t>(3), 489–507. https://doi.org/10.1108/JSBED-08-2019-0285</w:t>
      </w:r>
    </w:p>
    <w:p w14:paraId="38DAF58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Vaaland, T. I. (2004). Improving project collaboration: Start with the conflicts.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22</w:t>
      </w:r>
      <w:r w:rsidRPr="009672FC">
        <w:rPr>
          <w:rFonts w:ascii="Garamond" w:hAnsi="Garamond"/>
          <w:noProof/>
        </w:rPr>
        <w:t>(6), 447–454. https://doi.org/10.1016/j.ijproman.2003.11.003</w:t>
      </w:r>
    </w:p>
    <w:p w14:paraId="430A4D4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Vaaland, T. I., &amp; Håkansson, H. (2003). Exploring interorganizational conflict in complex projects.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32</w:t>
      </w:r>
      <w:r w:rsidRPr="009672FC">
        <w:rPr>
          <w:rFonts w:ascii="Garamond" w:hAnsi="Garamond"/>
          <w:noProof/>
        </w:rPr>
        <w:t>(2), 127–138. https://doi.org/10.1016/S0019-8501(02)00227-4</w:t>
      </w:r>
    </w:p>
    <w:p w14:paraId="7D42913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Vaccaro, A., Parente, R., &amp; Veloso, F. M. (2010). Knowledge Management Tools, Inter-Organizational Relationships, Innovation and Firm Performance. </w:t>
      </w:r>
      <w:r w:rsidRPr="009672FC">
        <w:rPr>
          <w:rFonts w:ascii="Garamond" w:hAnsi="Garamond"/>
          <w:i/>
          <w:iCs/>
          <w:noProof/>
        </w:rPr>
        <w:t>Technological Forecasting and Social Change</w:t>
      </w:r>
      <w:r w:rsidRPr="009672FC">
        <w:rPr>
          <w:rFonts w:ascii="Garamond" w:hAnsi="Garamond"/>
          <w:noProof/>
        </w:rPr>
        <w:t xml:space="preserve">, </w:t>
      </w:r>
      <w:r w:rsidRPr="009672FC">
        <w:rPr>
          <w:rFonts w:ascii="Garamond" w:hAnsi="Garamond"/>
          <w:i/>
          <w:iCs/>
          <w:noProof/>
        </w:rPr>
        <w:t>77</w:t>
      </w:r>
      <w:r w:rsidRPr="009672FC">
        <w:rPr>
          <w:rFonts w:ascii="Garamond" w:hAnsi="Garamond"/>
          <w:noProof/>
        </w:rPr>
        <w:t>(7), 1076–1089. https://doi.org/10.1016/j.techfore.2010.02.006</w:t>
      </w:r>
    </w:p>
    <w:p w14:paraId="7DC9428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Van de Ven, A. H., &amp; Ring, P. S. (2006). Handbook Of trust research. In </w:t>
      </w:r>
      <w:r w:rsidRPr="009672FC">
        <w:rPr>
          <w:rFonts w:ascii="Garamond" w:hAnsi="Garamond"/>
          <w:i/>
          <w:iCs/>
          <w:noProof/>
        </w:rPr>
        <w:t>Handbook Of Trust Research</w:t>
      </w:r>
      <w:r w:rsidRPr="009672FC">
        <w:rPr>
          <w:rFonts w:ascii="Garamond" w:hAnsi="Garamond"/>
          <w:noProof/>
        </w:rPr>
        <w:t xml:space="preserve"> (Vol. 3000, pp. 1–422). https://doi.org/10.4337/9781847202819</w:t>
      </w:r>
    </w:p>
    <w:p w14:paraId="2D09BEDC"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van Eck, N. J., &amp; Waltman, L. (2010). Software survey: VOSviewer, a computer program for bibliometric mapping. </w:t>
      </w:r>
      <w:r w:rsidRPr="009672FC">
        <w:rPr>
          <w:rFonts w:ascii="Garamond" w:hAnsi="Garamond"/>
          <w:i/>
          <w:iCs/>
          <w:noProof/>
        </w:rPr>
        <w:t>Scientometrics</w:t>
      </w:r>
      <w:r w:rsidRPr="009672FC">
        <w:rPr>
          <w:rFonts w:ascii="Garamond" w:hAnsi="Garamond"/>
          <w:noProof/>
        </w:rPr>
        <w:t xml:space="preserve">, </w:t>
      </w:r>
      <w:r w:rsidRPr="009672FC">
        <w:rPr>
          <w:rFonts w:ascii="Garamond" w:hAnsi="Garamond"/>
          <w:i/>
          <w:iCs/>
          <w:noProof/>
        </w:rPr>
        <w:t>84</w:t>
      </w:r>
      <w:r w:rsidRPr="009672FC">
        <w:rPr>
          <w:rFonts w:ascii="Garamond" w:hAnsi="Garamond"/>
          <w:noProof/>
        </w:rPr>
        <w:t>(2), 523–538. https://doi.org/10.1007/s11192-009-</w:t>
      </w:r>
      <w:r w:rsidRPr="009672FC">
        <w:rPr>
          <w:rFonts w:ascii="Garamond" w:hAnsi="Garamond"/>
          <w:noProof/>
        </w:rPr>
        <w:lastRenderedPageBreak/>
        <w:t>0146-3</w:t>
      </w:r>
    </w:p>
    <w:p w14:paraId="69EBCFF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Vangen, S., &amp; Huxham, C. (2003). Nurturing collaborative relations: Building trust in interorganizational collaboration. </w:t>
      </w:r>
      <w:r w:rsidRPr="009672FC">
        <w:rPr>
          <w:rFonts w:ascii="Garamond" w:hAnsi="Garamond"/>
          <w:i/>
          <w:iCs/>
          <w:noProof/>
        </w:rPr>
        <w:t>The Journal of Applied Behavioral Science</w:t>
      </w:r>
      <w:r w:rsidRPr="009672FC">
        <w:rPr>
          <w:rFonts w:ascii="Garamond" w:hAnsi="Garamond"/>
          <w:noProof/>
        </w:rPr>
        <w:t xml:space="preserve">, </w:t>
      </w:r>
      <w:r w:rsidRPr="009672FC">
        <w:rPr>
          <w:rFonts w:ascii="Garamond" w:hAnsi="Garamond"/>
          <w:i/>
          <w:iCs/>
          <w:noProof/>
        </w:rPr>
        <w:t>39</w:t>
      </w:r>
      <w:r w:rsidRPr="009672FC">
        <w:rPr>
          <w:rFonts w:ascii="Garamond" w:hAnsi="Garamond"/>
          <w:noProof/>
        </w:rPr>
        <w:t>(1), 5–31. https://doi.org/10.1177/0021886303253179</w:t>
      </w:r>
    </w:p>
    <w:p w14:paraId="169632F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Vargo, S. L., &amp; Lusch, R. F. (2004). Evolving to a New Dominant Logic for Marketing. </w:t>
      </w:r>
      <w:r w:rsidRPr="009672FC">
        <w:rPr>
          <w:rFonts w:ascii="Garamond" w:hAnsi="Garamond"/>
          <w:i/>
          <w:iCs/>
          <w:noProof/>
        </w:rPr>
        <w:t>Journal of Marketing</w:t>
      </w:r>
      <w:r w:rsidRPr="009672FC">
        <w:rPr>
          <w:rFonts w:ascii="Garamond" w:hAnsi="Garamond"/>
          <w:noProof/>
        </w:rPr>
        <w:t xml:space="preserve">, </w:t>
      </w:r>
      <w:r w:rsidRPr="009672FC">
        <w:rPr>
          <w:rFonts w:ascii="Garamond" w:hAnsi="Garamond"/>
          <w:i/>
          <w:iCs/>
          <w:noProof/>
        </w:rPr>
        <w:t>68</w:t>
      </w:r>
      <w:r w:rsidRPr="009672FC">
        <w:rPr>
          <w:rFonts w:ascii="Garamond" w:hAnsi="Garamond"/>
          <w:noProof/>
        </w:rPr>
        <w:t>(1), 1–17. https://doi.org/10.1509/jmkg.68.1.1.24036</w:t>
      </w:r>
    </w:p>
    <w:p w14:paraId="1B2DE75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Vargo, S. L., Wieland, H., &amp; Archpru, M. (2015). Industrial Marketing Management Innovation through institutionalization</w:t>
      </w:r>
      <w:r w:rsidRPr="009672FC">
        <w:rPr>
          <w:noProof/>
        </w:rPr>
        <w:t> </w:t>
      </w:r>
      <w:r w:rsidRPr="009672FC">
        <w:rPr>
          <w:rFonts w:ascii="Garamond" w:hAnsi="Garamond"/>
          <w:noProof/>
        </w:rPr>
        <w:t xml:space="preserve">: A service ecosystems perspective. </w:t>
      </w:r>
      <w:r w:rsidRPr="009672FC">
        <w:rPr>
          <w:rFonts w:ascii="Garamond" w:hAnsi="Garamond"/>
          <w:i/>
          <w:iCs/>
          <w:noProof/>
        </w:rPr>
        <w:t>Industrial Marketing Management</w:t>
      </w:r>
      <w:r w:rsidRPr="009672FC">
        <w:rPr>
          <w:rFonts w:ascii="Garamond" w:hAnsi="Garamond"/>
          <w:noProof/>
        </w:rPr>
        <w:t xml:space="preserve">, </w:t>
      </w:r>
      <w:r w:rsidRPr="009672FC">
        <w:rPr>
          <w:rFonts w:ascii="Garamond" w:hAnsi="Garamond"/>
          <w:i/>
          <w:iCs/>
          <w:noProof/>
        </w:rPr>
        <w:t>44</w:t>
      </w:r>
      <w:r w:rsidRPr="009672FC">
        <w:rPr>
          <w:rFonts w:ascii="Garamond" w:hAnsi="Garamond"/>
          <w:noProof/>
        </w:rPr>
        <w:t>, 63–72. https://doi.org/10.1016/j.indmarman.2014.10.008</w:t>
      </w:r>
    </w:p>
    <w:p w14:paraId="4B113552"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Verleye, K., Gemmel, P., &amp; Rangarajan, D. (2014). Managing Engagement Behaviors in a Network of Customers and Stakeholders: Evidence From the Nursing Home Sector. </w:t>
      </w:r>
      <w:r w:rsidRPr="009672FC">
        <w:rPr>
          <w:rFonts w:ascii="Garamond" w:hAnsi="Garamond"/>
          <w:i/>
          <w:iCs/>
          <w:noProof/>
        </w:rPr>
        <w:t>Journal of Service Research</w:t>
      </w:r>
      <w:r w:rsidRPr="009672FC">
        <w:rPr>
          <w:rFonts w:ascii="Garamond" w:hAnsi="Garamond"/>
          <w:noProof/>
        </w:rPr>
        <w:t xml:space="preserve">, </w:t>
      </w:r>
      <w:r w:rsidRPr="009672FC">
        <w:rPr>
          <w:rFonts w:ascii="Garamond" w:hAnsi="Garamond"/>
          <w:i/>
          <w:iCs/>
          <w:noProof/>
        </w:rPr>
        <w:t>17</w:t>
      </w:r>
      <w:r w:rsidRPr="009672FC">
        <w:rPr>
          <w:rFonts w:ascii="Garamond" w:hAnsi="Garamond"/>
          <w:noProof/>
        </w:rPr>
        <w:t>(1), 68–84. https://doi.org/10.1177/1094670513494015</w:t>
      </w:r>
    </w:p>
    <w:p w14:paraId="6E376B8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von Danwitz, S. (2018). Managing inter-firm projects: A systematic review and directions for future research. </w:t>
      </w:r>
      <w:r w:rsidRPr="009672FC">
        <w:rPr>
          <w:rFonts w:ascii="Garamond" w:hAnsi="Garamond"/>
          <w:i/>
          <w:iCs/>
          <w:noProof/>
        </w:rPr>
        <w:t>International Journal of Project Management</w:t>
      </w:r>
      <w:r w:rsidRPr="009672FC">
        <w:rPr>
          <w:rFonts w:ascii="Garamond" w:hAnsi="Garamond"/>
          <w:noProof/>
        </w:rPr>
        <w:t xml:space="preserve">, </w:t>
      </w:r>
      <w:r w:rsidRPr="009672FC">
        <w:rPr>
          <w:rFonts w:ascii="Garamond" w:hAnsi="Garamond"/>
          <w:i/>
          <w:iCs/>
          <w:noProof/>
        </w:rPr>
        <w:t>36</w:t>
      </w:r>
      <w:r w:rsidRPr="009672FC">
        <w:rPr>
          <w:rFonts w:ascii="Garamond" w:hAnsi="Garamond"/>
          <w:noProof/>
        </w:rPr>
        <w:t>(3), 525–541. https://doi.org/10.1016/j.ijproman.2017.11.004</w:t>
      </w:r>
    </w:p>
    <w:p w14:paraId="5F24BA4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von Hippel, E. (1994). “Sticky Information” and the Locus of Problem Solving: Implications for Innovation. </w:t>
      </w:r>
      <w:r w:rsidRPr="009672FC">
        <w:rPr>
          <w:rFonts w:ascii="Garamond" w:hAnsi="Garamond"/>
          <w:i/>
          <w:iCs/>
          <w:noProof/>
        </w:rPr>
        <w:t>Management Science</w:t>
      </w:r>
      <w:r w:rsidRPr="009672FC">
        <w:rPr>
          <w:rFonts w:ascii="Garamond" w:hAnsi="Garamond"/>
          <w:noProof/>
        </w:rPr>
        <w:t xml:space="preserve">, </w:t>
      </w:r>
      <w:r w:rsidRPr="009672FC">
        <w:rPr>
          <w:rFonts w:ascii="Garamond" w:hAnsi="Garamond"/>
          <w:i/>
          <w:iCs/>
          <w:noProof/>
        </w:rPr>
        <w:t>40</w:t>
      </w:r>
      <w:r w:rsidRPr="009672FC">
        <w:rPr>
          <w:rFonts w:ascii="Garamond" w:hAnsi="Garamond"/>
          <w:noProof/>
        </w:rPr>
        <w:t>(4), 429–439. https://doi.org/10.1287/mnsc.40.4.429</w:t>
      </w:r>
    </w:p>
    <w:p w14:paraId="1F0A7A6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Wagner, S. M., Eggert, A., &amp; Lindemann, E. (2010). Creating and appropriating value in collaborative relationships. </w:t>
      </w:r>
      <w:r w:rsidRPr="009672FC">
        <w:rPr>
          <w:rFonts w:ascii="Garamond" w:hAnsi="Garamond"/>
          <w:i/>
          <w:iCs/>
          <w:noProof/>
        </w:rPr>
        <w:t>Journal of Business Research</w:t>
      </w:r>
      <w:r w:rsidRPr="009672FC">
        <w:rPr>
          <w:rFonts w:ascii="Garamond" w:hAnsi="Garamond"/>
          <w:noProof/>
        </w:rPr>
        <w:t xml:space="preserve">, </w:t>
      </w:r>
      <w:r w:rsidRPr="009672FC">
        <w:rPr>
          <w:rFonts w:ascii="Garamond" w:hAnsi="Garamond"/>
          <w:i/>
          <w:iCs/>
          <w:noProof/>
        </w:rPr>
        <w:t>63</w:t>
      </w:r>
      <w:r w:rsidRPr="009672FC">
        <w:rPr>
          <w:rFonts w:ascii="Garamond" w:hAnsi="Garamond"/>
          <w:noProof/>
        </w:rPr>
        <w:t>(8), 840–848. https://doi.org/10.1016/j.jbusres.2010.01.004</w:t>
      </w:r>
    </w:p>
    <w:p w14:paraId="70058D23"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Weerawardena, J., &amp; Sullivan Mort, G. (2006). Investigating social entrepreneurship: A multidimensional model. </w:t>
      </w:r>
      <w:r w:rsidRPr="009672FC">
        <w:rPr>
          <w:rFonts w:ascii="Garamond" w:hAnsi="Garamond"/>
          <w:i/>
          <w:iCs/>
          <w:noProof/>
        </w:rPr>
        <w:t>Journal of World Business</w:t>
      </w:r>
      <w:r w:rsidRPr="009672FC">
        <w:rPr>
          <w:rFonts w:ascii="Garamond" w:hAnsi="Garamond"/>
          <w:noProof/>
        </w:rPr>
        <w:t xml:space="preserve">, </w:t>
      </w:r>
      <w:r w:rsidRPr="009672FC">
        <w:rPr>
          <w:rFonts w:ascii="Garamond" w:hAnsi="Garamond"/>
          <w:i/>
          <w:iCs/>
          <w:noProof/>
        </w:rPr>
        <w:t>41</w:t>
      </w:r>
      <w:r w:rsidRPr="009672FC">
        <w:rPr>
          <w:rFonts w:ascii="Garamond" w:hAnsi="Garamond"/>
          <w:noProof/>
        </w:rPr>
        <w:t>(1), 21–35. https://doi.org/10.1016/j.jwb.2005.09.001</w:t>
      </w:r>
    </w:p>
    <w:p w14:paraId="200476D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Weissenberger-Eibl, M., &amp; Schwenk, J. (2009). ‘“ Lifeblood knowledge ”’: dynamic relational capabilities ( DRC ) and knowledge for firm innovativeness and competitive advantage. </w:t>
      </w:r>
      <w:r w:rsidRPr="009672FC">
        <w:rPr>
          <w:rFonts w:ascii="Garamond" w:hAnsi="Garamond"/>
          <w:i/>
          <w:iCs/>
          <w:noProof/>
        </w:rPr>
        <w:t>Emerald Group Publishing Limited, ISSN 1368-3047 j Measuring Business Excellence</w:t>
      </w:r>
      <w:r w:rsidRPr="009672FC">
        <w:rPr>
          <w:rFonts w:ascii="Garamond" w:hAnsi="Garamond"/>
          <w:noProof/>
        </w:rPr>
        <w:t xml:space="preserve">, </w:t>
      </w:r>
      <w:r w:rsidRPr="009672FC">
        <w:rPr>
          <w:rFonts w:ascii="Garamond" w:hAnsi="Garamond"/>
          <w:i/>
          <w:iCs/>
          <w:noProof/>
        </w:rPr>
        <w:t>13</w:t>
      </w:r>
      <w:r w:rsidRPr="009672FC">
        <w:rPr>
          <w:rFonts w:ascii="Garamond" w:hAnsi="Garamond"/>
          <w:noProof/>
        </w:rPr>
        <w:t>(2), 7–16. https://doi.org/10.1108/13683040910961162</w:t>
      </w:r>
    </w:p>
    <w:p w14:paraId="665105ED"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WHO. (2020a). </w:t>
      </w:r>
      <w:r w:rsidRPr="009672FC">
        <w:rPr>
          <w:rFonts w:ascii="Garamond" w:hAnsi="Garamond"/>
          <w:i/>
          <w:iCs/>
          <w:noProof/>
        </w:rPr>
        <w:t>Coronavirus disease (COVID-19) Situation Report – 176</w:t>
      </w:r>
      <w:r w:rsidRPr="009672FC">
        <w:rPr>
          <w:rFonts w:ascii="Garamond" w:hAnsi="Garamond"/>
          <w:noProof/>
        </w:rPr>
        <w:t xml:space="preserve">. </w:t>
      </w:r>
      <w:r w:rsidRPr="009672FC">
        <w:rPr>
          <w:rFonts w:ascii="Garamond" w:hAnsi="Garamond"/>
          <w:i/>
          <w:iCs/>
          <w:noProof/>
        </w:rPr>
        <w:t>World Health Organization (WHO)</w:t>
      </w:r>
      <w:r w:rsidRPr="009672FC">
        <w:rPr>
          <w:rFonts w:ascii="Garamond" w:hAnsi="Garamond"/>
          <w:noProof/>
        </w:rPr>
        <w:t xml:space="preserve"> (Vol. 2019). https://doi.org/10.1001/jama.2020.2633</w:t>
      </w:r>
    </w:p>
    <w:p w14:paraId="4D5D48C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WHO. (2020b). </w:t>
      </w:r>
      <w:r w:rsidRPr="009672FC">
        <w:rPr>
          <w:rFonts w:ascii="Garamond" w:hAnsi="Garamond"/>
          <w:i/>
          <w:iCs/>
          <w:noProof/>
        </w:rPr>
        <w:t>COVID 19 Public Health Emergency of International Concern (PHEIC)</w:t>
      </w:r>
      <w:r w:rsidRPr="009672FC">
        <w:rPr>
          <w:rFonts w:ascii="Garamond" w:hAnsi="Garamond"/>
          <w:noProof/>
        </w:rPr>
        <w:t>.</w:t>
      </w:r>
    </w:p>
    <w:p w14:paraId="0EBE323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WHO. (2020c). </w:t>
      </w:r>
      <w:r w:rsidRPr="009672FC">
        <w:rPr>
          <w:rFonts w:ascii="Garamond" w:hAnsi="Garamond"/>
          <w:i/>
          <w:iCs/>
          <w:noProof/>
        </w:rPr>
        <w:t>Novel Coronavirus</w:t>
      </w:r>
      <w:r w:rsidRPr="009672FC">
        <w:rPr>
          <w:rFonts w:ascii="Garamond" w:hAnsi="Garamond"/>
          <w:noProof/>
        </w:rPr>
        <w:t xml:space="preserve">. </w:t>
      </w:r>
      <w:r w:rsidRPr="009672FC">
        <w:rPr>
          <w:rFonts w:ascii="Garamond" w:hAnsi="Garamond"/>
          <w:i/>
          <w:iCs/>
          <w:noProof/>
        </w:rPr>
        <w:t>World Health Organization (WHO)</w:t>
      </w:r>
      <w:r w:rsidRPr="009672FC">
        <w:rPr>
          <w:rFonts w:ascii="Garamond" w:hAnsi="Garamond"/>
          <w:noProof/>
        </w:rPr>
        <w:t>. Retrieved from https://www.who.int/indonesia/news/novel-coronavirus/qa-for-public</w:t>
      </w:r>
    </w:p>
    <w:p w14:paraId="319A4B9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WHO. (2020d). </w:t>
      </w:r>
      <w:r w:rsidRPr="009672FC">
        <w:rPr>
          <w:rFonts w:ascii="Garamond" w:hAnsi="Garamond"/>
          <w:i/>
          <w:iCs/>
          <w:noProof/>
        </w:rPr>
        <w:t>Novel Coronavirus</w:t>
      </w:r>
      <w:r w:rsidRPr="009672FC">
        <w:rPr>
          <w:rFonts w:ascii="Garamond" w:hAnsi="Garamond"/>
          <w:noProof/>
        </w:rPr>
        <w:t xml:space="preserve">. </w:t>
      </w:r>
      <w:r w:rsidRPr="009672FC">
        <w:rPr>
          <w:rFonts w:ascii="Garamond" w:hAnsi="Garamond"/>
          <w:i/>
          <w:iCs/>
          <w:noProof/>
        </w:rPr>
        <w:t>World Health Organization (WHO)</w:t>
      </w:r>
      <w:r w:rsidRPr="009672FC">
        <w:rPr>
          <w:rFonts w:ascii="Garamond" w:hAnsi="Garamond"/>
          <w:noProof/>
        </w:rPr>
        <w:t>. Retrieved from https://covid19.who.int/region/searo/country/id</w:t>
      </w:r>
    </w:p>
    <w:p w14:paraId="0752BC3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WHO. (2020e). </w:t>
      </w:r>
      <w:r w:rsidRPr="009672FC">
        <w:rPr>
          <w:rFonts w:ascii="Garamond" w:hAnsi="Garamond"/>
          <w:i/>
          <w:iCs/>
          <w:noProof/>
        </w:rPr>
        <w:t>Novel Coronavirus</w:t>
      </w:r>
      <w:r w:rsidRPr="009672FC">
        <w:rPr>
          <w:rFonts w:ascii="Garamond" w:hAnsi="Garamond"/>
          <w:noProof/>
        </w:rPr>
        <w:t xml:space="preserve">. </w:t>
      </w:r>
      <w:r w:rsidRPr="009672FC">
        <w:rPr>
          <w:rFonts w:ascii="Garamond" w:hAnsi="Garamond"/>
          <w:i/>
          <w:iCs/>
          <w:noProof/>
        </w:rPr>
        <w:t>World Health Organization (WHO)</w:t>
      </w:r>
      <w:r w:rsidRPr="009672FC">
        <w:rPr>
          <w:rFonts w:ascii="Garamond" w:hAnsi="Garamond"/>
          <w:noProof/>
        </w:rPr>
        <w:t>. Retrieved from https://www.who.int/indonesia/news/novel-coronavirus/qa-for-public</w:t>
      </w:r>
    </w:p>
    <w:p w14:paraId="0C0C6EF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WHO. (2020f). </w:t>
      </w:r>
      <w:r w:rsidRPr="009672FC">
        <w:rPr>
          <w:rFonts w:ascii="Garamond" w:hAnsi="Garamond"/>
          <w:i/>
          <w:iCs/>
          <w:noProof/>
        </w:rPr>
        <w:t>Novel Coronavirus (2019-nCoV) SITUATION REPORT - 2</w:t>
      </w:r>
      <w:r w:rsidRPr="009672FC">
        <w:rPr>
          <w:rFonts w:ascii="Garamond" w:hAnsi="Garamond"/>
          <w:noProof/>
        </w:rPr>
        <w:t xml:space="preserve">. </w:t>
      </w:r>
      <w:r w:rsidRPr="009672FC">
        <w:rPr>
          <w:rFonts w:ascii="Garamond" w:hAnsi="Garamond"/>
          <w:i/>
          <w:iCs/>
          <w:noProof/>
        </w:rPr>
        <w:t>World Health Organization</w:t>
      </w:r>
      <w:r w:rsidRPr="009672FC">
        <w:rPr>
          <w:rFonts w:ascii="Garamond" w:hAnsi="Garamond"/>
          <w:noProof/>
        </w:rPr>
        <w:t xml:space="preserve"> (Vol. 2). Retrieved from https://www.who.int/indonesia/news/novel-coronavirus/qa-for-public</w:t>
      </w:r>
    </w:p>
    <w:p w14:paraId="36A1C23D" w14:textId="77777777" w:rsidR="00BE5664" w:rsidRPr="009672FC" w:rsidRDefault="00813D37"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Williamson, O. E. (1993). Calculativeness, Trust, and Economic Organization*. </w:t>
      </w:r>
      <w:r w:rsidRPr="009672FC">
        <w:rPr>
          <w:rFonts w:ascii="Garamond" w:hAnsi="Garamond"/>
          <w:i/>
          <w:iCs/>
          <w:noProof/>
        </w:rPr>
        <w:t>Journal of Law &amp; Economics</w:t>
      </w:r>
      <w:r w:rsidRPr="009672FC">
        <w:rPr>
          <w:rFonts w:ascii="Garamond" w:hAnsi="Garamond"/>
          <w:noProof/>
        </w:rPr>
        <w:t xml:space="preserve">, </w:t>
      </w:r>
      <w:r w:rsidRPr="009672FC">
        <w:rPr>
          <w:rFonts w:ascii="Garamond" w:hAnsi="Garamond"/>
          <w:i/>
          <w:iCs/>
          <w:noProof/>
        </w:rPr>
        <w:t>1</w:t>
      </w:r>
      <w:r w:rsidRPr="009672FC">
        <w:rPr>
          <w:rFonts w:ascii="Garamond" w:hAnsi="Garamond"/>
          <w:noProof/>
        </w:rPr>
        <w:t>(August), 117–125.</w:t>
      </w:r>
    </w:p>
    <w:p w14:paraId="552E5357" w14:textId="77777777"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Williamson, O. E. (1975). Markets and Hierarchies: Analysis and Antitrust Implications</w:t>
      </w:r>
      <w:r w:rsidRPr="009672FC">
        <w:rPr>
          <w:rFonts w:ascii="Garamond" w:hAnsi="Garamond"/>
          <w:i/>
          <w:iCs/>
        </w:rPr>
        <w:t>.</w:t>
      </w:r>
      <w:r w:rsidRPr="009672FC">
        <w:rPr>
          <w:rFonts w:ascii="Garamond" w:hAnsi="Garamond"/>
        </w:rPr>
        <w:t xml:space="preserve"> New York: The Free Press</w:t>
      </w:r>
      <w:r w:rsidRPr="009672FC">
        <w:rPr>
          <w:rFonts w:ascii="Garamond" w:hAnsi="Garamond"/>
          <w:noProof/>
        </w:rPr>
        <w:t>.</w:t>
      </w:r>
    </w:p>
    <w:p w14:paraId="369F09EA" w14:textId="77777777"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 xml:space="preserve">Williamson, O. E. (1979). Transaction costs economics: the governance of contractual relations. Journal of Law Economics </w:t>
      </w:r>
      <w:r w:rsidRPr="009672FC">
        <w:rPr>
          <w:rFonts w:ascii="Garamond" w:hAnsi="Garamond"/>
          <w:i/>
          <w:iCs/>
        </w:rPr>
        <w:t xml:space="preserve">, Vol. 22, N. </w:t>
      </w:r>
      <w:r w:rsidRPr="009672FC">
        <w:rPr>
          <w:rFonts w:ascii="Garamond" w:hAnsi="Garamond"/>
        </w:rPr>
        <w:t>2,  pp. 233-261</w:t>
      </w:r>
      <w:r w:rsidRPr="009672FC">
        <w:rPr>
          <w:rFonts w:ascii="Garamond" w:hAnsi="Garamond"/>
          <w:noProof/>
        </w:rPr>
        <w:t>.</w:t>
      </w:r>
    </w:p>
    <w:p w14:paraId="705E6A8F" w14:textId="77777777"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 xml:space="preserve">Williamson, O. E. (1981). The economics of organization: the transaction cost approach. American Journal of Sociology </w:t>
      </w:r>
      <w:r w:rsidRPr="009672FC">
        <w:rPr>
          <w:rFonts w:ascii="Garamond" w:hAnsi="Garamond"/>
          <w:i/>
          <w:iCs/>
        </w:rPr>
        <w:t>, 87</w:t>
      </w:r>
      <w:r w:rsidRPr="009672FC">
        <w:rPr>
          <w:rFonts w:ascii="Garamond" w:hAnsi="Garamond"/>
        </w:rPr>
        <w:t xml:space="preserve"> (3), 548-575.</w:t>
      </w:r>
    </w:p>
    <w:p w14:paraId="708ACEAE" w14:textId="77777777"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rPr>
        <w:t>Williamson, O. E. (1985). The Economic Institutions of Capitalism: Firms, Markets, Relational Contracting</w:t>
      </w:r>
      <w:r w:rsidRPr="009672FC">
        <w:rPr>
          <w:rFonts w:ascii="Garamond" w:hAnsi="Garamond"/>
          <w:i/>
          <w:iCs/>
        </w:rPr>
        <w:t>.</w:t>
      </w:r>
      <w:r w:rsidRPr="009672FC">
        <w:rPr>
          <w:rFonts w:ascii="Garamond" w:hAnsi="Garamond"/>
        </w:rPr>
        <w:t xml:space="preserve"> New York: Free Press</w:t>
      </w:r>
      <w:r w:rsidRPr="009672FC">
        <w:rPr>
          <w:rFonts w:ascii="Garamond" w:hAnsi="Garamond"/>
          <w:noProof/>
        </w:rPr>
        <w:t>.</w:t>
      </w:r>
    </w:p>
    <w:p w14:paraId="32A7C2CA" w14:textId="13990613" w:rsidR="00BE5664" w:rsidRPr="009672FC" w:rsidRDefault="00BE5664" w:rsidP="00BE5664">
      <w:pPr>
        <w:widowControl w:val="0"/>
        <w:autoSpaceDE w:val="0"/>
        <w:autoSpaceDN w:val="0"/>
        <w:adjustRightInd w:val="0"/>
        <w:spacing w:before="240"/>
        <w:ind w:left="480" w:hanging="480"/>
        <w:jc w:val="both"/>
        <w:rPr>
          <w:rFonts w:ascii="Garamond" w:hAnsi="Garamond"/>
          <w:noProof/>
        </w:rPr>
      </w:pPr>
      <w:r w:rsidRPr="009672FC">
        <w:rPr>
          <w:rFonts w:ascii="Garamond" w:hAnsi="Garamond"/>
          <w:bCs/>
        </w:rPr>
        <w:t>Wilson, R. (1968) On the theory of syndicates. Econometrica, 36, 119-132</w:t>
      </w:r>
    </w:p>
    <w:p w14:paraId="03C7341C" w14:textId="77777777" w:rsidR="00BE5664" w:rsidRPr="009672FC" w:rsidRDefault="00BE5664" w:rsidP="000006EB">
      <w:pPr>
        <w:widowControl w:val="0"/>
        <w:autoSpaceDE w:val="0"/>
        <w:autoSpaceDN w:val="0"/>
        <w:adjustRightInd w:val="0"/>
        <w:spacing w:before="240"/>
        <w:ind w:left="480" w:hanging="480"/>
        <w:jc w:val="both"/>
        <w:rPr>
          <w:rFonts w:ascii="Garamond" w:hAnsi="Garamond"/>
          <w:noProof/>
        </w:rPr>
      </w:pPr>
    </w:p>
    <w:p w14:paraId="71B692F8" w14:textId="4E43987A"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Wong, K. K. K.-K. (2013). Partial Least Squares Structural Equation Modeling (PLS-SEM) Techniques Using SmartPLS. </w:t>
      </w:r>
      <w:r w:rsidRPr="009672FC">
        <w:rPr>
          <w:rFonts w:ascii="Garamond" w:hAnsi="Garamond"/>
          <w:i/>
          <w:iCs/>
          <w:noProof/>
        </w:rPr>
        <w:t>Marketing Bulletin</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(1), 1–32.</w:t>
      </w:r>
    </w:p>
    <w:p w14:paraId="04312191"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Wymer, Jr., W. W., &amp; Samu, S. (2003). Dimensions of business and nonprofit. </w:t>
      </w:r>
      <w:r w:rsidRPr="009672FC">
        <w:rPr>
          <w:rFonts w:ascii="Garamond" w:hAnsi="Garamond"/>
          <w:i/>
          <w:iCs/>
          <w:noProof/>
        </w:rPr>
        <w:t>Journal of Nonprofit &amp; Public Sector Marketing</w:t>
      </w:r>
      <w:r w:rsidRPr="009672FC">
        <w:rPr>
          <w:rFonts w:ascii="Garamond" w:hAnsi="Garamond"/>
          <w:noProof/>
        </w:rPr>
        <w:t xml:space="preserve">, </w:t>
      </w:r>
      <w:r w:rsidRPr="009672FC">
        <w:rPr>
          <w:rFonts w:ascii="Garamond" w:hAnsi="Garamond"/>
          <w:i/>
          <w:iCs/>
          <w:noProof/>
        </w:rPr>
        <w:t>11</w:t>
      </w:r>
      <w:r w:rsidRPr="009672FC">
        <w:rPr>
          <w:rFonts w:ascii="Garamond" w:hAnsi="Garamond"/>
          <w:noProof/>
        </w:rPr>
        <w:t>(1), 59–76. https://doi.org/10.1300/J054v11n01</w:t>
      </w:r>
    </w:p>
    <w:p w14:paraId="6BE179A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Xie, Y., &amp; Peng, S. (2009). How to Repair Customer Trust After Negative Publicity: The Roles of Competence, Integrity, Benevolence, and Forgiveness. </w:t>
      </w:r>
      <w:r w:rsidRPr="009672FC">
        <w:rPr>
          <w:rFonts w:ascii="Garamond" w:hAnsi="Garamond"/>
          <w:i/>
          <w:iCs/>
          <w:noProof/>
        </w:rPr>
        <w:t>Psychology &amp; Marketing</w:t>
      </w:r>
      <w:r w:rsidRPr="009672FC">
        <w:rPr>
          <w:rFonts w:ascii="Garamond" w:hAnsi="Garamond"/>
          <w:noProof/>
        </w:rPr>
        <w:t xml:space="preserve">, </w:t>
      </w:r>
      <w:r w:rsidRPr="009672FC">
        <w:rPr>
          <w:rFonts w:ascii="Garamond" w:hAnsi="Garamond"/>
          <w:i/>
          <w:iCs/>
          <w:noProof/>
        </w:rPr>
        <w:t>30</w:t>
      </w:r>
      <w:r w:rsidRPr="009672FC">
        <w:rPr>
          <w:rFonts w:ascii="Garamond" w:hAnsi="Garamond"/>
          <w:noProof/>
        </w:rPr>
        <w:t>(6), 461–469. https://doi.org/10.1002/mar</w:t>
      </w:r>
    </w:p>
    <w:p w14:paraId="44062FC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Yen, G. F., &amp; Yang, H. T. (2018). Does consumer empathy influence consumer responses to strategic corporate social responsibility? The dual mediation ofmoral identity. </w:t>
      </w:r>
      <w:r w:rsidRPr="009672FC">
        <w:rPr>
          <w:rFonts w:ascii="Garamond" w:hAnsi="Garamond"/>
          <w:i/>
          <w:iCs/>
          <w:noProof/>
        </w:rPr>
        <w:t>Sustainability (Switzerland)</w:t>
      </w:r>
      <w:r w:rsidRPr="009672FC">
        <w:rPr>
          <w:rFonts w:ascii="Garamond" w:hAnsi="Garamond"/>
          <w:noProof/>
        </w:rPr>
        <w:t xml:space="preserve">, </w:t>
      </w:r>
      <w:r w:rsidRPr="009672FC">
        <w:rPr>
          <w:rFonts w:ascii="Garamond" w:hAnsi="Garamond"/>
          <w:i/>
          <w:iCs/>
          <w:noProof/>
        </w:rPr>
        <w:t>10</w:t>
      </w:r>
      <w:r w:rsidRPr="009672FC">
        <w:rPr>
          <w:rFonts w:ascii="Garamond" w:hAnsi="Garamond"/>
          <w:noProof/>
        </w:rPr>
        <w:t>(6). https://doi.org/10.3390/su10061812</w:t>
      </w:r>
    </w:p>
    <w:p w14:paraId="3C62B849"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Yin, R. K. (2013). Validity and generalization in future case study evaluations. </w:t>
      </w:r>
      <w:r w:rsidRPr="009672FC">
        <w:rPr>
          <w:rFonts w:ascii="Garamond" w:hAnsi="Garamond"/>
          <w:i/>
          <w:iCs/>
          <w:noProof/>
        </w:rPr>
        <w:t>Evaluation</w:t>
      </w:r>
      <w:r w:rsidRPr="009672FC">
        <w:rPr>
          <w:rFonts w:ascii="Garamond" w:hAnsi="Garamond"/>
          <w:noProof/>
        </w:rPr>
        <w:t xml:space="preserve">, </w:t>
      </w:r>
      <w:r w:rsidRPr="009672FC">
        <w:rPr>
          <w:rFonts w:ascii="Garamond" w:hAnsi="Garamond"/>
          <w:i/>
          <w:iCs/>
          <w:noProof/>
        </w:rPr>
        <w:t>19</w:t>
      </w:r>
      <w:r w:rsidRPr="009672FC">
        <w:rPr>
          <w:rFonts w:ascii="Garamond" w:hAnsi="Garamond"/>
          <w:noProof/>
        </w:rPr>
        <w:t>(3), 321–332. https://doi.org/10.1177/1356389013497081</w:t>
      </w:r>
    </w:p>
    <w:p w14:paraId="324492B3" w14:textId="5C53B76E"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Yin, R. K. (2015). </w:t>
      </w:r>
      <w:r w:rsidRPr="009672FC">
        <w:rPr>
          <w:rFonts w:ascii="Garamond" w:hAnsi="Garamond"/>
          <w:i/>
          <w:iCs/>
          <w:noProof/>
        </w:rPr>
        <w:t>Qualitative Research from Start to Finish</w:t>
      </w:r>
      <w:r w:rsidRPr="009672FC">
        <w:rPr>
          <w:rFonts w:ascii="Garamond" w:hAnsi="Garamond"/>
          <w:noProof/>
        </w:rPr>
        <w:t xml:space="preserve">. </w:t>
      </w:r>
      <w:r w:rsidRPr="009672FC">
        <w:rPr>
          <w:rFonts w:ascii="Garamond" w:hAnsi="Garamond"/>
          <w:i/>
          <w:iCs/>
          <w:noProof/>
        </w:rPr>
        <w:t>New York: GuilPress.</w:t>
      </w:r>
      <w:r w:rsidRPr="009672FC">
        <w:rPr>
          <w:rFonts w:ascii="Garamond" w:hAnsi="Garamond"/>
          <w:noProof/>
        </w:rPr>
        <w:t xml:space="preserve"> (Vol. 2nd Eds.)</w:t>
      </w:r>
    </w:p>
    <w:p w14:paraId="0BBCB020"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Yin, R. K. (2018). </w:t>
      </w:r>
      <w:r w:rsidRPr="009672FC">
        <w:rPr>
          <w:rFonts w:ascii="Garamond" w:hAnsi="Garamond"/>
          <w:i/>
          <w:iCs/>
          <w:noProof/>
        </w:rPr>
        <w:t>Case Study Research and Applications. Design and Methods</w:t>
      </w:r>
      <w:r w:rsidRPr="009672FC">
        <w:rPr>
          <w:rFonts w:ascii="Garamond" w:hAnsi="Garamond"/>
          <w:noProof/>
        </w:rPr>
        <w:t xml:space="preserve">. </w:t>
      </w:r>
      <w:r w:rsidRPr="009672FC">
        <w:rPr>
          <w:rFonts w:ascii="Garamond" w:hAnsi="Garamond"/>
          <w:i/>
          <w:iCs/>
          <w:noProof/>
        </w:rPr>
        <w:t>SAGE Publications. (6TH Eds.)</w:t>
      </w:r>
      <w:r w:rsidRPr="009672FC">
        <w:rPr>
          <w:rFonts w:ascii="Garamond" w:hAnsi="Garamond"/>
          <w:noProof/>
        </w:rPr>
        <w:t>.</w:t>
      </w:r>
    </w:p>
    <w:p w14:paraId="60BD7FF5"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lastRenderedPageBreak/>
        <w:t xml:space="preserve">Yoo, D., Kim, J. A., &amp; Doh, S. J. (2018). The dual processing of donation size in cause-related marketing (CRM): The moderating roles of construal level and emoticons. </w:t>
      </w:r>
      <w:r w:rsidRPr="009672FC">
        <w:rPr>
          <w:rFonts w:ascii="Garamond" w:hAnsi="Garamond"/>
          <w:i/>
          <w:iCs/>
          <w:noProof/>
        </w:rPr>
        <w:t>Sustainability (Switzerland)</w:t>
      </w:r>
      <w:r w:rsidRPr="009672FC">
        <w:rPr>
          <w:rFonts w:ascii="Garamond" w:hAnsi="Garamond"/>
          <w:noProof/>
        </w:rPr>
        <w:t xml:space="preserve">, </w:t>
      </w:r>
      <w:r w:rsidRPr="009672FC">
        <w:rPr>
          <w:rFonts w:ascii="Garamond" w:hAnsi="Garamond"/>
          <w:i/>
          <w:iCs/>
          <w:noProof/>
        </w:rPr>
        <w:t>10</w:t>
      </w:r>
      <w:r w:rsidRPr="009672FC">
        <w:rPr>
          <w:rFonts w:ascii="Garamond" w:hAnsi="Garamond"/>
          <w:noProof/>
        </w:rPr>
        <w:t>(11). https://doi.org/10.3390/su10114219</w:t>
      </w:r>
    </w:p>
    <w:p w14:paraId="60E2CD04"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Zaheer, A., McEvily, B., &amp; Perrone, V. (1998). Does Trust Matter? Exploring the Effects of Interorganizational and Interpersonal Trust on Performance. </w:t>
      </w:r>
      <w:r w:rsidRPr="009672FC">
        <w:rPr>
          <w:rFonts w:ascii="Garamond" w:hAnsi="Garamond"/>
          <w:i/>
          <w:iCs/>
          <w:noProof/>
        </w:rPr>
        <w:t>Organization Science</w:t>
      </w:r>
      <w:r w:rsidRPr="009672FC">
        <w:rPr>
          <w:rFonts w:ascii="Garamond" w:hAnsi="Garamond"/>
          <w:noProof/>
        </w:rPr>
        <w:t xml:space="preserve">, </w:t>
      </w:r>
      <w:r w:rsidRPr="009672FC">
        <w:rPr>
          <w:rFonts w:ascii="Garamond" w:hAnsi="Garamond"/>
          <w:i/>
          <w:iCs/>
          <w:noProof/>
        </w:rPr>
        <w:t>9</w:t>
      </w:r>
      <w:r w:rsidRPr="009672FC">
        <w:rPr>
          <w:rFonts w:ascii="Garamond" w:hAnsi="Garamond"/>
          <w:noProof/>
        </w:rPr>
        <w:t>(2), 141–159. https://doi.org/10.1287/orsc.9.2.141</w:t>
      </w:r>
    </w:p>
    <w:p w14:paraId="77E00BAF"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Zardini, A., Rossignoli, C., &amp; Soliman, M. (2013). Overcoming the barriers to effective collaboration. </w:t>
      </w:r>
      <w:r w:rsidRPr="009672FC">
        <w:rPr>
          <w:rFonts w:ascii="Garamond" w:hAnsi="Garamond"/>
          <w:i/>
          <w:iCs/>
          <w:noProof/>
        </w:rPr>
        <w:t>Journal of Organizational Excellence</w:t>
      </w:r>
      <w:r w:rsidRPr="009672FC">
        <w:rPr>
          <w:rFonts w:ascii="Garamond" w:hAnsi="Garamond"/>
          <w:noProof/>
        </w:rPr>
        <w:t xml:space="preserve">, </w:t>
      </w:r>
      <w:r w:rsidRPr="009672FC">
        <w:rPr>
          <w:rFonts w:ascii="Garamond" w:hAnsi="Garamond"/>
          <w:i/>
          <w:iCs/>
          <w:noProof/>
        </w:rPr>
        <w:t>24</w:t>
      </w:r>
      <w:r w:rsidRPr="009672FC">
        <w:rPr>
          <w:rFonts w:ascii="Garamond" w:hAnsi="Garamond"/>
          <w:noProof/>
        </w:rPr>
        <w:t>(4), 97–102. https://doi.org/10.1002/joe</w:t>
      </w:r>
    </w:p>
    <w:p w14:paraId="692D34BA"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Zhao, J., Xi, X., &amp; Guo, T. (2018). The impact of focal firm’s centrality and knowledge governance on innovation performance. </w:t>
      </w:r>
      <w:r w:rsidRPr="009672FC">
        <w:rPr>
          <w:rFonts w:ascii="Garamond" w:hAnsi="Garamond"/>
          <w:i/>
          <w:iCs/>
          <w:noProof/>
        </w:rPr>
        <w:t>Knowledge Management Research and Practice</w:t>
      </w:r>
      <w:r w:rsidRPr="009672FC">
        <w:rPr>
          <w:rFonts w:ascii="Garamond" w:hAnsi="Garamond"/>
          <w:noProof/>
        </w:rPr>
        <w:t xml:space="preserve">, </w:t>
      </w:r>
      <w:r w:rsidRPr="009672FC">
        <w:rPr>
          <w:rFonts w:ascii="Garamond" w:hAnsi="Garamond"/>
          <w:i/>
          <w:iCs/>
          <w:noProof/>
        </w:rPr>
        <w:t>16</w:t>
      </w:r>
      <w:r w:rsidRPr="009672FC">
        <w:rPr>
          <w:rFonts w:ascii="Garamond" w:hAnsi="Garamond"/>
          <w:noProof/>
        </w:rPr>
        <w:t>(2), 196–207. https://doi.org/10.1080/14778238.2018.1457004</w:t>
      </w:r>
    </w:p>
    <w:p w14:paraId="064CC307" w14:textId="77777777" w:rsidR="00813D37" w:rsidRPr="009672FC" w:rsidRDefault="00813D37" w:rsidP="000006EB">
      <w:pPr>
        <w:widowControl w:val="0"/>
        <w:autoSpaceDE w:val="0"/>
        <w:autoSpaceDN w:val="0"/>
        <w:adjustRightInd w:val="0"/>
        <w:spacing w:before="240"/>
        <w:ind w:left="480" w:hanging="480"/>
        <w:jc w:val="both"/>
        <w:rPr>
          <w:rFonts w:ascii="Garamond" w:hAnsi="Garamond"/>
          <w:noProof/>
        </w:rPr>
      </w:pPr>
      <w:r w:rsidRPr="009672FC">
        <w:rPr>
          <w:rFonts w:ascii="Garamond" w:hAnsi="Garamond"/>
          <w:noProof/>
        </w:rPr>
        <w:t xml:space="preserve">Zhong, W., Su, C., Peng, J., &amp; Yang, Z. (2017). Trust in Interorganizational Relationships: A Meta-Analytic Integration. </w:t>
      </w:r>
      <w:r w:rsidRPr="009672FC">
        <w:rPr>
          <w:rFonts w:ascii="Garamond" w:hAnsi="Garamond"/>
          <w:i/>
          <w:iCs/>
          <w:noProof/>
        </w:rPr>
        <w:t>Journal of Management</w:t>
      </w:r>
      <w:r w:rsidRPr="009672FC">
        <w:rPr>
          <w:rFonts w:ascii="Garamond" w:hAnsi="Garamond"/>
          <w:noProof/>
        </w:rPr>
        <w:t xml:space="preserve">, </w:t>
      </w:r>
      <w:r w:rsidRPr="009672FC">
        <w:rPr>
          <w:rFonts w:ascii="Garamond" w:hAnsi="Garamond"/>
          <w:i/>
          <w:iCs/>
          <w:noProof/>
        </w:rPr>
        <w:t>43</w:t>
      </w:r>
      <w:r w:rsidRPr="009672FC">
        <w:rPr>
          <w:rFonts w:ascii="Garamond" w:hAnsi="Garamond"/>
          <w:noProof/>
        </w:rPr>
        <w:t>(4), 1050–1075. https://doi.org/10.1177/0149206314546373</w:t>
      </w:r>
    </w:p>
    <w:p w14:paraId="7BCD49DE" w14:textId="1C70FAFE" w:rsidR="003D5DE8" w:rsidRPr="009672FC" w:rsidRDefault="007549AA">
      <w:pPr>
        <w:spacing w:before="240"/>
        <w:jc w:val="both"/>
        <w:rPr>
          <w:rFonts w:ascii="Garamond" w:hAnsi="Garamond"/>
          <w:b/>
          <w:bCs/>
        </w:rPr>
      </w:pPr>
      <w:r w:rsidRPr="009672FC">
        <w:rPr>
          <w:rFonts w:ascii="Garamond" w:hAnsi="Garamond"/>
        </w:rPr>
        <w:fldChar w:fldCharType="end"/>
      </w:r>
    </w:p>
    <w:p w14:paraId="0D97D731" w14:textId="77777777" w:rsidR="003D5DE8" w:rsidRPr="009672FC" w:rsidRDefault="003D5DE8">
      <w:pPr>
        <w:tabs>
          <w:tab w:val="left" w:pos="1101"/>
        </w:tabs>
        <w:rPr>
          <w:rFonts w:ascii="Garamond" w:hAnsi="Garamond"/>
        </w:rPr>
      </w:pPr>
    </w:p>
    <w:sectPr w:rsidR="003D5DE8" w:rsidRPr="009672FC" w:rsidSect="002E3C69">
      <w:headerReference w:type="default" r:id="rId38"/>
      <w:footerReference w:type="default" r:id="rId39"/>
      <w:pgSz w:w="12240" w:h="15840"/>
      <w:pgMar w:top="1440" w:right="1800" w:bottom="1440" w:left="1440" w:header="0" w:footer="1072"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4B5C5" w14:textId="77777777" w:rsidR="00432042" w:rsidRDefault="00432042">
      <w:r>
        <w:separator/>
      </w:r>
    </w:p>
  </w:endnote>
  <w:endnote w:type="continuationSeparator" w:id="0">
    <w:p w14:paraId="64EE32F6" w14:textId="77777777" w:rsidR="00432042" w:rsidRDefault="00432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Mangal">
    <w:panose1 w:val="00000400000000000000"/>
    <w:charset w:val="00"/>
    <w:family w:val="roman"/>
    <w:pitch w:val="variable"/>
    <w:sig w:usb0="00008003" w:usb1="00000000" w:usb2="00000000" w:usb3="00000000" w:csb0="00000001" w:csb1="00000000"/>
  </w:font>
  <w:font w:name="Garamond">
    <w:altName w:val="Garamond"/>
    <w:panose1 w:val="02020404030301010803"/>
    <w:charset w:val="00"/>
    <w:family w:val="roman"/>
    <w:pitch w:val="variable"/>
    <w:sig w:usb0="00000287" w:usb1="00000000" w:usb2="00000000" w:usb3="00000000" w:csb0="0000009F" w:csb1="00000000"/>
  </w:font>
  <w:font w:name="Arial-BoldMT, 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Times New Roman" w:hAnsi="Times New Roman" w:cs="Times New Roman"/>
        <w:color w:val="auto"/>
        <w:szCs w:val="24"/>
        <w:lang w:eastAsia="en-GB"/>
      </w:rPr>
      <w:id w:val="25899999"/>
      <w:docPartObj>
        <w:docPartGallery w:val="Page Numbers (Bottom of Page)"/>
        <w:docPartUnique/>
      </w:docPartObj>
    </w:sdtPr>
    <w:sdtEndPr/>
    <w:sdtContent>
      <w:p w14:paraId="7A37BCCA" w14:textId="77777777" w:rsidR="003D5DE8" w:rsidRDefault="007549AA">
        <w:pPr>
          <w:pStyle w:val="List"/>
          <w:jc w:val="center"/>
        </w:pPr>
        <w:r>
          <w:fldChar w:fldCharType="begin"/>
        </w:r>
        <w:r>
          <w:instrText>PAGE</w:instrText>
        </w:r>
        <w:r>
          <w:fldChar w:fldCharType="separate"/>
        </w:r>
        <w:r w:rsidR="00EB5D6B">
          <w:rPr>
            <w:noProof/>
          </w:rPr>
          <w:t>ix</w:t>
        </w:r>
        <w:r>
          <w:fldChar w:fldCharType="end"/>
        </w:r>
      </w:p>
      <w:p w14:paraId="47527F87" w14:textId="77777777" w:rsidR="003D5DE8" w:rsidRDefault="00432042"/>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Times New Roman" w:hAnsi="Times New Roman" w:cs="Times New Roman"/>
        <w:color w:val="auto"/>
        <w:szCs w:val="24"/>
        <w:lang w:eastAsia="en-GB"/>
      </w:rPr>
      <w:id w:val="-11229329"/>
      <w:docPartObj>
        <w:docPartGallery w:val="Page Numbers (Bottom of Page)"/>
        <w:docPartUnique/>
      </w:docPartObj>
    </w:sdtPr>
    <w:sdtEndPr/>
    <w:sdtContent>
      <w:p w14:paraId="4F456132" w14:textId="77777777" w:rsidR="001F1804" w:rsidRDefault="001F1804">
        <w:pPr>
          <w:pStyle w:val="List"/>
          <w:jc w:val="center"/>
        </w:pPr>
        <w:r>
          <w:fldChar w:fldCharType="begin"/>
        </w:r>
        <w:r>
          <w:instrText>PAGE</w:instrText>
        </w:r>
        <w:r>
          <w:fldChar w:fldCharType="separate"/>
        </w:r>
        <w:r>
          <w:rPr>
            <w:noProof/>
          </w:rPr>
          <w:t>ix</w:t>
        </w:r>
        <w:r>
          <w:fldChar w:fldCharType="end"/>
        </w:r>
      </w:p>
      <w:p w14:paraId="33AEA411" w14:textId="3C29F864" w:rsidR="001F1804" w:rsidRDefault="00432042"/>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494930"/>
      <w:docPartObj>
        <w:docPartGallery w:val="Page Numbers (Bottom of Page)"/>
        <w:docPartUnique/>
      </w:docPartObj>
    </w:sdtPr>
    <w:sdtEndPr/>
    <w:sdtContent>
      <w:p w14:paraId="6A3E64A2" w14:textId="77777777" w:rsidR="003D5DE8" w:rsidRDefault="007549AA">
        <w:pPr>
          <w:pStyle w:val="List"/>
          <w:jc w:val="center"/>
        </w:pPr>
        <w:r>
          <w:fldChar w:fldCharType="begin"/>
        </w:r>
        <w:r>
          <w:instrText>PAGE</w:instrText>
        </w:r>
        <w:r>
          <w:fldChar w:fldCharType="separate"/>
        </w:r>
        <w:r w:rsidR="00EB5D6B">
          <w:rPr>
            <w:noProof/>
          </w:rPr>
          <w:t>1</w:t>
        </w:r>
        <w:r>
          <w:fldChar w:fldCharType="end"/>
        </w:r>
      </w:p>
    </w:sdtContent>
  </w:sdt>
  <w:p w14:paraId="76A79728" w14:textId="77777777" w:rsidR="003D5DE8" w:rsidRDefault="003D5DE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244165"/>
      <w:docPartObj>
        <w:docPartGallery w:val="Page Numbers (Bottom of Page)"/>
        <w:docPartUnique/>
      </w:docPartObj>
    </w:sdtPr>
    <w:sdtEndPr/>
    <w:sdtContent>
      <w:p w14:paraId="2B2D9BB9" w14:textId="77777777" w:rsidR="003D5DE8" w:rsidRDefault="007549AA">
        <w:pPr>
          <w:pStyle w:val="List"/>
          <w:jc w:val="center"/>
        </w:pPr>
        <w:r>
          <w:fldChar w:fldCharType="begin"/>
        </w:r>
        <w:r>
          <w:instrText>PAGE</w:instrText>
        </w:r>
        <w:r>
          <w:fldChar w:fldCharType="separate"/>
        </w:r>
        <w:r w:rsidR="00EB5D6B">
          <w:rPr>
            <w:noProof/>
          </w:rPr>
          <w:t>158</w:t>
        </w:r>
        <w:r>
          <w:fldChar w:fldCharType="end"/>
        </w:r>
      </w:p>
    </w:sdtContent>
  </w:sdt>
  <w:p w14:paraId="0FBBD23D" w14:textId="77777777" w:rsidR="003D5DE8" w:rsidRDefault="003D5DE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EAC9E6" w14:textId="77777777" w:rsidR="00432042" w:rsidRDefault="00432042">
      <w:pPr>
        <w:rPr>
          <w:sz w:val="12"/>
        </w:rPr>
      </w:pPr>
      <w:r>
        <w:separator/>
      </w:r>
    </w:p>
  </w:footnote>
  <w:footnote w:type="continuationSeparator" w:id="0">
    <w:p w14:paraId="7E0F06DA" w14:textId="77777777" w:rsidR="00432042" w:rsidRDefault="00432042">
      <w:pPr>
        <w:rPr>
          <w:sz w:val="12"/>
        </w:rPr>
      </w:pPr>
      <w:r>
        <w:continuationSeparator/>
      </w:r>
    </w:p>
  </w:footnote>
  <w:footnote w:id="1">
    <w:p w14:paraId="156FEB0E" w14:textId="27B7D76F" w:rsidR="003D5DE8" w:rsidRPr="00663C31" w:rsidRDefault="007549AA">
      <w:pPr>
        <w:pStyle w:val="Caption"/>
        <w:jc w:val="both"/>
        <w:rPr>
          <w:sz w:val="22"/>
          <w:szCs w:val="22"/>
        </w:rPr>
      </w:pPr>
      <w:r w:rsidRPr="00663C31">
        <w:rPr>
          <w:rStyle w:val="FooterChar"/>
          <w:vertAlign w:val="superscript"/>
        </w:rPr>
        <w:footnoteRef/>
      </w:r>
      <w:r w:rsidRPr="00663C31">
        <w:rPr>
          <w:sz w:val="22"/>
          <w:szCs w:val="22"/>
        </w:rPr>
        <w:t xml:space="preserve"> Appendix 1A illustrate the agenda for future research. Literature on these areas is either absent or highly underdeveloped. Deducing from several papers, authors have recognized the increasing emergence of these issues both in theory and practice. </w:t>
      </w:r>
    </w:p>
  </w:footnote>
  <w:footnote w:id="2">
    <w:p w14:paraId="01992BA4" w14:textId="652B3B59" w:rsidR="003D5DE8" w:rsidRPr="00663C31" w:rsidRDefault="007549AA" w:rsidP="00663C31">
      <w:pPr>
        <w:jc w:val="both"/>
        <w:rPr>
          <w:rFonts w:ascii="Garamond" w:hAnsi="Garamond"/>
          <w:sz w:val="22"/>
          <w:szCs w:val="22"/>
        </w:rPr>
      </w:pPr>
      <w:r w:rsidRPr="00663C31">
        <w:rPr>
          <w:rStyle w:val="FooterChar"/>
          <w:rFonts w:ascii="Garamond" w:hAnsi="Garamond"/>
          <w:vertAlign w:val="superscript"/>
        </w:rPr>
        <w:footnoteRef/>
      </w:r>
      <w:r w:rsidRPr="00663C31">
        <w:rPr>
          <w:rFonts w:ascii="Garamond" w:hAnsi="Garamond"/>
          <w:sz w:val="22"/>
          <w:szCs w:val="22"/>
        </w:rPr>
        <w:t xml:space="preserve"> </w:t>
      </w:r>
      <w:hyperlink r:id="rId1" w:anchor="googtrans(it|en)" w:history="1">
        <w:r w:rsidRPr="00663C31">
          <w:rPr>
            <w:rFonts w:ascii="Garamond" w:hAnsi="Garamond"/>
            <w:sz w:val="22"/>
            <w:szCs w:val="22"/>
          </w:rPr>
          <w:t>https://www.</w:t>
        </w:r>
        <w:r w:rsidR="002E3C69" w:rsidRPr="00663C31">
          <w:rPr>
            <w:rFonts w:ascii="Garamond" w:hAnsi="Garamond"/>
            <w:sz w:val="22"/>
            <w:szCs w:val="22"/>
          </w:rPr>
          <w:t>thesparrownetwork</w:t>
        </w:r>
        <w:r w:rsidRPr="00663C31">
          <w:rPr>
            <w:rFonts w:ascii="Garamond" w:hAnsi="Garamond"/>
            <w:sz w:val="22"/>
            <w:szCs w:val="22"/>
          </w:rPr>
          <w:t>.it/#googtrans(it|en)</w:t>
        </w:r>
      </w:hyperlink>
      <w:r w:rsidRPr="00663C31">
        <w:rPr>
          <w:rFonts w:ascii="Garamond" w:hAnsi="Garamond"/>
          <w:sz w:val="22"/>
          <w:szCs w:val="22"/>
        </w:rPr>
        <w:t xml:space="preserve"> (accessed 25/1/2021).</w:t>
      </w:r>
    </w:p>
  </w:footnote>
  <w:footnote w:id="3">
    <w:p w14:paraId="6C2BE4DA" w14:textId="39B7D8CC" w:rsidR="003D5DE8" w:rsidRPr="00663C31" w:rsidRDefault="007549AA" w:rsidP="00663C31">
      <w:pPr>
        <w:jc w:val="both"/>
        <w:rPr>
          <w:rFonts w:ascii="Garamond" w:hAnsi="Garamond"/>
          <w:sz w:val="22"/>
          <w:szCs w:val="22"/>
        </w:rPr>
      </w:pPr>
      <w:r w:rsidRPr="00663C31">
        <w:rPr>
          <w:rStyle w:val="FooterChar"/>
          <w:rFonts w:ascii="Garamond" w:hAnsi="Garamond"/>
          <w:vertAlign w:val="superscript"/>
        </w:rPr>
        <w:footnoteRef/>
      </w:r>
      <w:r w:rsidRPr="00663C31">
        <w:rPr>
          <w:rFonts w:ascii="Garamond" w:hAnsi="Garamond"/>
          <w:sz w:val="22"/>
          <w:szCs w:val="22"/>
        </w:rPr>
        <w:t xml:space="preserve"> </w:t>
      </w:r>
      <w:hyperlink r:id="rId2" w:anchor="googtrans(it|en)" w:history="1">
        <w:r w:rsidRPr="00663C31">
          <w:rPr>
            <w:rFonts w:ascii="Garamond" w:hAnsi="Garamond"/>
            <w:sz w:val="22"/>
            <w:szCs w:val="22"/>
          </w:rPr>
          <w:t>https://www.</w:t>
        </w:r>
        <w:r w:rsidR="002E3C69" w:rsidRPr="00663C31">
          <w:rPr>
            <w:rFonts w:ascii="Garamond" w:hAnsi="Garamond"/>
            <w:sz w:val="22"/>
            <w:szCs w:val="22"/>
          </w:rPr>
          <w:t>thesparrownetwork</w:t>
        </w:r>
        <w:r w:rsidRPr="00663C31">
          <w:rPr>
            <w:rFonts w:ascii="Garamond" w:hAnsi="Garamond"/>
            <w:sz w:val="22"/>
            <w:szCs w:val="22"/>
          </w:rPr>
          <w:t>.it/#googtrans(it|en)</w:t>
        </w:r>
      </w:hyperlink>
      <w:r w:rsidRPr="00663C31">
        <w:rPr>
          <w:rFonts w:ascii="Garamond" w:hAnsi="Garamond"/>
          <w:sz w:val="22"/>
          <w:szCs w:val="22"/>
        </w:rPr>
        <w:t xml:space="preserve"> (accessed, 26/1/2021).</w:t>
      </w:r>
    </w:p>
  </w:footnote>
  <w:footnote w:id="4">
    <w:p w14:paraId="48BA8376" w14:textId="07DCBA8E" w:rsidR="001A5E30" w:rsidRPr="000705A7" w:rsidRDefault="001A5E30" w:rsidP="000705A7">
      <w:pPr>
        <w:pStyle w:val="FootnoteText"/>
        <w:jc w:val="both"/>
        <w:rPr>
          <w:rFonts w:ascii="Garamond" w:hAnsi="Garamond"/>
          <w:sz w:val="22"/>
          <w:szCs w:val="22"/>
          <w:lang w:val="en-US"/>
        </w:rPr>
      </w:pPr>
      <w:r w:rsidRPr="000705A7">
        <w:rPr>
          <w:rStyle w:val="FootnoteReference"/>
          <w:rFonts w:ascii="Garamond" w:hAnsi="Garamond"/>
          <w:sz w:val="22"/>
          <w:szCs w:val="22"/>
        </w:rPr>
        <w:footnoteRef/>
      </w:r>
      <w:r w:rsidRPr="000705A7">
        <w:rPr>
          <w:rFonts w:ascii="Garamond" w:hAnsi="Garamond"/>
          <w:sz w:val="22"/>
          <w:szCs w:val="22"/>
        </w:rPr>
        <w:t xml:space="preserve"> All composite reliability (CR) (&gt; 0.70) and Dijkstra-Henseler’s indicator (Rho_A) (&gt; 0.70) except for OTm, indicate constructs’ internal consistency </w:t>
      </w:r>
      <w:r w:rsidRPr="000705A7">
        <w:rPr>
          <w:rFonts w:ascii="Garamond" w:hAnsi="Garamond"/>
          <w:sz w:val="22"/>
          <w:szCs w:val="22"/>
        </w:rPr>
        <w:fldChar w:fldCharType="begin" w:fldLock="1"/>
      </w:r>
      <w:r w:rsidRPr="000705A7">
        <w:rPr>
          <w:rFonts w:ascii="Garamond" w:hAnsi="Garamond"/>
          <w:sz w:val="22"/>
          <w:szCs w:val="22"/>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Ringle and Sarstedt, 2011;","plainTextFormattedCitation":"(Joe F Hair et al., 2011)","previouslyFormattedCitation":"(Joe F Hair et al., 2011)"},"properties":{"noteIndex":0},"schema":"https://github.com/citation-style-language/schema/raw/master/csl-citation.json"}</w:instrText>
      </w:r>
      <w:r w:rsidRPr="000705A7">
        <w:rPr>
          <w:rFonts w:ascii="Garamond" w:hAnsi="Garamond"/>
          <w:sz w:val="22"/>
          <w:szCs w:val="22"/>
        </w:rPr>
        <w:fldChar w:fldCharType="separate"/>
      </w:r>
      <w:r w:rsidRPr="000705A7">
        <w:rPr>
          <w:rFonts w:ascii="Garamond" w:hAnsi="Garamond"/>
          <w:bCs/>
          <w:noProof/>
          <w:sz w:val="22"/>
          <w:szCs w:val="22"/>
        </w:rPr>
        <w:t>(Hair, Ringle and Sarstedt, 2011;</w:t>
      </w:r>
      <w:r w:rsidRPr="000705A7">
        <w:rPr>
          <w:rFonts w:ascii="Garamond" w:hAnsi="Garamond"/>
          <w:sz w:val="22"/>
          <w:szCs w:val="22"/>
        </w:rPr>
        <w:fldChar w:fldCharType="end"/>
      </w:r>
      <w:r w:rsidRPr="000705A7">
        <w:rPr>
          <w:rFonts w:ascii="Garamond" w:hAnsi="Garamond"/>
          <w:sz w:val="22"/>
          <w:szCs w:val="22"/>
        </w:rPr>
        <w:t xml:space="preserve"> </w:t>
      </w:r>
      <w:r w:rsidRPr="000705A7">
        <w:rPr>
          <w:rFonts w:ascii="Garamond" w:hAnsi="Garamond"/>
          <w:sz w:val="22"/>
          <w:szCs w:val="22"/>
        </w:rPr>
        <w:fldChar w:fldCharType="begin" w:fldLock="1"/>
      </w:r>
      <w:r w:rsidRPr="000705A7">
        <w:rPr>
          <w:rFonts w:ascii="Garamond" w:hAnsi="Garamond"/>
          <w:sz w:val="22"/>
          <w:szCs w:val="22"/>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0705A7">
        <w:rPr>
          <w:rFonts w:ascii="Garamond" w:hAnsi="Garamond"/>
          <w:sz w:val="22"/>
          <w:szCs w:val="22"/>
        </w:rPr>
        <w:fldChar w:fldCharType="separate"/>
      </w:r>
      <w:r w:rsidRPr="000705A7">
        <w:rPr>
          <w:rFonts w:ascii="Garamond" w:hAnsi="Garamond"/>
          <w:noProof/>
          <w:sz w:val="22"/>
          <w:szCs w:val="22"/>
        </w:rPr>
        <w:t>Wong, 2013)</w:t>
      </w:r>
      <w:r w:rsidRPr="000705A7">
        <w:rPr>
          <w:rFonts w:ascii="Garamond" w:hAnsi="Garamond"/>
          <w:sz w:val="22"/>
          <w:szCs w:val="22"/>
        </w:rPr>
        <w:fldChar w:fldCharType="end"/>
      </w:r>
      <w:r w:rsidRPr="000705A7">
        <w:rPr>
          <w:rFonts w:ascii="Garamond" w:hAnsi="Garamond"/>
          <w:sz w:val="22"/>
          <w:szCs w:val="22"/>
        </w:rPr>
        <w:t>.</w:t>
      </w:r>
    </w:p>
  </w:footnote>
  <w:footnote w:id="5">
    <w:p w14:paraId="200B46C3" w14:textId="385AF325" w:rsidR="001A5E30" w:rsidRPr="000705A7" w:rsidRDefault="001A5E30" w:rsidP="000705A7">
      <w:pPr>
        <w:pStyle w:val="FootnoteText"/>
        <w:jc w:val="both"/>
        <w:rPr>
          <w:rFonts w:ascii="Garamond" w:hAnsi="Garamond"/>
          <w:sz w:val="22"/>
          <w:szCs w:val="22"/>
          <w:lang w:val="en-US"/>
        </w:rPr>
      </w:pPr>
      <w:r w:rsidRPr="000705A7">
        <w:rPr>
          <w:rStyle w:val="FootnoteReference"/>
          <w:rFonts w:ascii="Garamond" w:hAnsi="Garamond"/>
          <w:sz w:val="22"/>
          <w:szCs w:val="22"/>
        </w:rPr>
        <w:footnoteRef/>
      </w:r>
      <w:r w:rsidRPr="000705A7">
        <w:rPr>
          <w:rFonts w:ascii="Garamond" w:hAnsi="Garamond"/>
          <w:sz w:val="22"/>
          <w:szCs w:val="22"/>
        </w:rPr>
        <w:t xml:space="preserve"> All composite reliability (CR) (&gt; 0.70) and Dijkstra-Henseler’s indicator (Rho_A) (&gt; 0.70) except for OTm, indicate constructs’ internal consistency </w:t>
      </w:r>
      <w:r w:rsidRPr="000705A7">
        <w:rPr>
          <w:rFonts w:ascii="Garamond" w:hAnsi="Garamond"/>
          <w:sz w:val="22"/>
          <w:szCs w:val="22"/>
        </w:rPr>
        <w:fldChar w:fldCharType="begin" w:fldLock="1"/>
      </w:r>
      <w:r w:rsidRPr="000705A7">
        <w:rPr>
          <w:rFonts w:ascii="Garamond" w:hAnsi="Garamond"/>
          <w:sz w:val="22"/>
          <w:szCs w:val="22"/>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Ringle and Sarstedt, 2011;","plainTextFormattedCitation":"(Joe F Hair et al., 2011)","previouslyFormattedCitation":"(Joe F Hair et al., 2011)"},"properties":{"noteIndex":0},"schema":"https://github.com/citation-style-language/schema/raw/master/csl-citation.json"}</w:instrText>
      </w:r>
      <w:r w:rsidRPr="000705A7">
        <w:rPr>
          <w:rFonts w:ascii="Garamond" w:hAnsi="Garamond"/>
          <w:sz w:val="22"/>
          <w:szCs w:val="22"/>
        </w:rPr>
        <w:fldChar w:fldCharType="separate"/>
      </w:r>
      <w:r w:rsidRPr="000705A7">
        <w:rPr>
          <w:rFonts w:ascii="Garamond" w:hAnsi="Garamond"/>
          <w:bCs/>
          <w:noProof/>
          <w:sz w:val="22"/>
          <w:szCs w:val="22"/>
        </w:rPr>
        <w:t>(Hair, Ringle and Sarstedt, 2011;</w:t>
      </w:r>
      <w:r w:rsidRPr="000705A7">
        <w:rPr>
          <w:rFonts w:ascii="Garamond" w:hAnsi="Garamond"/>
          <w:sz w:val="22"/>
          <w:szCs w:val="22"/>
        </w:rPr>
        <w:fldChar w:fldCharType="end"/>
      </w:r>
      <w:r w:rsidRPr="000705A7">
        <w:rPr>
          <w:rFonts w:ascii="Garamond" w:hAnsi="Garamond"/>
          <w:sz w:val="22"/>
          <w:szCs w:val="22"/>
        </w:rPr>
        <w:t xml:space="preserve"> </w:t>
      </w:r>
      <w:r w:rsidRPr="000705A7">
        <w:rPr>
          <w:rFonts w:ascii="Garamond" w:hAnsi="Garamond"/>
          <w:sz w:val="22"/>
          <w:szCs w:val="22"/>
        </w:rPr>
        <w:fldChar w:fldCharType="begin" w:fldLock="1"/>
      </w:r>
      <w:r w:rsidRPr="000705A7">
        <w:rPr>
          <w:rFonts w:ascii="Garamond" w:hAnsi="Garamond"/>
          <w:sz w:val="22"/>
          <w:szCs w:val="22"/>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2013)","manualFormatting":"Wong, 2013)","plainTextFormattedCitation":"(Wong, 2013)","previouslyFormattedCitation":"(Wong, 2013)"},"properties":{"noteIndex":0},"schema":"https://github.com/citation-style-language/schema/raw/master/csl-citation.json"}</w:instrText>
      </w:r>
      <w:r w:rsidRPr="000705A7">
        <w:rPr>
          <w:rFonts w:ascii="Garamond" w:hAnsi="Garamond"/>
          <w:sz w:val="22"/>
          <w:szCs w:val="22"/>
        </w:rPr>
        <w:fldChar w:fldCharType="separate"/>
      </w:r>
      <w:r w:rsidRPr="000705A7">
        <w:rPr>
          <w:rFonts w:ascii="Garamond" w:hAnsi="Garamond"/>
          <w:noProof/>
          <w:sz w:val="22"/>
          <w:szCs w:val="22"/>
        </w:rPr>
        <w:t>Wong, 2013)</w:t>
      </w:r>
      <w:r w:rsidRPr="000705A7">
        <w:rPr>
          <w:rFonts w:ascii="Garamond" w:hAnsi="Garamond"/>
          <w:sz w:val="22"/>
          <w:szCs w:val="22"/>
        </w:rPr>
        <w:fldChar w:fldCharType="end"/>
      </w:r>
      <w:r w:rsidRPr="000705A7">
        <w:rPr>
          <w:rFonts w:ascii="Garamond" w:hAnsi="Garamond"/>
          <w:sz w:val="22"/>
          <w:szCs w:val="22"/>
        </w:rPr>
        <w:t>.</w:t>
      </w:r>
    </w:p>
  </w:footnote>
  <w:footnote w:id="6">
    <w:p w14:paraId="0D96550A" w14:textId="53B826EF" w:rsidR="001A5E30" w:rsidRPr="001A5E30" w:rsidRDefault="001A5E30" w:rsidP="000705A7">
      <w:pPr>
        <w:pStyle w:val="FootnoteText"/>
        <w:jc w:val="both"/>
        <w:rPr>
          <w:lang w:val="en-US"/>
        </w:rPr>
      </w:pPr>
      <w:r w:rsidRPr="000705A7">
        <w:rPr>
          <w:rStyle w:val="FootnoteReference"/>
          <w:rFonts w:ascii="Garamond" w:hAnsi="Garamond"/>
          <w:sz w:val="22"/>
          <w:szCs w:val="22"/>
        </w:rPr>
        <w:footnoteRef/>
      </w:r>
      <w:r w:rsidRPr="000705A7">
        <w:rPr>
          <w:rFonts w:ascii="Garamond" w:hAnsi="Garamond"/>
          <w:sz w:val="22"/>
          <w:szCs w:val="22"/>
        </w:rPr>
        <w:t xml:space="preserve"> </w:t>
      </w:r>
      <w:r w:rsidRPr="000705A7">
        <w:rPr>
          <w:rFonts w:ascii="Garamond" w:hAnsi="Garamond"/>
          <w:color w:val="000000"/>
          <w:sz w:val="22"/>
          <w:szCs w:val="22"/>
        </w:rPr>
        <w:t xml:space="preserve">All average variance extracted (AVE) &gt; 0.5 indicates convergent reliability </w:t>
      </w:r>
      <w:r w:rsidRPr="000705A7">
        <w:rPr>
          <w:rFonts w:ascii="Garamond" w:hAnsi="Garamond"/>
          <w:sz w:val="22"/>
          <w:szCs w:val="22"/>
        </w:rPr>
        <w:fldChar w:fldCharType="begin" w:fldLock="1"/>
      </w:r>
      <w:r w:rsidRPr="000705A7">
        <w:rPr>
          <w:rFonts w:ascii="Garamond" w:hAnsi="Garamond"/>
          <w:color w:val="000000"/>
          <w:sz w:val="22"/>
          <w:szCs w:val="22"/>
        </w:rPr>
        <w:instrText>ADDIN CSL_CITATION {"citationItems":[{"id":"ITEM-1","itemData":{"DOI":"10.2307/3151312","ISSN":"00222437","abstract":"The statistical tests used in the analysis of structural equation models with unobservable variables and measurement error are examined. A drawback of the commonly applied chi square test, in addition to the known problems related to sample size and power, is that it may indicate an increasing correspondence between the hypothesized model and the observed data as both the measurement properties and the relationship between constructs decline. Further, and contrary to common assertion, the risk of making a Type II error can be substantial even when the sample size is large. Moreover, the present testing methods are unable to assess a model's explanatory power. To overcome these problems, the authors develop and apply a testing system based on measures of shared variance within the structural model, measurement model, and overall model.","author":[{"dropping-particle":"","family":"Fornell","given":"Claes","non-dropping-particle":"","parse-names":false,"suffix":""},{"dropping-particle":"","family":"Larcker","given":"David F.","non-dropping-particle":"","parse-names":false,"suffix":""}],"container-title":"Journal of Marketing Research","id":"ITEM-1","issue":"1","issued":{"date-parts":[["1981"]]},"page":"39","title":"Evaluating Structural Equation Models with Unobservable Variables and Measurement Error","type":"article-journal","volume":"18"},"uris":["http://www.mendeley.com/documents/?uuid=031b074d-4c0d-469b-bb8b-303f1003fa91"]}],"mendeley":{"formattedCitation":"(Fornell &amp; Larcker, 1981)","plainTextFormattedCitation":"(Fornell &amp; Larcker, 1981)","previouslyFormattedCitation":"(Fornell &amp; Larcker, 1981)"},"properties":{"noteIndex":0},"schema":"https://github.com/citation-style-language/schema/raw/master/csl-citation.json"}</w:instrText>
      </w:r>
      <w:r w:rsidRPr="000705A7">
        <w:rPr>
          <w:rFonts w:ascii="Garamond" w:hAnsi="Garamond"/>
          <w:color w:val="000000"/>
          <w:sz w:val="22"/>
          <w:szCs w:val="22"/>
        </w:rPr>
        <w:fldChar w:fldCharType="separate"/>
      </w:r>
      <w:r w:rsidRPr="000705A7">
        <w:rPr>
          <w:rFonts w:ascii="Garamond" w:hAnsi="Garamond"/>
          <w:noProof/>
          <w:color w:val="000000"/>
          <w:sz w:val="22"/>
          <w:szCs w:val="22"/>
        </w:rPr>
        <w:t>(Fornell &amp; Larcker, 1981)</w:t>
      </w:r>
      <w:r w:rsidRPr="000705A7">
        <w:rPr>
          <w:rFonts w:ascii="Garamond" w:hAnsi="Garamond"/>
          <w:color w:val="000000"/>
          <w:sz w:val="22"/>
          <w:szCs w:val="22"/>
        </w:rPr>
        <w:fldChar w:fldCharType="end"/>
      </w:r>
      <w:r w:rsidRPr="000705A7">
        <w:rPr>
          <w:rFonts w:ascii="Garamond" w:hAnsi="Garamond"/>
          <w:color w:val="000000"/>
          <w:sz w:val="22"/>
          <w:szCs w:val="22"/>
        </w:rPr>
        <w:t>,</w:t>
      </w:r>
      <w:r w:rsidRPr="000705A7">
        <w:rPr>
          <w:rFonts w:ascii="Garamond" w:hAnsi="Garamond"/>
          <w:sz w:val="22"/>
          <w:szCs w:val="22"/>
        </w:rPr>
        <w:fldChar w:fldCharType="begin" w:fldLock="1"/>
      </w:r>
      <w:r w:rsidRPr="000705A7">
        <w:rPr>
          <w:rFonts w:ascii="Garamond" w:hAnsi="Garamond"/>
          <w:color w:val="000000"/>
          <w:sz w:val="22"/>
          <w:szCs w:val="22"/>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2011)","plainTextFormattedCitation":"(Joe F Hair et al., 2011)","previouslyFormattedCitation":"(Joe F Hair et al., 2011)"},"properties":{"noteIndex":0},"schema":"https://github.com/citation-style-language/schema/raw/master/csl-citation.json"}</w:instrText>
      </w:r>
      <w:r w:rsidRPr="000705A7">
        <w:rPr>
          <w:rFonts w:ascii="Garamond" w:hAnsi="Garamond"/>
          <w:color w:val="000000"/>
          <w:sz w:val="22"/>
          <w:szCs w:val="22"/>
        </w:rPr>
        <w:fldChar w:fldCharType="separate"/>
      </w:r>
      <w:r w:rsidRPr="000705A7">
        <w:rPr>
          <w:rFonts w:ascii="Garamond" w:hAnsi="Garamond"/>
          <w:noProof/>
          <w:color w:val="000000"/>
          <w:sz w:val="22"/>
          <w:szCs w:val="22"/>
        </w:rPr>
        <w:t>(Joe F Hair et al., 2011)</w:t>
      </w:r>
      <w:r w:rsidRPr="000705A7">
        <w:rPr>
          <w:rFonts w:ascii="Garamond" w:hAnsi="Garamond"/>
          <w:color w:val="000000"/>
          <w:sz w:val="22"/>
          <w:szCs w:val="22"/>
        </w:rPr>
        <w:fldChar w:fldCharType="end"/>
      </w:r>
      <w:r w:rsidRPr="000705A7">
        <w:rPr>
          <w:rFonts w:ascii="Garamond" w:hAnsi="Garamond"/>
          <w:color w:val="000000"/>
          <w:sz w:val="22"/>
          <w:szCs w:val="22"/>
        </w:rPr>
        <w:t xml:space="preserve">, </w:t>
      </w:r>
      <w:r w:rsidRPr="000705A7">
        <w:rPr>
          <w:rFonts w:ascii="Garamond" w:hAnsi="Garamond"/>
          <w:sz w:val="22"/>
          <w:szCs w:val="22"/>
        </w:rPr>
        <w:fldChar w:fldCharType="begin" w:fldLock="1"/>
      </w:r>
      <w:r w:rsidRPr="000705A7">
        <w:rPr>
          <w:rFonts w:ascii="Garamond" w:hAnsi="Garamond"/>
          <w:color w:val="000000"/>
          <w:sz w:val="22"/>
          <w:szCs w:val="22"/>
        </w:rPr>
        <w:instrText>ADDIN CSL_CITATION {"citationItems":[{"id":"ITEM-1","itemData":{"ISBN":"0113-6895","ISSN":"0113-6895","abstract":"SmartPLS is one of the prominent software applications for Partial Least Squares Structural Equation Modeling (PLS-SEM). It was developed by Ringle, Wende &amp; Will (2005). The software has gained popularity since its launch in 2005 not only because it is freely available to academics and researchers, but also because it has a friendly user interface and advanced reporting features. Although an extensive number of journal articles have been published on the topic of PLS modeling, the amount of instructional materials available for this software is limited. This paper is written to address this knowledge gap and help beginners to understand how PLS-SEM can be used in marketing research.","author":[{"dropping-particle":"","family":"Wong","given":"KKK Ken Kwong-Kay","non-dropping-particle":"","parse-names":false,"suffix":""}],"container-title":"Marketing Bulletin","id":"ITEM-1","issue":"1","issued":{"date-parts":[["2013"]]},"page":"1-32","title":"Partial Least Squares Structural Equation Modeling (PLS-SEM) Techniques Using SmartPLS","type":"article-journal","volume":"24"},"uris":["http://www.mendeley.com/documents/?uuid=7977856c-0cc4-4c5b-bd14-aad9cb01db39"]}],"mendeley":{"formattedCitation":"(Wong, 2013)","plainTextFormattedCitation":"(Wong, 2013)","previouslyFormattedCitation":"(Wong, 2013)"},"properties":{"noteIndex":0},"schema":"https://github.com/citation-style-language/schema/raw/master/csl-citation.json"}</w:instrText>
      </w:r>
      <w:r w:rsidRPr="000705A7">
        <w:rPr>
          <w:rFonts w:ascii="Garamond" w:hAnsi="Garamond"/>
          <w:color w:val="000000"/>
          <w:sz w:val="22"/>
          <w:szCs w:val="22"/>
        </w:rPr>
        <w:fldChar w:fldCharType="separate"/>
      </w:r>
      <w:r w:rsidRPr="000705A7">
        <w:rPr>
          <w:rFonts w:ascii="Garamond" w:hAnsi="Garamond"/>
          <w:noProof/>
          <w:color w:val="000000"/>
          <w:sz w:val="22"/>
          <w:szCs w:val="22"/>
        </w:rPr>
        <w:t>(Wong, 2013)</w:t>
      </w:r>
      <w:r w:rsidRPr="000705A7">
        <w:rPr>
          <w:rFonts w:ascii="Garamond" w:hAnsi="Garamond"/>
          <w:color w:val="000000"/>
          <w:sz w:val="22"/>
          <w:szCs w:val="22"/>
        </w:rPr>
        <w:fldChar w:fldCharType="end"/>
      </w:r>
      <w:r w:rsidRPr="00F377A4">
        <w:rPr>
          <w:rFonts w:ascii="Garamond" w:hAnsi="Garamond"/>
          <w:color w:val="000000"/>
          <w:sz w:val="22"/>
          <w:szCs w:val="22"/>
        </w:rPr>
        <w:t>.</w:t>
      </w:r>
    </w:p>
  </w:footnote>
  <w:footnote w:id="7">
    <w:p w14:paraId="16D1D79B" w14:textId="0E5FB804" w:rsidR="001A5E30" w:rsidRPr="001A5E30" w:rsidRDefault="001A5E30" w:rsidP="001A5E30">
      <w:pPr>
        <w:jc w:val="both"/>
        <w:rPr>
          <w:rFonts w:ascii="Garamond" w:hAnsi="Garamond"/>
          <w:sz w:val="22"/>
          <w:szCs w:val="22"/>
        </w:rPr>
      </w:pPr>
      <w:r>
        <w:rPr>
          <w:rStyle w:val="FootnoteReference"/>
        </w:rPr>
        <w:footnoteRef/>
      </w:r>
      <w:r>
        <w:t xml:space="preserve"> </w:t>
      </w:r>
      <w:r w:rsidRPr="001A5E30">
        <w:rPr>
          <w:rFonts w:ascii="Garamond" w:hAnsi="Garamond"/>
          <w:sz w:val="22"/>
          <w:szCs w:val="22"/>
        </w:rPr>
        <w:t>The bolded values represent Fornell–Larcker scores of the square root of the AVE values, and off-diagonal (columns Vs rows) denotes the correlation between constructs.</w:t>
      </w:r>
    </w:p>
    <w:p w14:paraId="0B491740" w14:textId="77777777" w:rsidR="001A5E30" w:rsidRPr="001A5E30" w:rsidRDefault="001A5E30" w:rsidP="001A5E30">
      <w:pPr>
        <w:jc w:val="both"/>
        <w:rPr>
          <w:rFonts w:ascii="Garamond" w:hAnsi="Garamond"/>
          <w:sz w:val="22"/>
          <w:szCs w:val="22"/>
        </w:rPr>
      </w:pPr>
      <w:r w:rsidRPr="001A5E30">
        <w:rPr>
          <w:rFonts w:ascii="Garamond" w:hAnsi="Garamond"/>
          <w:sz w:val="22"/>
          <w:szCs w:val="22"/>
        </w:rPr>
        <w:t xml:space="preserve">*The AVE of each latent construct should be higher than the construct's highest squared correlation with any other latent construct (Fornell-Larcker criterion) </w:t>
      </w:r>
      <w:r w:rsidRPr="001A5E30">
        <w:rPr>
          <w:rFonts w:ascii="Garamond" w:hAnsi="Garamond"/>
          <w:sz w:val="22"/>
          <w:szCs w:val="22"/>
        </w:rPr>
        <w:fldChar w:fldCharType="begin" w:fldLock="1"/>
      </w:r>
      <w:r w:rsidRPr="001A5E30">
        <w:rPr>
          <w:rFonts w:ascii="Garamond" w:hAnsi="Garamond"/>
          <w:sz w:val="22"/>
          <w:szCs w:val="22"/>
        </w:rPr>
        <w:instrText>ADDIN CSL_CITATION {"citationItems":[{"id":"ITEM-1","itemData":{"DOI":"10.2753/MTP","ISBN":"1069667919","abstract":"Using qualitative studies involving executives and customers, this study explores the natur of customer engagement (CE), which is a vital component of relationship marketing. We d the intensity of an individual's participation in and connection with an organization's offe or organizational activities, which either the customer or the organization initiate. We arg composed of cognitive, emotional, behavioral, and social elements. Finally, we offer a mod which the participation and involvement of current or potential customers serve as antece while value, trust, affective commitment, word of mouth, loyalty, and brand community i are potential consequences.","author":[{"dropping-particle":"","family":"Hair","given":"Joe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Practice","id":"ITEM-1","issue":"2","issued":{"date-parts":[["2011"]]},"page":"139-151","title":"PPLS-SEM: Indeed a Silver Bullet","type":"article-journal","volume":"19"},"uris":["http://www.mendeley.com/documents/?uuid=3ee528ec-a875-4b58-9316-f891f636f357"]}],"mendeley":{"formattedCitation":"(Joe F Hair et al., 2011)","manualFormatting":"(Hair, Ringle and Sarstedt, 2011, pp. 145)","plainTextFormattedCitation":"(Joe F Hair et al., 2011)","previouslyFormattedCitation":"(Joe F Hair et al., 2011)"},"properties":{"noteIndex":0},"schema":"https://github.com/citation-style-language/schema/raw/master/csl-citation.json"}</w:instrText>
      </w:r>
      <w:r w:rsidRPr="001A5E30">
        <w:rPr>
          <w:rFonts w:ascii="Garamond" w:hAnsi="Garamond"/>
          <w:sz w:val="22"/>
          <w:szCs w:val="22"/>
        </w:rPr>
        <w:fldChar w:fldCharType="separate"/>
      </w:r>
      <w:r w:rsidRPr="001A5E30">
        <w:rPr>
          <w:rFonts w:ascii="Garamond" w:hAnsi="Garamond"/>
          <w:noProof/>
          <w:sz w:val="22"/>
          <w:szCs w:val="22"/>
        </w:rPr>
        <w:t>(Hair, Ringle and Sarstedt, 2011, pp. 145)</w:t>
      </w:r>
      <w:r w:rsidRPr="001A5E30">
        <w:rPr>
          <w:rFonts w:ascii="Garamond" w:hAnsi="Garamond"/>
          <w:sz w:val="22"/>
          <w:szCs w:val="22"/>
        </w:rPr>
        <w:fldChar w:fldCharType="end"/>
      </w:r>
      <w:r w:rsidRPr="001A5E30">
        <w:rPr>
          <w:rFonts w:ascii="Garamond" w:hAnsi="Garamond"/>
          <w:sz w:val="22"/>
          <w:szCs w:val="22"/>
        </w:rPr>
        <w:t>.</w:t>
      </w:r>
    </w:p>
    <w:p w14:paraId="52A7DCF2" w14:textId="0E0D9FBC" w:rsidR="001A5E30" w:rsidRPr="001A5E30" w:rsidRDefault="001A5E30" w:rsidP="001A5E30">
      <w:pPr>
        <w:pStyle w:val="FootnoteText"/>
        <w:jc w:val="both"/>
        <w:rPr>
          <w:sz w:val="22"/>
          <w:szCs w:val="22"/>
          <w:lang w:val="en-US"/>
        </w:rPr>
      </w:pPr>
      <w:r w:rsidRPr="001A5E30">
        <w:rPr>
          <w:rFonts w:ascii="Garamond" w:hAnsi="Garamond"/>
          <w:sz w:val="22"/>
          <w:szCs w:val="22"/>
        </w:rPr>
        <w:t>*</w:t>
      </w:r>
      <w:r w:rsidRPr="001A5E30">
        <w:rPr>
          <w:rFonts w:ascii="Garamond" w:hAnsi="Garamond"/>
          <w:color w:val="000000"/>
          <w:sz w:val="22"/>
          <w:szCs w:val="22"/>
        </w:rPr>
        <w:t xml:space="preserve"> HTMT &lt; 1 = Significant </w:t>
      </w:r>
      <w:r w:rsidRPr="001A5E30">
        <w:rPr>
          <w:rFonts w:ascii="Garamond" w:hAnsi="Garamond"/>
          <w:sz w:val="22"/>
          <w:szCs w:val="22"/>
        </w:rPr>
        <w:fldChar w:fldCharType="begin" w:fldLock="1"/>
      </w:r>
      <w:r w:rsidRPr="001A5E30">
        <w:rPr>
          <w:rFonts w:ascii="Garamond" w:hAnsi="Garamond"/>
          <w:color w:val="000000"/>
          <w:sz w:val="22"/>
          <w:szCs w:val="22"/>
        </w:rPr>
        <w:instrText>ADDIN CSL_CITATION {"citationItems":[{"id":"ITEM-1","itemData":{"DOI":"10.1177/1094428114526928","ISSN":"15527425","abstract":"This article addresses Rönkkö and Evermann's criticisms of the partial least squares (PLS) approach to structural equation modeling. We contend that the alleged shortcomings of PLS are not due to problems with the technique, but instead to three problems with Rönkkö and Evermann's study: (a) the adherence to the common factor model, (b) a very limited simulation designs, and (c) overstretched generalizations of their findings. Whereas Rönkkö and Evermann claim to be dispelling myths about PLS, they have in reality created new myths that we, in turn, debunk. By examining their claims, our article contributes to reestablishing a constructive discussion of the PLS method and its properties. We show that PLS does offer advantages for exploratory research and that it is a viable estimator for composite factor models. This can pose an interesting alternative if the common factor model does not hold. Therefore, we can conclude that PLS should continue to be used as an important statistical tool for management and organizational research, as well as other social science disciplines. © The Author(s) 2014.","author":[{"dropping-particle":"","family":"Henseler","given":"Jörg","non-dropping-particle":"","parse-names":false,"suffix":""},{"dropping-particle":"","family":"Dijkstra","given":"Theo K.","non-dropping-particle":"","parse-names":false,"suffix":""},{"dropping-particle":"","family":"Sarstedt","given":"Marko","non-dropping-particle":"","parse-names":false,"suffix":""},{"dropping-particle":"","family":"Ringle","given":"Christian M.","non-dropping-particle":"","parse-names":false,"suffix":""},{"dropping-particle":"","family":"Diamantopoulos","given":"Adamantios","non-dropping-particle":"","parse-names":false,"suffix":""},{"dropping-particle":"","family":"Straub","given":"Detmar W.","non-dropping-particle":"","parse-names":false,"suffix":""},{"dropping-particle":"","family":"Ketchen","given":"David J.","non-dropping-particle":"","parse-names":false,"suffix":""},{"dropping-particle":"","family":"Hair","given":"Joseph F.","non-dropping-particle":"","parse-names":false,"suffix":""},{"dropping-particle":"","family":"Hult","given":"G. Tomas M.","non-dropping-particle":"","parse-names":false,"suffix":""},{"dropping-particle":"","family":"Calantone","given":"Roger J.","non-dropping-particle":"","parse-names":false,"suffix":""}],"container-title":"Organizational Research Methods","id":"ITEM-1","issue":"2","issued":{"date-parts":[["2014"]]},"page":"182-209","title":"Common Beliefs and Reality About PLS: Comments on Rönkkö and Evermann (2013)","type":"article-journal","volume":"17"},"uris":["http://www.mendeley.com/documents/?uuid=0ee0c3c2-b42b-4ff3-9fdf-d97ba2526a06"]}],"mendeley":{"formattedCitation":"(Henseler et al., 2014)","plainTextFormattedCitation":"(Henseler et al., 2014)","previouslyFormattedCitation":"(Henseler et al., 2014)"},"properties":{"noteIndex":0},"schema":"https://github.com/citation-style-language/schema/raw/master/csl-citation.json"}</w:instrText>
      </w:r>
      <w:r w:rsidRPr="001A5E30">
        <w:rPr>
          <w:rFonts w:ascii="Garamond" w:hAnsi="Garamond"/>
          <w:color w:val="000000"/>
          <w:sz w:val="22"/>
          <w:szCs w:val="22"/>
        </w:rPr>
        <w:fldChar w:fldCharType="separate"/>
      </w:r>
      <w:r w:rsidRPr="001A5E30">
        <w:rPr>
          <w:rFonts w:ascii="Garamond" w:hAnsi="Garamond"/>
          <w:noProof/>
          <w:color w:val="000000"/>
          <w:sz w:val="22"/>
          <w:szCs w:val="22"/>
        </w:rPr>
        <w:t>(Henseler et al., 2014)</w:t>
      </w:r>
      <w:r w:rsidRPr="001A5E30">
        <w:rPr>
          <w:rFonts w:ascii="Garamond" w:hAnsi="Garamond"/>
          <w:color w:val="000000"/>
          <w:sz w:val="22"/>
          <w:szCs w:val="22"/>
        </w:rPr>
        <w:fldChar w:fldCharType="end"/>
      </w:r>
      <w:r w:rsidRPr="001A5E30">
        <w:rPr>
          <w:rFonts w:ascii="Garamond" w:hAnsi="Garamond"/>
          <w:color w:val="000000"/>
          <w:sz w:val="22"/>
          <w:szCs w:val="22"/>
        </w:rPr>
        <w:t xml:space="preserve"> implying that </w:t>
      </w:r>
      <w:r w:rsidRPr="001A5E30">
        <w:rPr>
          <w:rFonts w:ascii="Garamond" w:hAnsi="Garamond"/>
          <w:sz w:val="22"/>
          <w:szCs w:val="22"/>
        </w:rPr>
        <w:t>HTMT correlation scores for each construct falls within the acceptable threshold (up to 0.90) denoting acceptable correlation.</w:t>
      </w:r>
    </w:p>
  </w:footnote>
  <w:footnote w:id="8">
    <w:p w14:paraId="6AF77AD3" w14:textId="77777777" w:rsidR="003D5DE8" w:rsidRPr="00BC16AE" w:rsidRDefault="007549AA">
      <w:pPr>
        <w:pStyle w:val="Caption"/>
        <w:rPr>
          <w:rFonts w:ascii="Garamond" w:hAnsi="Garamond"/>
          <w:sz w:val="22"/>
          <w:szCs w:val="22"/>
        </w:rPr>
      </w:pPr>
      <w:r w:rsidRPr="00BC16AE">
        <w:rPr>
          <w:rStyle w:val="FooterChar"/>
          <w:rFonts w:ascii="Garamond" w:hAnsi="Garamond"/>
          <w:vertAlign w:val="superscript"/>
        </w:rPr>
        <w:footnoteRef/>
      </w:r>
      <w:r w:rsidRPr="00BC16AE">
        <w:rPr>
          <w:rFonts w:ascii="Garamond" w:hAnsi="Garamond"/>
          <w:sz w:val="22"/>
          <w:szCs w:val="22"/>
        </w:rPr>
        <w:t xml:space="preserve"> https://www.dupont.com/news/lowes-teams-up-with-dupont-to-support-companies-making-ppe.html</w:t>
      </w:r>
    </w:p>
  </w:footnote>
  <w:footnote w:id="9">
    <w:p w14:paraId="0DB95F5E" w14:textId="77777777" w:rsidR="00890FB2" w:rsidRPr="00CE753B" w:rsidRDefault="00890FB2" w:rsidP="00813D37">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3">
        <w:r w:rsidRPr="00CE753B">
          <w:rPr>
            <w:rStyle w:val="Heading3Char"/>
            <w:rFonts w:ascii="Garamond" w:hAnsi="Garamond" w:cs="Times New Roman"/>
            <w:color w:val="auto"/>
            <w:sz w:val="22"/>
            <w:szCs w:val="22"/>
          </w:rPr>
          <w:t>https://www.worldometers.info/coronavirus/</w:t>
        </w:r>
      </w:hyperlink>
      <w:r w:rsidRPr="00CE753B">
        <w:rPr>
          <w:rFonts w:ascii="Garamond" w:hAnsi="Garamond"/>
          <w:color w:val="auto"/>
          <w:sz w:val="22"/>
          <w:szCs w:val="22"/>
        </w:rPr>
        <w:t xml:space="preserve"> (accessed 24/05/2020)</w:t>
      </w:r>
    </w:p>
  </w:footnote>
  <w:footnote w:id="10">
    <w:p w14:paraId="1B8C5206" w14:textId="77777777" w:rsidR="00890FB2" w:rsidRPr="00CE753B" w:rsidRDefault="00890FB2" w:rsidP="00813D37">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4">
        <w:r w:rsidRPr="00CE753B">
          <w:rPr>
            <w:rStyle w:val="Heading3Char"/>
            <w:rFonts w:ascii="Garamond" w:hAnsi="Garamond" w:cs="Times New Roman"/>
            <w:color w:val="auto"/>
            <w:sz w:val="22"/>
            <w:szCs w:val="22"/>
          </w:rPr>
          <w:t>https://covid19.who.int/region/euro/country/it</w:t>
        </w:r>
      </w:hyperlink>
      <w:r w:rsidRPr="00CE753B">
        <w:rPr>
          <w:rFonts w:ascii="Garamond" w:hAnsi="Garamond"/>
          <w:color w:val="auto"/>
          <w:sz w:val="22"/>
          <w:szCs w:val="22"/>
        </w:rPr>
        <w:t xml:space="preserve"> (accessed 24/05/2020)</w:t>
      </w:r>
    </w:p>
  </w:footnote>
  <w:footnote w:id="11">
    <w:p w14:paraId="1ECBDF42" w14:textId="77777777" w:rsidR="003D5DE8" w:rsidRPr="00CE753B" w:rsidRDefault="007549AA" w:rsidP="00890FB2">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vertAlign w:val="superscript"/>
        </w:rPr>
        <w:t xml:space="preserve"> </w:t>
      </w:r>
      <w:hyperlink r:id="rId5">
        <w:r w:rsidRPr="00CE753B">
          <w:rPr>
            <w:rStyle w:val="Heading3Char"/>
            <w:rFonts w:ascii="Garamond" w:hAnsi="Garamond" w:cs="Times New Roman"/>
            <w:color w:val="auto"/>
            <w:sz w:val="22"/>
            <w:szCs w:val="22"/>
          </w:rPr>
          <w:t>https://www.cdc.gov/niosh/topics/emres/ppe.html</w:t>
        </w:r>
      </w:hyperlink>
      <w:r w:rsidRPr="00CE753B">
        <w:rPr>
          <w:rFonts w:ascii="Garamond" w:hAnsi="Garamond"/>
          <w:color w:val="auto"/>
          <w:sz w:val="22"/>
          <w:szCs w:val="22"/>
        </w:rPr>
        <w:t xml:space="preserve"> (accessed 24/05/2020)</w:t>
      </w:r>
    </w:p>
  </w:footnote>
  <w:footnote w:id="12">
    <w:p w14:paraId="0E40B295" w14:textId="77777777" w:rsidR="003D5DE8" w:rsidRPr="00CE753B" w:rsidRDefault="007549AA" w:rsidP="00890FB2">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6">
        <w:r w:rsidRPr="00CE753B">
          <w:rPr>
            <w:rStyle w:val="Heading3Char"/>
            <w:rFonts w:ascii="Garamond" w:hAnsi="Garamond" w:cs="Times New Roman"/>
            <w:color w:val="auto"/>
            <w:sz w:val="22"/>
            <w:szCs w:val="22"/>
          </w:rPr>
          <w:t>https://www.cdc.gov/niosh/topics/emres/ppe.html</w:t>
        </w:r>
      </w:hyperlink>
      <w:r w:rsidRPr="00CE753B">
        <w:rPr>
          <w:rFonts w:ascii="Garamond" w:hAnsi="Garamond"/>
          <w:color w:val="auto"/>
          <w:sz w:val="22"/>
          <w:szCs w:val="22"/>
        </w:rPr>
        <w:t xml:space="preserve"> (accessed 24/05/2020)</w:t>
      </w:r>
    </w:p>
  </w:footnote>
  <w:footnote w:id="13">
    <w:p w14:paraId="630FBC2B" w14:textId="77777777" w:rsidR="003D5DE8" w:rsidRPr="00CE753B" w:rsidRDefault="007549AA" w:rsidP="00890FB2">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vertAlign w:val="superscript"/>
        </w:rPr>
        <w:t xml:space="preserve"> </w:t>
      </w:r>
      <w:hyperlink r:id="rId7">
        <w:r w:rsidRPr="00CE753B">
          <w:rPr>
            <w:rStyle w:val="Heading3Char"/>
            <w:rFonts w:ascii="Garamond" w:hAnsi="Garamond" w:cs="Times New Roman"/>
            <w:color w:val="auto"/>
            <w:sz w:val="22"/>
            <w:szCs w:val="22"/>
          </w:rPr>
          <w:t>https://www.cdc.gov/niosh/topics/emres/ppe.html</w:t>
        </w:r>
      </w:hyperlink>
      <w:r w:rsidRPr="00CE753B">
        <w:rPr>
          <w:rFonts w:ascii="Garamond" w:hAnsi="Garamond"/>
          <w:color w:val="auto"/>
          <w:sz w:val="22"/>
          <w:szCs w:val="22"/>
        </w:rPr>
        <w:t xml:space="preserve"> (accessed 24/05/2020)</w:t>
      </w:r>
    </w:p>
  </w:footnote>
  <w:footnote w:id="14">
    <w:p w14:paraId="6DB2A6BE" w14:textId="77777777" w:rsidR="003D5DE8" w:rsidRPr="00CE753B" w:rsidRDefault="007549AA" w:rsidP="00890FB2">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8">
        <w:r w:rsidRPr="00CE753B">
          <w:rPr>
            <w:rStyle w:val="Heading3Char"/>
            <w:rFonts w:ascii="Garamond" w:hAnsi="Garamond" w:cs="Times New Roman"/>
            <w:color w:val="auto"/>
            <w:sz w:val="22"/>
            <w:szCs w:val="22"/>
          </w:rPr>
          <w:t>http://www.Alpha-vr.it/</w:t>
        </w:r>
      </w:hyperlink>
      <w:r w:rsidRPr="00CE753B">
        <w:rPr>
          <w:rFonts w:ascii="Garamond" w:hAnsi="Garamond"/>
          <w:color w:val="auto"/>
          <w:sz w:val="22"/>
          <w:szCs w:val="22"/>
        </w:rPr>
        <w:t xml:space="preserve"> (accessed 22/05/2020)</w:t>
      </w:r>
    </w:p>
  </w:footnote>
  <w:footnote w:id="15">
    <w:p w14:paraId="79B3C127" w14:textId="77777777" w:rsidR="003D5DE8" w:rsidRPr="00CE753B" w:rsidRDefault="007549AA" w:rsidP="00890FB2">
      <w:pPr>
        <w:pStyle w:val="Caption"/>
        <w:spacing w:after="0"/>
        <w:jc w:val="both"/>
        <w:rPr>
          <w:rFonts w:ascii="Garamond" w:hAnsi="Garamond"/>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9">
        <w:r w:rsidRPr="00CE753B">
          <w:rPr>
            <w:rStyle w:val="Heading3Char"/>
            <w:rFonts w:ascii="Garamond" w:hAnsi="Garamond" w:cs="Times New Roman"/>
            <w:color w:val="auto"/>
            <w:sz w:val="22"/>
            <w:szCs w:val="22"/>
          </w:rPr>
          <w:t>https://Beta.com/</w:t>
        </w:r>
      </w:hyperlink>
      <w:r w:rsidRPr="00CE753B">
        <w:rPr>
          <w:rFonts w:ascii="Garamond" w:hAnsi="Garamond"/>
          <w:color w:val="auto"/>
          <w:sz w:val="22"/>
          <w:szCs w:val="22"/>
        </w:rPr>
        <w:t xml:space="preserve"> (accessed 22/05/20)</w:t>
      </w:r>
    </w:p>
  </w:footnote>
  <w:footnote w:id="16">
    <w:p w14:paraId="0005F85F" w14:textId="77777777" w:rsidR="003D5DE8" w:rsidRPr="00890FB2" w:rsidRDefault="007549AA" w:rsidP="00890FB2">
      <w:pPr>
        <w:pStyle w:val="Caption"/>
        <w:spacing w:after="0"/>
        <w:jc w:val="both"/>
        <w:rPr>
          <w:color w:val="auto"/>
          <w:sz w:val="22"/>
          <w:szCs w:val="22"/>
        </w:rPr>
      </w:pPr>
      <w:r w:rsidRPr="00CE753B">
        <w:rPr>
          <w:rStyle w:val="FooterChar"/>
          <w:rFonts w:ascii="Garamond" w:hAnsi="Garamond"/>
          <w:color w:val="auto"/>
          <w:vertAlign w:val="superscript"/>
        </w:rPr>
        <w:footnoteRef/>
      </w:r>
      <w:r w:rsidRPr="00CE753B">
        <w:rPr>
          <w:rFonts w:ascii="Garamond" w:hAnsi="Garamond"/>
          <w:color w:val="auto"/>
          <w:sz w:val="22"/>
          <w:szCs w:val="22"/>
        </w:rPr>
        <w:t xml:space="preserve"> </w:t>
      </w:r>
      <w:hyperlink r:id="rId10">
        <w:r w:rsidRPr="00CE753B">
          <w:rPr>
            <w:rStyle w:val="Heading3Char"/>
            <w:rFonts w:ascii="Garamond" w:hAnsi="Garamond" w:cs="Times New Roman"/>
            <w:color w:val="auto"/>
            <w:sz w:val="22"/>
            <w:szCs w:val="22"/>
          </w:rPr>
          <w:t>https://Beta.com/</w:t>
        </w:r>
      </w:hyperlink>
      <w:r w:rsidRPr="00CE753B">
        <w:rPr>
          <w:rFonts w:ascii="Garamond" w:hAnsi="Garamond"/>
          <w:color w:val="auto"/>
          <w:sz w:val="22"/>
          <w:szCs w:val="22"/>
        </w:rPr>
        <w:t xml:space="preserve"> (accessed 22/05/20)</w:t>
      </w:r>
    </w:p>
  </w:footnote>
  <w:footnote w:id="17">
    <w:p w14:paraId="00160A17" w14:textId="77777777" w:rsidR="003D5DE8" w:rsidRPr="00CE753B" w:rsidRDefault="007549AA">
      <w:pPr>
        <w:pStyle w:val="Caption"/>
        <w:jc w:val="both"/>
        <w:rPr>
          <w:rFonts w:ascii="Garamond" w:hAnsi="Garamond"/>
          <w:sz w:val="22"/>
          <w:szCs w:val="22"/>
        </w:rPr>
      </w:pPr>
      <w:r w:rsidRPr="00CE753B">
        <w:rPr>
          <w:rStyle w:val="FooterChar"/>
          <w:rFonts w:ascii="Garamond" w:hAnsi="Garamond"/>
          <w:vertAlign w:val="superscript"/>
        </w:rPr>
        <w:footnoteRef/>
      </w:r>
      <w:r w:rsidRPr="00CE753B">
        <w:rPr>
          <w:rFonts w:ascii="Garamond" w:hAnsi="Garamond"/>
          <w:sz w:val="22"/>
          <w:szCs w:val="22"/>
        </w:rPr>
        <w:t xml:space="preserve"> </w:t>
      </w:r>
      <w:hyperlink r:id="rId11">
        <w:r w:rsidRPr="00CE753B">
          <w:rPr>
            <w:rStyle w:val="Heading3Char"/>
            <w:rFonts w:ascii="Garamond" w:hAnsi="Garamond" w:cs="Times New Roman"/>
            <w:sz w:val="22"/>
            <w:szCs w:val="22"/>
          </w:rPr>
          <w:t>https://Gamma.com/</w:t>
        </w:r>
      </w:hyperlink>
      <w:r w:rsidRPr="00CE753B">
        <w:rPr>
          <w:rFonts w:ascii="Garamond" w:hAnsi="Garamond"/>
          <w:sz w:val="22"/>
          <w:szCs w:val="22"/>
        </w:rPr>
        <w:t xml:space="preserve"> (accessed 29/7/202)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AA9BE" w14:textId="77777777" w:rsidR="003D5DE8" w:rsidRDefault="003D5DE8">
    <w:pPr>
      <w:pStyle w:val="Heading"/>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B1EB3" w14:textId="77777777" w:rsidR="003D5DE8" w:rsidRDefault="003D5DE8">
    <w:pPr>
      <w:pStyle w:val="Head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25979"/>
    <w:multiLevelType w:val="multilevel"/>
    <w:tmpl w:val="93F001A8"/>
    <w:lvl w:ilvl="0">
      <w:start w:val="1"/>
      <w:numFmt w:val="decimal"/>
      <w:pStyle w:val="MDPI71References"/>
      <w:lvlText w:val="%1."/>
      <w:lvlJc w:val="left"/>
      <w:pPr>
        <w:tabs>
          <w:tab w:val="num" w:pos="0"/>
        </w:tabs>
        <w:ind w:left="425" w:hanging="425"/>
      </w:pPr>
      <w:rPr>
        <w:sz w:val="18"/>
        <w:szCs w:val="1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81C5CAE"/>
    <w:multiLevelType w:val="hybridMultilevel"/>
    <w:tmpl w:val="A6F8F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D22CE"/>
    <w:multiLevelType w:val="multilevel"/>
    <w:tmpl w:val="EECA6B86"/>
    <w:lvl w:ilvl="0">
      <w:start w:val="3"/>
      <w:numFmt w:val="decimal"/>
      <w:lvlText w:val="%1."/>
      <w:lvlJc w:val="left"/>
      <w:pPr>
        <w:tabs>
          <w:tab w:val="num" w:pos="0"/>
        </w:tabs>
        <w:ind w:left="360" w:hanging="360"/>
      </w:pPr>
    </w:lvl>
    <w:lvl w:ilvl="1">
      <w:start w:val="1"/>
      <w:numFmt w:val="decimal"/>
      <w:lvlText w:val="%1.%2."/>
      <w:lvlJc w:val="left"/>
      <w:pPr>
        <w:tabs>
          <w:tab w:val="num" w:pos="0"/>
        </w:tabs>
        <w:ind w:left="360" w:hanging="360"/>
      </w:pPr>
      <w:rPr>
        <w:rFonts w:ascii="Times New Roman" w:hAnsi="Times New Roman" w:cs="Times New Roman"/>
        <w:i w:val="0"/>
        <w:iCs w:val="0"/>
      </w:rPr>
    </w:lvl>
    <w:lvl w:ilvl="2">
      <w:start w:val="1"/>
      <w:numFmt w:val="decimal"/>
      <w:lvlText w:val="%1.%2.%3."/>
      <w:lvlJc w:val="left"/>
      <w:pPr>
        <w:tabs>
          <w:tab w:val="num" w:pos="0"/>
        </w:tabs>
        <w:ind w:left="720" w:hanging="720"/>
      </w:pPr>
      <w:rPr>
        <w:rFonts w:ascii="Times New Roman" w:hAnsi="Times New Roman" w:cs="Times New Roman"/>
        <w:b/>
        <w:bCs/>
        <w:i/>
        <w:iCs/>
        <w:sz w:val="24"/>
        <w:szCs w:val="24"/>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3" w15:restartNumberingAfterBreak="0">
    <w:nsid w:val="19F638F7"/>
    <w:multiLevelType w:val="multilevel"/>
    <w:tmpl w:val="3BE8BC34"/>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15:restartNumberingAfterBreak="0">
    <w:nsid w:val="1C8958AE"/>
    <w:multiLevelType w:val="hybridMultilevel"/>
    <w:tmpl w:val="F058E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A56BEE"/>
    <w:multiLevelType w:val="multilevel"/>
    <w:tmpl w:val="90102866"/>
    <w:lvl w:ilvl="0">
      <w:start w:val="4"/>
      <w:numFmt w:val="decimal"/>
      <w:lvlText w:val="%1."/>
      <w:lvlJc w:val="left"/>
      <w:pPr>
        <w:tabs>
          <w:tab w:val="num" w:pos="0"/>
        </w:tabs>
        <w:ind w:left="360" w:hanging="360"/>
      </w:pPr>
    </w:lvl>
    <w:lvl w:ilvl="1">
      <w:start w:val="5"/>
      <w:numFmt w:val="decimal"/>
      <w:lvlText w:val="%1.%2."/>
      <w:lvlJc w:val="left"/>
      <w:pPr>
        <w:tabs>
          <w:tab w:val="num" w:pos="0"/>
        </w:tabs>
        <w:ind w:left="360" w:hanging="360"/>
      </w:pPr>
    </w:lvl>
    <w:lvl w:ilvl="2">
      <w:start w:val="1"/>
      <w:numFmt w:val="decimal"/>
      <w:lvlText w:val="%1.%2.%3."/>
      <w:lvlJc w:val="left"/>
      <w:pPr>
        <w:tabs>
          <w:tab w:val="num" w:pos="0"/>
        </w:tabs>
        <w:ind w:left="720" w:hanging="720"/>
      </w:pPr>
      <w:rPr>
        <w:i/>
        <w:iCs/>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6" w15:restartNumberingAfterBreak="0">
    <w:nsid w:val="24B57C66"/>
    <w:multiLevelType w:val="multilevel"/>
    <w:tmpl w:val="294218C6"/>
    <w:lvl w:ilvl="0">
      <w:start w:val="2"/>
      <w:numFmt w:val="decimal"/>
      <w:lvlText w:val="%1."/>
      <w:lvlJc w:val="left"/>
      <w:pPr>
        <w:tabs>
          <w:tab w:val="num" w:pos="0"/>
        </w:tabs>
        <w:ind w:left="360" w:hanging="360"/>
      </w:pPr>
      <w:rPr>
        <w:sz w:val="24"/>
        <w:szCs w:val="24"/>
      </w:rPr>
    </w:lvl>
    <w:lvl w:ilvl="1">
      <w:start w:val="1"/>
      <w:numFmt w:val="decimal"/>
      <w:lvlText w:val="%1.%2."/>
      <w:lvlJc w:val="left"/>
      <w:pPr>
        <w:tabs>
          <w:tab w:val="num" w:pos="0"/>
        </w:tabs>
        <w:ind w:left="360" w:hanging="360"/>
      </w:pPr>
      <w:rPr>
        <w:b/>
        <w:bCs/>
        <w:i w:val="0"/>
        <w:iCs w:val="0"/>
        <w:sz w:val="24"/>
        <w:szCs w:val="24"/>
      </w:rPr>
    </w:lvl>
    <w:lvl w:ilvl="2">
      <w:start w:val="1"/>
      <w:numFmt w:val="decimal"/>
      <w:lvlText w:val="%1.%2.%3."/>
      <w:lvlJc w:val="left"/>
      <w:pPr>
        <w:tabs>
          <w:tab w:val="num" w:pos="0"/>
        </w:tabs>
        <w:ind w:left="720" w:hanging="720"/>
      </w:pPr>
      <w:rPr>
        <w:rFonts w:ascii="Times New Roman" w:hAnsi="Times New Roman" w:cs="Times New Roman"/>
        <w:b/>
        <w:bCs/>
        <w:i/>
        <w:iCs/>
        <w:sz w:val="24"/>
        <w:szCs w:val="24"/>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7" w15:restartNumberingAfterBreak="0">
    <w:nsid w:val="25F6128C"/>
    <w:multiLevelType w:val="multilevel"/>
    <w:tmpl w:val="72AC93C8"/>
    <w:lvl w:ilvl="0">
      <w:start w:val="3"/>
      <w:numFmt w:val="decimal"/>
      <w:lvlText w:val="%1."/>
      <w:lvlJc w:val="left"/>
      <w:pPr>
        <w:tabs>
          <w:tab w:val="num" w:pos="0"/>
        </w:tabs>
        <w:ind w:left="540" w:hanging="540"/>
      </w:pPr>
    </w:lvl>
    <w:lvl w:ilvl="1">
      <w:start w:val="5"/>
      <w:numFmt w:val="decimal"/>
      <w:lvlText w:val="%1.%2."/>
      <w:lvlJc w:val="left"/>
      <w:pPr>
        <w:tabs>
          <w:tab w:val="num" w:pos="0"/>
        </w:tabs>
        <w:ind w:left="540" w:hanging="540"/>
      </w:pPr>
    </w:lvl>
    <w:lvl w:ilvl="2">
      <w:start w:val="6"/>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8" w15:restartNumberingAfterBreak="0">
    <w:nsid w:val="2AF9515C"/>
    <w:multiLevelType w:val="multilevel"/>
    <w:tmpl w:val="D99021C4"/>
    <w:lvl w:ilvl="0">
      <w:start w:val="3"/>
      <w:numFmt w:val="decimal"/>
      <w:lvlText w:val="%1."/>
      <w:lvlJc w:val="left"/>
      <w:pPr>
        <w:tabs>
          <w:tab w:val="num" w:pos="0"/>
        </w:tabs>
        <w:ind w:left="540" w:hanging="540"/>
      </w:pPr>
    </w:lvl>
    <w:lvl w:ilvl="1">
      <w:start w:val="6"/>
      <w:numFmt w:val="decimal"/>
      <w:lvlText w:val="%1.%2."/>
      <w:lvlJc w:val="left"/>
      <w:pPr>
        <w:tabs>
          <w:tab w:val="num" w:pos="0"/>
        </w:tabs>
        <w:ind w:left="540" w:hanging="540"/>
      </w:pPr>
    </w:lvl>
    <w:lvl w:ilvl="2">
      <w:start w:val="1"/>
      <w:numFmt w:val="decimal"/>
      <w:lvlText w:val="%1.%2.%3."/>
      <w:lvlJc w:val="left"/>
      <w:pPr>
        <w:tabs>
          <w:tab w:val="num" w:pos="0"/>
        </w:tabs>
        <w:ind w:left="720" w:hanging="720"/>
      </w:pPr>
      <w:rPr>
        <w:rFonts w:ascii="Times New Roman" w:hAnsi="Times New Roman" w:cs="Times New Roman"/>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9" w15:restartNumberingAfterBreak="0">
    <w:nsid w:val="39F94B55"/>
    <w:multiLevelType w:val="multilevel"/>
    <w:tmpl w:val="98E2986C"/>
    <w:lvl w:ilvl="0">
      <w:start w:val="1"/>
      <w:numFmt w:val="bullet"/>
      <w:pStyle w:val="MDPI38bullet"/>
      <w:lvlText w:val=""/>
      <w:lvlJc w:val="left"/>
      <w:pPr>
        <w:tabs>
          <w:tab w:val="num" w:pos="0"/>
        </w:tabs>
        <w:ind w:left="3033" w:hanging="425"/>
      </w:pPr>
      <w:rPr>
        <w:rFonts w:ascii="Symbol" w:hAnsi="Symbol" w:cs="Symbol" w:hint="default"/>
      </w:rPr>
    </w:lvl>
    <w:lvl w:ilvl="1">
      <w:start w:val="1"/>
      <w:numFmt w:val="bullet"/>
      <w:lvlText w:val="o"/>
      <w:lvlJc w:val="left"/>
      <w:pPr>
        <w:tabs>
          <w:tab w:val="num" w:pos="0"/>
        </w:tabs>
        <w:ind w:left="4048" w:hanging="360"/>
      </w:pPr>
      <w:rPr>
        <w:rFonts w:ascii="Courier New" w:hAnsi="Courier New" w:cs="Courier New" w:hint="default"/>
      </w:rPr>
    </w:lvl>
    <w:lvl w:ilvl="2">
      <w:start w:val="1"/>
      <w:numFmt w:val="bullet"/>
      <w:lvlText w:val=""/>
      <w:lvlJc w:val="left"/>
      <w:pPr>
        <w:tabs>
          <w:tab w:val="num" w:pos="0"/>
        </w:tabs>
        <w:ind w:left="4768" w:hanging="360"/>
      </w:pPr>
      <w:rPr>
        <w:rFonts w:ascii="Wingdings" w:hAnsi="Wingdings" w:cs="Wingdings" w:hint="default"/>
      </w:rPr>
    </w:lvl>
    <w:lvl w:ilvl="3">
      <w:start w:val="1"/>
      <w:numFmt w:val="bullet"/>
      <w:lvlText w:val=""/>
      <w:lvlJc w:val="left"/>
      <w:pPr>
        <w:tabs>
          <w:tab w:val="num" w:pos="0"/>
        </w:tabs>
        <w:ind w:left="5488" w:hanging="360"/>
      </w:pPr>
      <w:rPr>
        <w:rFonts w:ascii="Symbol" w:hAnsi="Symbol" w:cs="Symbol" w:hint="default"/>
      </w:rPr>
    </w:lvl>
    <w:lvl w:ilvl="4">
      <w:start w:val="1"/>
      <w:numFmt w:val="bullet"/>
      <w:lvlText w:val="o"/>
      <w:lvlJc w:val="left"/>
      <w:pPr>
        <w:tabs>
          <w:tab w:val="num" w:pos="0"/>
        </w:tabs>
        <w:ind w:left="6208" w:hanging="360"/>
      </w:pPr>
      <w:rPr>
        <w:rFonts w:ascii="Courier New" w:hAnsi="Courier New" w:cs="Courier New" w:hint="default"/>
      </w:rPr>
    </w:lvl>
    <w:lvl w:ilvl="5">
      <w:start w:val="1"/>
      <w:numFmt w:val="bullet"/>
      <w:lvlText w:val=""/>
      <w:lvlJc w:val="left"/>
      <w:pPr>
        <w:tabs>
          <w:tab w:val="num" w:pos="0"/>
        </w:tabs>
        <w:ind w:left="6928" w:hanging="360"/>
      </w:pPr>
      <w:rPr>
        <w:rFonts w:ascii="Wingdings" w:hAnsi="Wingdings" w:cs="Wingdings" w:hint="default"/>
      </w:rPr>
    </w:lvl>
    <w:lvl w:ilvl="6">
      <w:start w:val="1"/>
      <w:numFmt w:val="bullet"/>
      <w:lvlText w:val=""/>
      <w:lvlJc w:val="left"/>
      <w:pPr>
        <w:tabs>
          <w:tab w:val="num" w:pos="0"/>
        </w:tabs>
        <w:ind w:left="7648" w:hanging="360"/>
      </w:pPr>
      <w:rPr>
        <w:rFonts w:ascii="Symbol" w:hAnsi="Symbol" w:cs="Symbol" w:hint="default"/>
      </w:rPr>
    </w:lvl>
    <w:lvl w:ilvl="7">
      <w:start w:val="1"/>
      <w:numFmt w:val="bullet"/>
      <w:lvlText w:val="o"/>
      <w:lvlJc w:val="left"/>
      <w:pPr>
        <w:tabs>
          <w:tab w:val="num" w:pos="0"/>
        </w:tabs>
        <w:ind w:left="8368" w:hanging="360"/>
      </w:pPr>
      <w:rPr>
        <w:rFonts w:ascii="Courier New" w:hAnsi="Courier New" w:cs="Courier New" w:hint="default"/>
      </w:rPr>
    </w:lvl>
    <w:lvl w:ilvl="8">
      <w:start w:val="1"/>
      <w:numFmt w:val="bullet"/>
      <w:lvlText w:val=""/>
      <w:lvlJc w:val="left"/>
      <w:pPr>
        <w:tabs>
          <w:tab w:val="num" w:pos="0"/>
        </w:tabs>
        <w:ind w:left="9088" w:hanging="360"/>
      </w:pPr>
      <w:rPr>
        <w:rFonts w:ascii="Wingdings" w:hAnsi="Wingdings" w:cs="Wingdings" w:hint="default"/>
      </w:rPr>
    </w:lvl>
  </w:abstractNum>
  <w:abstractNum w:abstractNumId="10" w15:restartNumberingAfterBreak="0">
    <w:nsid w:val="49E10F4F"/>
    <w:multiLevelType w:val="multilevel"/>
    <w:tmpl w:val="0B7E5E5C"/>
    <w:lvl w:ilvl="0">
      <w:start w:val="1"/>
      <w:numFmt w:val="decimal"/>
      <w:pStyle w:val="MDPI37itemize"/>
      <w:lvlText w:val="%1."/>
      <w:lvlJc w:val="left"/>
      <w:pPr>
        <w:tabs>
          <w:tab w:val="num" w:pos="0"/>
        </w:tabs>
        <w:ind w:left="3033" w:hanging="425"/>
      </w:pPr>
    </w:lvl>
    <w:lvl w:ilvl="1">
      <w:start w:val="1"/>
      <w:numFmt w:val="lowerLetter"/>
      <w:lvlText w:val="%2."/>
      <w:lvlJc w:val="left"/>
      <w:pPr>
        <w:tabs>
          <w:tab w:val="num" w:pos="0"/>
        </w:tabs>
        <w:ind w:left="3691" w:hanging="360"/>
      </w:pPr>
    </w:lvl>
    <w:lvl w:ilvl="2">
      <w:start w:val="1"/>
      <w:numFmt w:val="lowerRoman"/>
      <w:lvlText w:val="%3."/>
      <w:lvlJc w:val="right"/>
      <w:pPr>
        <w:tabs>
          <w:tab w:val="num" w:pos="0"/>
        </w:tabs>
        <w:ind w:left="4411" w:hanging="180"/>
      </w:pPr>
    </w:lvl>
    <w:lvl w:ilvl="3">
      <w:start w:val="1"/>
      <w:numFmt w:val="decimal"/>
      <w:lvlText w:val="%4."/>
      <w:lvlJc w:val="left"/>
      <w:pPr>
        <w:tabs>
          <w:tab w:val="num" w:pos="0"/>
        </w:tabs>
        <w:ind w:left="5131" w:hanging="360"/>
      </w:pPr>
    </w:lvl>
    <w:lvl w:ilvl="4">
      <w:start w:val="1"/>
      <w:numFmt w:val="lowerLetter"/>
      <w:lvlText w:val="%5."/>
      <w:lvlJc w:val="left"/>
      <w:pPr>
        <w:tabs>
          <w:tab w:val="num" w:pos="0"/>
        </w:tabs>
        <w:ind w:left="5851" w:hanging="360"/>
      </w:pPr>
    </w:lvl>
    <w:lvl w:ilvl="5">
      <w:start w:val="1"/>
      <w:numFmt w:val="lowerRoman"/>
      <w:lvlText w:val="%6."/>
      <w:lvlJc w:val="right"/>
      <w:pPr>
        <w:tabs>
          <w:tab w:val="num" w:pos="0"/>
        </w:tabs>
        <w:ind w:left="6571" w:hanging="180"/>
      </w:pPr>
    </w:lvl>
    <w:lvl w:ilvl="6">
      <w:start w:val="1"/>
      <w:numFmt w:val="decimal"/>
      <w:lvlText w:val="%7."/>
      <w:lvlJc w:val="left"/>
      <w:pPr>
        <w:tabs>
          <w:tab w:val="num" w:pos="0"/>
        </w:tabs>
        <w:ind w:left="7291" w:hanging="360"/>
      </w:pPr>
    </w:lvl>
    <w:lvl w:ilvl="7">
      <w:start w:val="1"/>
      <w:numFmt w:val="lowerLetter"/>
      <w:lvlText w:val="%8."/>
      <w:lvlJc w:val="left"/>
      <w:pPr>
        <w:tabs>
          <w:tab w:val="num" w:pos="0"/>
        </w:tabs>
        <w:ind w:left="8011" w:hanging="360"/>
      </w:pPr>
    </w:lvl>
    <w:lvl w:ilvl="8">
      <w:start w:val="1"/>
      <w:numFmt w:val="lowerRoman"/>
      <w:lvlText w:val="%9."/>
      <w:lvlJc w:val="right"/>
      <w:pPr>
        <w:tabs>
          <w:tab w:val="num" w:pos="0"/>
        </w:tabs>
        <w:ind w:left="8731" w:hanging="180"/>
      </w:pPr>
    </w:lvl>
  </w:abstractNum>
  <w:abstractNum w:abstractNumId="11" w15:restartNumberingAfterBreak="0">
    <w:nsid w:val="576E57F1"/>
    <w:multiLevelType w:val="multilevel"/>
    <w:tmpl w:val="FEEA07DE"/>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12" w15:restartNumberingAfterBreak="0">
    <w:nsid w:val="5A2A3D59"/>
    <w:multiLevelType w:val="multilevel"/>
    <w:tmpl w:val="8BA0FD92"/>
    <w:lvl w:ilvl="0">
      <w:numFmt w:val="bullet"/>
      <w:lvlText w:val=""/>
      <w:lvlJc w:val="left"/>
      <w:pPr>
        <w:ind w:left="1004" w:hanging="360"/>
      </w:pPr>
      <w:rPr>
        <w:rFonts w:ascii="Wingdings" w:hAnsi="Wingdings"/>
      </w:rPr>
    </w:lvl>
    <w:lvl w:ilvl="1">
      <w:numFmt w:val="bullet"/>
      <w:lvlText w:val="o"/>
      <w:lvlJc w:val="left"/>
      <w:pPr>
        <w:ind w:left="1724" w:hanging="360"/>
      </w:pPr>
      <w:rPr>
        <w:rFonts w:ascii="Courier New" w:hAnsi="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rPr>
    </w:lvl>
    <w:lvl w:ilvl="8">
      <w:numFmt w:val="bullet"/>
      <w:lvlText w:val=""/>
      <w:lvlJc w:val="left"/>
      <w:pPr>
        <w:ind w:left="6764" w:hanging="360"/>
      </w:pPr>
      <w:rPr>
        <w:rFonts w:ascii="Wingdings" w:hAnsi="Wingdings"/>
      </w:rPr>
    </w:lvl>
  </w:abstractNum>
  <w:abstractNum w:abstractNumId="13" w15:restartNumberingAfterBreak="0">
    <w:nsid w:val="61BD627C"/>
    <w:multiLevelType w:val="multilevel"/>
    <w:tmpl w:val="170C89F8"/>
    <w:lvl w:ilvl="0">
      <w:start w:val="1"/>
      <w:numFmt w:val="decimal"/>
      <w:pStyle w:val="MDPI71FootNotes"/>
      <w:lvlText w:val="%1"/>
      <w:lvlJc w:val="left"/>
      <w:pPr>
        <w:tabs>
          <w:tab w:val="num" w:pos="0"/>
        </w:tabs>
        <w:ind w:left="425" w:hanging="425"/>
      </w:pPr>
      <w:rPr>
        <w:caps w:val="0"/>
        <w:smallCaps w:val="0"/>
        <w:strike w:val="0"/>
        <w:dstrike w:val="0"/>
        <w:vanish w:val="0"/>
        <w:sz w:val="18"/>
        <w:vertAlign w:val="superscrip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ascii="Times New Roman" w:hAnsi="Times New Roman" w:cs="Times New Roman" w:hint="default"/>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6B184161"/>
    <w:multiLevelType w:val="multilevel"/>
    <w:tmpl w:val="B0E836B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5" w15:restartNumberingAfterBreak="0">
    <w:nsid w:val="70180CC6"/>
    <w:multiLevelType w:val="multilevel"/>
    <w:tmpl w:val="7C867C2E"/>
    <w:lvl w:ilvl="0">
      <w:start w:val="1"/>
      <w:numFmt w:val="decimal"/>
      <w:lvlText w:val="%1."/>
      <w:lvlJc w:val="left"/>
      <w:pPr>
        <w:tabs>
          <w:tab w:val="num" w:pos="4140"/>
        </w:tabs>
        <w:ind w:left="48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79B32306"/>
    <w:multiLevelType w:val="multilevel"/>
    <w:tmpl w:val="9C84E010"/>
    <w:lvl w:ilvl="0">
      <w:start w:val="1"/>
      <w:numFmt w:val="decimal"/>
      <w:lvlText w:val="%1."/>
      <w:lvlJc w:val="left"/>
      <w:pPr>
        <w:tabs>
          <w:tab w:val="num" w:pos="0"/>
        </w:tabs>
        <w:ind w:left="360" w:hanging="360"/>
      </w:pPr>
    </w:lvl>
    <w:lvl w:ilvl="1">
      <w:start w:val="1"/>
      <w:numFmt w:val="decimal"/>
      <w:lvlText w:val="%1.%2."/>
      <w:lvlJc w:val="left"/>
      <w:pPr>
        <w:tabs>
          <w:tab w:val="num" w:pos="0"/>
        </w:tabs>
        <w:ind w:left="720" w:hanging="720"/>
      </w:pPr>
      <w:rPr>
        <w:b/>
        <w:bCs/>
        <w:i w:val="0"/>
        <w:iCs/>
      </w:rPr>
    </w:lvl>
    <w:lvl w:ilvl="2">
      <w:start w:val="1"/>
      <w:numFmt w:val="decimal"/>
      <w:lvlText w:val="%1.%2.%3."/>
      <w:lvlJc w:val="left"/>
      <w:pPr>
        <w:tabs>
          <w:tab w:val="num" w:pos="0"/>
        </w:tabs>
        <w:ind w:left="720" w:hanging="720"/>
      </w:pPr>
      <w:rPr>
        <w:b/>
        <w:bCs/>
        <w:i/>
        <w:iCs/>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7" w15:restartNumberingAfterBreak="0">
    <w:nsid w:val="7B774A8A"/>
    <w:multiLevelType w:val="multilevel"/>
    <w:tmpl w:val="AAB8C7D0"/>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7E607554"/>
    <w:multiLevelType w:val="multilevel"/>
    <w:tmpl w:val="DF660E2E"/>
    <w:lvl w:ilvl="0">
      <w:start w:val="4"/>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rPr>
        <w:rFonts w:ascii="Times New Roman" w:hAnsi="Times New Roman" w:cs="Times New Roman"/>
        <w:b/>
        <w:bCs/>
        <w:i/>
        <w:iCs/>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num w:numId="1">
    <w:abstractNumId w:val="14"/>
  </w:num>
  <w:num w:numId="2">
    <w:abstractNumId w:val="15"/>
  </w:num>
  <w:num w:numId="3">
    <w:abstractNumId w:val="10"/>
  </w:num>
  <w:num w:numId="4">
    <w:abstractNumId w:val="9"/>
  </w:num>
  <w:num w:numId="5">
    <w:abstractNumId w:val="0"/>
  </w:num>
  <w:num w:numId="6">
    <w:abstractNumId w:val="13"/>
  </w:num>
  <w:num w:numId="7">
    <w:abstractNumId w:val="17"/>
  </w:num>
  <w:num w:numId="8">
    <w:abstractNumId w:val="16"/>
  </w:num>
  <w:num w:numId="9">
    <w:abstractNumId w:val="6"/>
  </w:num>
  <w:num w:numId="10">
    <w:abstractNumId w:val="2"/>
  </w:num>
  <w:num w:numId="11">
    <w:abstractNumId w:val="7"/>
  </w:num>
  <w:num w:numId="12">
    <w:abstractNumId w:val="18"/>
  </w:num>
  <w:num w:numId="13">
    <w:abstractNumId w:val="5"/>
  </w:num>
  <w:num w:numId="14">
    <w:abstractNumId w:val="8"/>
  </w:num>
  <w:num w:numId="15">
    <w:abstractNumId w:val="11"/>
  </w:num>
  <w:num w:numId="16">
    <w:abstractNumId w:val="3"/>
  </w:num>
  <w:num w:numId="17">
    <w:abstractNumId w:val="1"/>
  </w:num>
  <w:num w:numId="18">
    <w:abstractNumId w:val="4"/>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QyMTUzMjY2MrY0NTVX0lEKTi0uzszPAykwqgUAw2aJ1SwAAAA="/>
  </w:docVars>
  <w:rsids>
    <w:rsidRoot w:val="003D5DE8"/>
    <w:rsid w:val="000006EB"/>
    <w:rsid w:val="000244C4"/>
    <w:rsid w:val="000705A7"/>
    <w:rsid w:val="00082A8C"/>
    <w:rsid w:val="00091248"/>
    <w:rsid w:val="000D2D94"/>
    <w:rsid w:val="000E3BCA"/>
    <w:rsid w:val="00115549"/>
    <w:rsid w:val="00153A7F"/>
    <w:rsid w:val="001A5E30"/>
    <w:rsid w:val="001C1648"/>
    <w:rsid w:val="001F1804"/>
    <w:rsid w:val="00200E99"/>
    <w:rsid w:val="00205681"/>
    <w:rsid w:val="00255AEF"/>
    <w:rsid w:val="002663FA"/>
    <w:rsid w:val="002768C0"/>
    <w:rsid w:val="00285AC8"/>
    <w:rsid w:val="002A5F6B"/>
    <w:rsid w:val="002E3C69"/>
    <w:rsid w:val="00336DF0"/>
    <w:rsid w:val="003422C8"/>
    <w:rsid w:val="00357674"/>
    <w:rsid w:val="003A5B2F"/>
    <w:rsid w:val="003D5DE8"/>
    <w:rsid w:val="003E6585"/>
    <w:rsid w:val="004038F0"/>
    <w:rsid w:val="00432042"/>
    <w:rsid w:val="00441993"/>
    <w:rsid w:val="004567A3"/>
    <w:rsid w:val="004A513B"/>
    <w:rsid w:val="004A6AF2"/>
    <w:rsid w:val="004F4727"/>
    <w:rsid w:val="005B045E"/>
    <w:rsid w:val="005C02A2"/>
    <w:rsid w:val="005C43FE"/>
    <w:rsid w:val="005C5F35"/>
    <w:rsid w:val="005F13AC"/>
    <w:rsid w:val="005F79D1"/>
    <w:rsid w:val="00623425"/>
    <w:rsid w:val="00633601"/>
    <w:rsid w:val="00637FB0"/>
    <w:rsid w:val="00663C31"/>
    <w:rsid w:val="00677E2C"/>
    <w:rsid w:val="006D06C2"/>
    <w:rsid w:val="00744B3E"/>
    <w:rsid w:val="007549AA"/>
    <w:rsid w:val="00791631"/>
    <w:rsid w:val="007E5293"/>
    <w:rsid w:val="0080732C"/>
    <w:rsid w:val="00813D37"/>
    <w:rsid w:val="00821D4E"/>
    <w:rsid w:val="00852A0F"/>
    <w:rsid w:val="008728BD"/>
    <w:rsid w:val="00890FB2"/>
    <w:rsid w:val="0089733D"/>
    <w:rsid w:val="008C7435"/>
    <w:rsid w:val="008F28E0"/>
    <w:rsid w:val="009475C9"/>
    <w:rsid w:val="009672FC"/>
    <w:rsid w:val="00971A39"/>
    <w:rsid w:val="00980AC9"/>
    <w:rsid w:val="00993645"/>
    <w:rsid w:val="00A23164"/>
    <w:rsid w:val="00A614C5"/>
    <w:rsid w:val="00AD390F"/>
    <w:rsid w:val="00AD586C"/>
    <w:rsid w:val="00B538B6"/>
    <w:rsid w:val="00B80AD3"/>
    <w:rsid w:val="00B93B10"/>
    <w:rsid w:val="00BC16AE"/>
    <w:rsid w:val="00BE5664"/>
    <w:rsid w:val="00C10BC3"/>
    <w:rsid w:val="00C7008E"/>
    <w:rsid w:val="00C764BB"/>
    <w:rsid w:val="00CD702A"/>
    <w:rsid w:val="00CE753B"/>
    <w:rsid w:val="00CF1B6A"/>
    <w:rsid w:val="00CF726B"/>
    <w:rsid w:val="00D00A8C"/>
    <w:rsid w:val="00D20C8A"/>
    <w:rsid w:val="00D3508B"/>
    <w:rsid w:val="00D544D0"/>
    <w:rsid w:val="00D55828"/>
    <w:rsid w:val="00D67398"/>
    <w:rsid w:val="00E347E4"/>
    <w:rsid w:val="00E6600E"/>
    <w:rsid w:val="00EB5D6B"/>
    <w:rsid w:val="00EE16FE"/>
    <w:rsid w:val="00F20DD7"/>
    <w:rsid w:val="00F377A4"/>
    <w:rsid w:val="00F558D6"/>
    <w:rsid w:val="00FB34FA"/>
    <w:rsid w:val="00FE494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F02C29"/>
  <w15:docId w15:val="{0B6D81CF-36C3-48DF-9686-2996C39CE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DD1"/>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1D499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C407A5"/>
    <w:pPr>
      <w:spacing w:beforeAutospacing="1" w:afterAutospacing="1"/>
      <w:outlineLvl w:val="1"/>
    </w:pPr>
    <w:rPr>
      <w:b/>
      <w:bCs/>
      <w:sz w:val="36"/>
      <w:szCs w:val="36"/>
      <w:lang w:eastAsia="en-US"/>
    </w:rPr>
  </w:style>
  <w:style w:type="paragraph" w:styleId="Heading3">
    <w:name w:val="heading 3"/>
    <w:basedOn w:val="Normal"/>
    <w:next w:val="Normal"/>
    <w:link w:val="Heading3Char"/>
    <w:uiPriority w:val="9"/>
    <w:unhideWhenUsed/>
    <w:qFormat/>
    <w:rsid w:val="00173657"/>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D4993"/>
    <w:rPr>
      <w:rFonts w:asciiTheme="majorHAnsi" w:eastAsiaTheme="majorEastAsia" w:hAnsiTheme="majorHAnsi" w:cstheme="majorBidi"/>
      <w:color w:val="2F5496" w:themeColor="accent1" w:themeShade="BF"/>
      <w:sz w:val="32"/>
      <w:szCs w:val="32"/>
      <w:lang w:eastAsia="en-GB"/>
    </w:rPr>
  </w:style>
  <w:style w:type="character" w:customStyle="1" w:styleId="Heading2Char">
    <w:name w:val="Heading 2 Char"/>
    <w:basedOn w:val="DefaultParagraphFont"/>
    <w:link w:val="Heading2"/>
    <w:uiPriority w:val="9"/>
    <w:qFormat/>
    <w:rsid w:val="00C407A5"/>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qFormat/>
    <w:rsid w:val="00173657"/>
    <w:rPr>
      <w:rFonts w:asciiTheme="majorHAnsi" w:eastAsiaTheme="majorEastAsia" w:hAnsiTheme="majorHAnsi" w:cstheme="majorBidi"/>
      <w:color w:val="1F3763" w:themeColor="accent1" w:themeShade="7F"/>
      <w:lang w:eastAsia="en-GB"/>
    </w:rPr>
  </w:style>
  <w:style w:type="character" w:customStyle="1" w:styleId="IntenseQuoteChar">
    <w:name w:val="Intense Quote Char"/>
    <w:basedOn w:val="DefaultParagraphFont"/>
    <w:link w:val="IntenseQuote"/>
    <w:uiPriority w:val="30"/>
    <w:qFormat/>
    <w:rsid w:val="002D51FA"/>
    <w:rPr>
      <w:i/>
      <w:iCs/>
      <w:color w:val="4472C4" w:themeColor="accent1"/>
      <w:lang w:val="en-GB"/>
    </w:rPr>
  </w:style>
  <w:style w:type="paragraph" w:styleId="IntenseQuote">
    <w:name w:val="Intense Quote"/>
    <w:basedOn w:val="Normal"/>
    <w:next w:val="Normal"/>
    <w:link w:val="IntenseQuoteChar"/>
    <w:uiPriority w:val="30"/>
    <w:qFormat/>
    <w:rsid w:val="002D51FA"/>
    <w:pPr>
      <w:pBdr>
        <w:top w:val="single" w:sz="4" w:space="10" w:color="4472C4"/>
        <w:bottom w:val="single" w:sz="4" w:space="10" w:color="4472C4"/>
      </w:pBdr>
      <w:spacing w:before="360" w:after="360"/>
      <w:ind w:left="864" w:right="864"/>
      <w:jc w:val="center"/>
    </w:pPr>
    <w:rPr>
      <w:rFonts w:asciiTheme="minorHAnsi" w:eastAsiaTheme="minorHAnsi" w:hAnsiTheme="minorHAnsi" w:cstheme="minorBidi"/>
      <w:i/>
      <w:iCs/>
      <w:color w:val="4472C4" w:themeColor="accent1"/>
      <w:lang w:val="en-GB" w:eastAsia="en-US"/>
    </w:rPr>
  </w:style>
  <w:style w:type="character" w:styleId="Hyperlink">
    <w:name w:val="Hyperlink"/>
    <w:basedOn w:val="DefaultParagraphFont"/>
    <w:uiPriority w:val="99"/>
    <w:unhideWhenUsed/>
    <w:rsid w:val="00C70997"/>
    <w:rPr>
      <w:color w:val="0000FF"/>
      <w:u w:val="single"/>
    </w:rPr>
  </w:style>
  <w:style w:type="character" w:styleId="CommentReference">
    <w:name w:val="annotation reference"/>
    <w:basedOn w:val="DefaultParagraphFont"/>
    <w:uiPriority w:val="99"/>
    <w:unhideWhenUsed/>
    <w:qFormat/>
    <w:rsid w:val="00C70997"/>
    <w:rPr>
      <w:sz w:val="16"/>
      <w:szCs w:val="16"/>
    </w:rPr>
  </w:style>
  <w:style w:type="character" w:customStyle="1" w:styleId="HeaderChar">
    <w:name w:val="Header Char"/>
    <w:basedOn w:val="DefaultParagraphFont"/>
    <w:link w:val="Header"/>
    <w:uiPriority w:val="99"/>
    <w:qFormat/>
    <w:rsid w:val="00C70997"/>
    <w:rPr>
      <w:sz w:val="22"/>
      <w:szCs w:val="22"/>
      <w:lang w:val="en-GB"/>
    </w:rPr>
  </w:style>
  <w:style w:type="paragraph" w:styleId="Header">
    <w:name w:val="header"/>
    <w:basedOn w:val="Normal"/>
    <w:link w:val="HeaderChar"/>
    <w:uiPriority w:val="99"/>
    <w:unhideWhenUsed/>
    <w:rsid w:val="00C70997"/>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qFormat/>
    <w:rsid w:val="00C70997"/>
    <w:rPr>
      <w:sz w:val="22"/>
      <w:szCs w:val="22"/>
      <w:lang w:val="en-GB"/>
    </w:rPr>
  </w:style>
  <w:style w:type="paragraph" w:styleId="Footer">
    <w:name w:val="footer"/>
    <w:basedOn w:val="Normal"/>
    <w:link w:val="FooterChar"/>
    <w:uiPriority w:val="99"/>
    <w:unhideWhenUsed/>
    <w:rsid w:val="00C70997"/>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FootnoteTextChar">
    <w:name w:val="Footnote Text Char"/>
    <w:basedOn w:val="DefaultParagraphFont"/>
    <w:link w:val="FootnoteText"/>
    <w:uiPriority w:val="99"/>
    <w:semiHidden/>
    <w:qFormat/>
    <w:rsid w:val="00C70997"/>
    <w:rPr>
      <w:sz w:val="20"/>
      <w:szCs w:val="20"/>
      <w:lang w:val="en-GB"/>
    </w:rPr>
  </w:style>
  <w:style w:type="paragraph" w:styleId="FootnoteText">
    <w:name w:val="footnote text"/>
    <w:basedOn w:val="Normal"/>
    <w:link w:val="FootnoteTextChar"/>
    <w:uiPriority w:val="99"/>
    <w:semiHidden/>
    <w:unhideWhenUsed/>
    <w:rsid w:val="00C70997"/>
    <w:rPr>
      <w:rFonts w:asciiTheme="minorHAnsi" w:eastAsiaTheme="minorHAnsi" w:hAnsiTheme="minorHAnsi" w:cstheme="minorBidi"/>
      <w:sz w:val="20"/>
      <w:szCs w:val="20"/>
      <w:lang w:val="en-GB" w:eastAsia="en-US"/>
    </w:rPr>
  </w:style>
  <w:style w:type="character" w:customStyle="1" w:styleId="orcid-id-https">
    <w:name w:val="orcid-id-https"/>
    <w:basedOn w:val="DefaultParagraphFont"/>
    <w:qFormat/>
    <w:rsid w:val="00C70997"/>
  </w:style>
  <w:style w:type="character" w:styleId="Strong">
    <w:name w:val="Strong"/>
    <w:basedOn w:val="DefaultParagraphFont"/>
    <w:uiPriority w:val="22"/>
    <w:qFormat/>
    <w:rsid w:val="00C407A5"/>
    <w:rPr>
      <w:b/>
      <w:bCs/>
    </w:rPr>
  </w:style>
  <w:style w:type="character" w:customStyle="1" w:styleId="FootnoteCharacters">
    <w:name w:val="Footnote Characters"/>
    <w:basedOn w:val="DefaultParagraphFont"/>
    <w:uiPriority w:val="99"/>
    <w:semiHidden/>
    <w:unhideWhenUsed/>
    <w:qFormat/>
    <w:rsid w:val="00C407A5"/>
    <w:rPr>
      <w:vertAlign w:val="superscript"/>
    </w:rPr>
  </w:style>
  <w:style w:type="character" w:customStyle="1" w:styleId="FootnoteAnchor">
    <w:name w:val="Footnote Anchor"/>
    <w:rPr>
      <w:vertAlign w:val="superscript"/>
    </w:rPr>
  </w:style>
  <w:style w:type="character" w:customStyle="1" w:styleId="UnresolvedMention1">
    <w:name w:val="Unresolved Mention1"/>
    <w:basedOn w:val="DefaultParagraphFont"/>
    <w:uiPriority w:val="99"/>
    <w:semiHidden/>
    <w:unhideWhenUsed/>
    <w:qFormat/>
    <w:rsid w:val="00C407A5"/>
    <w:rPr>
      <w:color w:val="605E5C"/>
      <w:shd w:val="clear" w:color="auto" w:fill="E1DFDD"/>
    </w:rPr>
  </w:style>
  <w:style w:type="character" w:customStyle="1" w:styleId="BalloonTextChar">
    <w:name w:val="Balloon Text Char"/>
    <w:basedOn w:val="DefaultParagraphFont"/>
    <w:link w:val="BalloonText"/>
    <w:uiPriority w:val="99"/>
    <w:qFormat/>
    <w:rsid w:val="00C407A5"/>
    <w:rPr>
      <w:rFonts w:ascii="Palatino Linotype" w:eastAsia="SimSun" w:hAnsi="Palatino Linotype" w:cs="Tahoma"/>
      <w:color w:val="000000"/>
      <w:sz w:val="20"/>
      <w:szCs w:val="18"/>
      <w:lang w:val="en-US" w:eastAsia="zh-CN"/>
    </w:rPr>
  </w:style>
  <w:style w:type="paragraph" w:styleId="BalloonText">
    <w:name w:val="Balloon Text"/>
    <w:basedOn w:val="Normal"/>
    <w:link w:val="BalloonTextChar"/>
    <w:uiPriority w:val="99"/>
    <w:qFormat/>
    <w:rsid w:val="00C407A5"/>
    <w:pPr>
      <w:spacing w:line="260" w:lineRule="atLeast"/>
      <w:jc w:val="both"/>
    </w:pPr>
    <w:rPr>
      <w:rFonts w:ascii="Palatino Linotype" w:eastAsia="SimSun" w:hAnsi="Palatino Linotype" w:cs="Tahoma"/>
      <w:color w:val="000000"/>
      <w:sz w:val="20"/>
      <w:szCs w:val="18"/>
      <w:lang w:eastAsia="zh-CN"/>
    </w:rPr>
  </w:style>
  <w:style w:type="character" w:styleId="LineNumber">
    <w:name w:val="line number"/>
    <w:uiPriority w:val="99"/>
    <w:qFormat/>
    <w:rsid w:val="00C407A5"/>
    <w:rPr>
      <w:rFonts w:ascii="Palatino Linotype" w:hAnsi="Palatino Linotype"/>
      <w:sz w:val="16"/>
    </w:rPr>
  </w:style>
  <w:style w:type="character" w:customStyle="1" w:styleId="apple-converted-space">
    <w:name w:val="apple-converted-space"/>
    <w:qFormat/>
    <w:rsid w:val="00C407A5"/>
  </w:style>
  <w:style w:type="character" w:customStyle="1" w:styleId="BodyTextChar">
    <w:name w:val="Body Text Char"/>
    <w:basedOn w:val="DefaultParagraphFont"/>
    <w:link w:val="BodyText"/>
    <w:qFormat/>
    <w:rsid w:val="00C407A5"/>
    <w:rPr>
      <w:rFonts w:ascii="Palatino Linotype" w:eastAsia="SimSun" w:hAnsi="Palatino Linotype" w:cs="Times New Roman"/>
      <w:color w:val="000000"/>
      <w:szCs w:val="20"/>
      <w:lang w:val="en-US" w:eastAsia="de-DE"/>
    </w:rPr>
  </w:style>
  <w:style w:type="paragraph" w:styleId="BodyText">
    <w:name w:val="Body Text"/>
    <w:link w:val="BodyTextChar"/>
    <w:rsid w:val="00C407A5"/>
    <w:pPr>
      <w:spacing w:after="120" w:line="340" w:lineRule="atLeast"/>
      <w:jc w:val="both"/>
    </w:pPr>
    <w:rPr>
      <w:rFonts w:ascii="Palatino Linotype" w:eastAsia="SimSun" w:hAnsi="Palatino Linotype" w:cs="Times New Roman"/>
      <w:color w:val="000000"/>
      <w:szCs w:val="20"/>
      <w:lang w:eastAsia="de-DE"/>
    </w:rPr>
  </w:style>
  <w:style w:type="character" w:customStyle="1" w:styleId="CommentTextChar">
    <w:name w:val="Comment Text Char"/>
    <w:basedOn w:val="DefaultParagraphFont"/>
    <w:link w:val="CommentText"/>
    <w:qFormat/>
    <w:rsid w:val="00C407A5"/>
    <w:rPr>
      <w:rFonts w:ascii="Palatino Linotype" w:eastAsia="SimSun" w:hAnsi="Palatino Linotype" w:cs="Times New Roman"/>
      <w:color w:val="000000"/>
      <w:sz w:val="20"/>
      <w:szCs w:val="20"/>
      <w:lang w:val="en-US" w:eastAsia="zh-CN"/>
    </w:rPr>
  </w:style>
  <w:style w:type="paragraph" w:styleId="CommentText">
    <w:name w:val="annotation text"/>
    <w:basedOn w:val="Normal"/>
    <w:link w:val="CommentTextChar"/>
    <w:qFormat/>
    <w:rsid w:val="00C407A5"/>
    <w:pPr>
      <w:spacing w:line="260" w:lineRule="atLeast"/>
      <w:jc w:val="both"/>
    </w:pPr>
    <w:rPr>
      <w:rFonts w:ascii="Palatino Linotype" w:eastAsia="SimSun" w:hAnsi="Palatino Linotype"/>
      <w:color w:val="000000"/>
      <w:sz w:val="20"/>
      <w:szCs w:val="20"/>
      <w:lang w:eastAsia="zh-CN"/>
    </w:rPr>
  </w:style>
  <w:style w:type="character" w:customStyle="1" w:styleId="CommentSubjectChar">
    <w:name w:val="Comment Subject Char"/>
    <w:basedOn w:val="CommentTextChar"/>
    <w:link w:val="CommentSubject"/>
    <w:qFormat/>
    <w:rsid w:val="00C407A5"/>
    <w:rPr>
      <w:rFonts w:ascii="Palatino Linotype" w:eastAsia="SimSun" w:hAnsi="Palatino Linotype" w:cs="Times New Roman"/>
      <w:b/>
      <w:bCs/>
      <w:color w:val="000000"/>
      <w:sz w:val="20"/>
      <w:szCs w:val="20"/>
      <w:lang w:val="en-US" w:eastAsia="zh-CN"/>
    </w:rPr>
  </w:style>
  <w:style w:type="paragraph" w:styleId="CommentSubject">
    <w:name w:val="annotation subject"/>
    <w:basedOn w:val="CommentText"/>
    <w:next w:val="CommentText"/>
    <w:link w:val="CommentSubjectChar"/>
    <w:qFormat/>
    <w:rsid w:val="00C407A5"/>
    <w:rPr>
      <w:b/>
      <w:bCs/>
    </w:rPr>
  </w:style>
  <w:style w:type="character" w:customStyle="1" w:styleId="EndnoteCharacters">
    <w:name w:val="Endnote Characters"/>
    <w:qFormat/>
    <w:rsid w:val="00C407A5"/>
    <w:rPr>
      <w:vertAlign w:val="superscript"/>
    </w:rPr>
  </w:style>
  <w:style w:type="character" w:customStyle="1" w:styleId="EndnoteAnchor">
    <w:name w:val="Endnote Anchor"/>
    <w:rPr>
      <w:vertAlign w:val="superscript"/>
    </w:rPr>
  </w:style>
  <w:style w:type="character" w:customStyle="1" w:styleId="EndnoteTextChar">
    <w:name w:val="Endnote Text Char"/>
    <w:basedOn w:val="DefaultParagraphFont"/>
    <w:link w:val="EndnoteText"/>
    <w:semiHidden/>
    <w:qFormat/>
    <w:rsid w:val="00C407A5"/>
    <w:rPr>
      <w:rFonts w:ascii="Palatino Linotype" w:eastAsia="SimSun" w:hAnsi="Palatino Linotype" w:cs="Times New Roman"/>
      <w:color w:val="000000"/>
      <w:sz w:val="20"/>
      <w:szCs w:val="20"/>
      <w:lang w:val="en-US" w:eastAsia="zh-CN"/>
    </w:rPr>
  </w:style>
  <w:style w:type="paragraph" w:styleId="EndnoteText">
    <w:name w:val="endnote text"/>
    <w:basedOn w:val="Normal"/>
    <w:link w:val="EndnoteTextChar"/>
    <w:semiHidden/>
    <w:unhideWhenUsed/>
    <w:rsid w:val="00C407A5"/>
    <w:pPr>
      <w:jc w:val="both"/>
    </w:pPr>
    <w:rPr>
      <w:rFonts w:ascii="Palatino Linotype" w:eastAsia="SimSun" w:hAnsi="Palatino Linotype"/>
      <w:color w:val="000000"/>
      <w:sz w:val="20"/>
      <w:szCs w:val="20"/>
      <w:lang w:eastAsia="zh-CN"/>
    </w:rPr>
  </w:style>
  <w:style w:type="character" w:styleId="FollowedHyperlink">
    <w:name w:val="FollowedHyperlink"/>
    <w:uiPriority w:val="99"/>
    <w:rsid w:val="00C407A5"/>
    <w:rPr>
      <w:color w:val="954F72"/>
      <w:u w:val="single"/>
    </w:rPr>
  </w:style>
  <w:style w:type="character" w:styleId="PageNumber">
    <w:name w:val="page number"/>
    <w:qFormat/>
    <w:rsid w:val="00C407A5"/>
  </w:style>
  <w:style w:type="character" w:styleId="PlaceholderText">
    <w:name w:val="Placeholder Text"/>
    <w:uiPriority w:val="99"/>
    <w:semiHidden/>
    <w:qFormat/>
    <w:rsid w:val="00C407A5"/>
    <w:rPr>
      <w:color w:val="808080"/>
    </w:rPr>
  </w:style>
  <w:style w:type="character" w:styleId="Emphasis">
    <w:name w:val="Emphasis"/>
    <w:basedOn w:val="DefaultParagraphFont"/>
    <w:uiPriority w:val="20"/>
    <w:qFormat/>
    <w:rsid w:val="001D4993"/>
    <w:rPr>
      <w:i/>
      <w:iCs/>
    </w:rPr>
  </w:style>
  <w:style w:type="character" w:customStyle="1" w:styleId="TitleChar">
    <w:name w:val="Title Char"/>
    <w:basedOn w:val="DefaultParagraphFont"/>
    <w:link w:val="Title"/>
    <w:uiPriority w:val="10"/>
    <w:qFormat/>
    <w:rsid w:val="001D4993"/>
    <w:rPr>
      <w:rFonts w:asciiTheme="majorHAnsi" w:eastAsiaTheme="majorEastAsia" w:hAnsiTheme="majorHAnsi" w:cstheme="majorBidi"/>
      <w:spacing w:val="-10"/>
      <w:kern w:val="2"/>
      <w:sz w:val="56"/>
      <w:szCs w:val="56"/>
      <w:lang w:eastAsia="en-GB"/>
    </w:rPr>
  </w:style>
  <w:style w:type="paragraph" w:styleId="Title">
    <w:name w:val="Title"/>
    <w:basedOn w:val="Normal"/>
    <w:next w:val="Normal"/>
    <w:link w:val="TitleChar"/>
    <w:uiPriority w:val="10"/>
    <w:qFormat/>
    <w:rsid w:val="001D4993"/>
    <w:pPr>
      <w:contextualSpacing/>
    </w:pPr>
    <w:rPr>
      <w:rFonts w:asciiTheme="majorHAnsi" w:eastAsiaTheme="majorEastAsia" w:hAnsiTheme="majorHAnsi" w:cstheme="majorBidi"/>
      <w:spacing w:val="-10"/>
      <w:kern w:val="2"/>
      <w:sz w:val="56"/>
      <w:szCs w:val="56"/>
    </w:rPr>
  </w:style>
  <w:style w:type="character" w:styleId="IntenseEmphasis">
    <w:name w:val="Intense Emphasis"/>
    <w:basedOn w:val="DefaultParagraphFont"/>
    <w:uiPriority w:val="21"/>
    <w:qFormat/>
    <w:rsid w:val="001D4993"/>
    <w:rPr>
      <w:i/>
      <w:iCs/>
      <w:color w:val="4472C4" w:themeColor="accent1"/>
    </w:rPr>
  </w:style>
  <w:style w:type="character" w:styleId="IntenseReference">
    <w:name w:val="Intense Reference"/>
    <w:basedOn w:val="DefaultParagraphFont"/>
    <w:uiPriority w:val="32"/>
    <w:qFormat/>
    <w:rsid w:val="00173657"/>
    <w:rPr>
      <w:b/>
      <w:bCs/>
      <w:smallCaps/>
      <w:color w:val="4472C4" w:themeColor="accent1"/>
      <w:spacing w:val="5"/>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List">
    <w:name w:val="List"/>
    <w:basedOn w:val="BodyText"/>
    <w:rPr>
      <w:rFonts w:cs="Lucida Sans"/>
    </w:rPr>
  </w:style>
  <w:style w:type="paragraph" w:styleId="Caption">
    <w:name w:val="caption"/>
    <w:basedOn w:val="Normal"/>
    <w:next w:val="Normal"/>
    <w:uiPriority w:val="35"/>
    <w:unhideWhenUsed/>
    <w:qFormat/>
    <w:rsid w:val="001B4DDB"/>
    <w:pPr>
      <w:spacing w:after="200"/>
    </w:pPr>
    <w:rPr>
      <w:i/>
      <w:iCs/>
      <w:color w:val="44546A" w:themeColor="text2"/>
      <w:sz w:val="18"/>
      <w:szCs w:val="18"/>
    </w:rPr>
  </w:style>
  <w:style w:type="paragraph" w:customStyle="1" w:styleId="Index">
    <w:name w:val="Index"/>
    <w:basedOn w:val="Normal"/>
    <w:qFormat/>
    <w:pPr>
      <w:suppressLineNumbers/>
    </w:pPr>
    <w:rPr>
      <w:rFonts w:cs="Lucida Sans"/>
    </w:rPr>
  </w:style>
  <w:style w:type="paragraph" w:styleId="ListParagraph">
    <w:name w:val="List Paragraph"/>
    <w:basedOn w:val="Normal"/>
    <w:uiPriority w:val="34"/>
    <w:qFormat/>
    <w:rsid w:val="007644B8"/>
    <w:pPr>
      <w:ind w:left="720"/>
      <w:contextualSpacing/>
    </w:pPr>
    <w:rPr>
      <w:rFonts w:asciiTheme="minorHAnsi" w:eastAsiaTheme="minorHAnsi" w:hAnsiTheme="minorHAnsi" w:cstheme="minorBidi"/>
      <w:lang w:val="en-GB" w:eastAsia="en-US"/>
    </w:rPr>
  </w:style>
  <w:style w:type="paragraph" w:styleId="NormalWeb">
    <w:name w:val="Normal (Web)"/>
    <w:basedOn w:val="Normal"/>
    <w:uiPriority w:val="99"/>
    <w:unhideWhenUsed/>
    <w:qFormat/>
    <w:rsid w:val="00C70997"/>
    <w:pPr>
      <w:spacing w:beforeAutospacing="1" w:afterAutospacing="1"/>
    </w:pPr>
    <w:rPr>
      <w:lang w:eastAsia="en-US"/>
    </w:rPr>
  </w:style>
  <w:style w:type="paragraph" w:styleId="NoSpacing">
    <w:name w:val="No Spacing"/>
    <w:uiPriority w:val="1"/>
    <w:qFormat/>
    <w:rsid w:val="00C70997"/>
    <w:rPr>
      <w:sz w:val="22"/>
      <w:szCs w:val="22"/>
      <w:lang w:val="en-GB"/>
    </w:rPr>
  </w:style>
  <w:style w:type="paragraph" w:customStyle="1" w:styleId="HeaderandFooter">
    <w:name w:val="Header and Footer"/>
    <w:basedOn w:val="Normal"/>
    <w:qFormat/>
  </w:style>
  <w:style w:type="paragraph" w:customStyle="1" w:styleId="MDPI11articletype">
    <w:name w:val="MDPI_1.1_article_type"/>
    <w:next w:val="Normal"/>
    <w:qFormat/>
    <w:rsid w:val="00C407A5"/>
    <w:pPr>
      <w:snapToGrid w:val="0"/>
      <w:spacing w:before="240"/>
    </w:pPr>
    <w:rPr>
      <w:rFonts w:ascii="Palatino Linotype" w:eastAsia="Times New Roman" w:hAnsi="Palatino Linotype" w:cs="Times New Roman"/>
      <w:i/>
      <w:color w:val="000000"/>
      <w:sz w:val="20"/>
      <w:szCs w:val="22"/>
      <w:lang w:eastAsia="de-DE" w:bidi="en-US"/>
    </w:rPr>
  </w:style>
  <w:style w:type="paragraph" w:customStyle="1" w:styleId="MDPI12title">
    <w:name w:val="MDPI_1.2_title"/>
    <w:next w:val="Normal"/>
    <w:qFormat/>
    <w:rsid w:val="00C407A5"/>
    <w:pPr>
      <w:snapToGrid w:val="0"/>
      <w:spacing w:after="240" w:line="240" w:lineRule="atLeast"/>
    </w:pPr>
    <w:rPr>
      <w:rFonts w:ascii="Palatino Linotype" w:eastAsia="Times New Roman" w:hAnsi="Palatino Linotype" w:cs="Times New Roman"/>
      <w:b/>
      <w:color w:val="000000"/>
      <w:sz w:val="36"/>
      <w:szCs w:val="20"/>
      <w:lang w:eastAsia="de-DE" w:bidi="en-US"/>
    </w:rPr>
  </w:style>
  <w:style w:type="paragraph" w:customStyle="1" w:styleId="MDPI13authornames">
    <w:name w:val="MDPI_1.3_authornames"/>
    <w:next w:val="Normal"/>
    <w:qFormat/>
    <w:rsid w:val="00C407A5"/>
    <w:pPr>
      <w:snapToGrid w:val="0"/>
      <w:spacing w:after="360" w:line="260" w:lineRule="atLeast"/>
    </w:pPr>
    <w:rPr>
      <w:rFonts w:ascii="Palatino Linotype" w:eastAsia="Times New Roman" w:hAnsi="Palatino Linotype" w:cs="Times New Roman"/>
      <w:b/>
      <w:color w:val="000000"/>
      <w:sz w:val="20"/>
      <w:szCs w:val="22"/>
      <w:lang w:eastAsia="de-DE" w:bidi="en-US"/>
    </w:rPr>
  </w:style>
  <w:style w:type="paragraph" w:customStyle="1" w:styleId="MDPI14history">
    <w:name w:val="MDPI_1.4_history"/>
    <w:basedOn w:val="Normal"/>
    <w:next w:val="Normal"/>
    <w:qFormat/>
    <w:rsid w:val="00C407A5"/>
    <w:pPr>
      <w:snapToGrid w:val="0"/>
      <w:spacing w:line="240" w:lineRule="atLeast"/>
      <w:ind w:right="113"/>
    </w:pPr>
    <w:rPr>
      <w:rFonts w:ascii="Palatino Linotype" w:hAnsi="Palatino Linotype"/>
      <w:color w:val="000000"/>
      <w:sz w:val="14"/>
      <w:szCs w:val="20"/>
      <w:lang w:eastAsia="de-DE" w:bidi="en-US"/>
    </w:rPr>
  </w:style>
  <w:style w:type="paragraph" w:customStyle="1" w:styleId="MDPI16affiliation">
    <w:name w:val="MDPI_1.6_affiliation"/>
    <w:qFormat/>
    <w:rsid w:val="00C407A5"/>
    <w:pPr>
      <w:snapToGrid w:val="0"/>
      <w:spacing w:line="200" w:lineRule="atLeast"/>
      <w:ind w:left="2806" w:hanging="198"/>
    </w:pPr>
    <w:rPr>
      <w:rFonts w:ascii="Palatino Linotype" w:eastAsia="Times New Roman" w:hAnsi="Palatino Linotype" w:cs="Times New Roman"/>
      <w:color w:val="000000"/>
      <w:sz w:val="16"/>
      <w:szCs w:val="18"/>
      <w:lang w:eastAsia="de-DE" w:bidi="en-US"/>
    </w:rPr>
  </w:style>
  <w:style w:type="paragraph" w:customStyle="1" w:styleId="MDPI17abstract">
    <w:name w:val="MDPI_1.7_abstract"/>
    <w:next w:val="Normal"/>
    <w:qFormat/>
    <w:rsid w:val="00C407A5"/>
    <w:pPr>
      <w:snapToGrid w:val="0"/>
      <w:spacing w:before="240" w:line="260" w:lineRule="atLeast"/>
      <w:ind w:left="2608"/>
      <w:jc w:val="both"/>
    </w:pPr>
    <w:rPr>
      <w:rFonts w:ascii="Palatino Linotype" w:eastAsia="Times New Roman" w:hAnsi="Palatino Linotype" w:cs="Times New Roman"/>
      <w:color w:val="000000"/>
      <w:sz w:val="18"/>
      <w:szCs w:val="22"/>
      <w:lang w:eastAsia="de-DE" w:bidi="en-US"/>
    </w:rPr>
  </w:style>
  <w:style w:type="paragraph" w:customStyle="1" w:styleId="MDPI18keywords">
    <w:name w:val="MDPI_1.8_keywords"/>
    <w:next w:val="Normal"/>
    <w:qFormat/>
    <w:rsid w:val="00C407A5"/>
    <w:pPr>
      <w:snapToGrid w:val="0"/>
      <w:spacing w:before="240" w:line="260" w:lineRule="atLeast"/>
      <w:ind w:left="2608"/>
      <w:jc w:val="both"/>
    </w:pPr>
    <w:rPr>
      <w:rFonts w:ascii="Palatino Linotype" w:eastAsia="Times New Roman" w:hAnsi="Palatino Linotype" w:cs="Times New Roman"/>
      <w:color w:val="000000"/>
      <w:sz w:val="18"/>
      <w:szCs w:val="22"/>
      <w:lang w:eastAsia="de-DE" w:bidi="en-US"/>
    </w:rPr>
  </w:style>
  <w:style w:type="paragraph" w:customStyle="1" w:styleId="MDPI19line">
    <w:name w:val="MDPI_1.9_line"/>
    <w:qFormat/>
    <w:rsid w:val="00C407A5"/>
    <w:pPr>
      <w:pBdr>
        <w:bottom w:val="single" w:sz="6" w:space="1" w:color="000000"/>
      </w:pBdr>
      <w:snapToGrid w:val="0"/>
      <w:spacing w:after="480" w:line="260" w:lineRule="atLeast"/>
      <w:ind w:left="2608"/>
      <w:jc w:val="both"/>
    </w:pPr>
    <w:rPr>
      <w:rFonts w:ascii="Palatino Linotype" w:eastAsia="Times New Roman" w:hAnsi="Palatino Linotype" w:cs="Cordia New"/>
      <w:color w:val="000000"/>
      <w:sz w:val="20"/>
      <w:lang w:eastAsia="de-DE" w:bidi="en-US"/>
    </w:rPr>
  </w:style>
  <w:style w:type="paragraph" w:customStyle="1" w:styleId="Mdeck2authorcorrespondence">
    <w:name w:val="M_deck_2_author_correspondence"/>
    <w:qFormat/>
    <w:rsid w:val="00C407A5"/>
    <w:pPr>
      <w:snapToGrid w:val="0"/>
      <w:spacing w:line="200" w:lineRule="atLeast"/>
      <w:ind w:left="311" w:hanging="198"/>
    </w:pPr>
    <w:rPr>
      <w:rFonts w:ascii="Palatino Linotype" w:eastAsia="Times New Roman" w:hAnsi="Palatino Linotype" w:cs="Times New Roman"/>
      <w:color w:val="000000"/>
      <w:sz w:val="18"/>
      <w:szCs w:val="20"/>
      <w:lang w:eastAsia="de-DE" w:bidi="en-US"/>
    </w:rPr>
  </w:style>
  <w:style w:type="paragraph" w:customStyle="1" w:styleId="MDPIheaderjournallogo">
    <w:name w:val="MDPI_header_journal_logo"/>
    <w:qFormat/>
    <w:rsid w:val="00C407A5"/>
    <w:pPr>
      <w:snapToGrid w:val="0"/>
      <w:spacing w:line="260" w:lineRule="atLeast"/>
      <w:jc w:val="both"/>
    </w:pPr>
    <w:rPr>
      <w:rFonts w:ascii="Palatino Linotype" w:eastAsia="Times New Roman" w:hAnsi="Palatino Linotype" w:cs="Times New Roman"/>
      <w:i/>
      <w:color w:val="000000"/>
      <w:szCs w:val="22"/>
      <w:lang w:eastAsia="de-CH"/>
    </w:rPr>
  </w:style>
  <w:style w:type="paragraph" w:customStyle="1" w:styleId="MDPI32textnoindent">
    <w:name w:val="MDPI_3.2_text_no_indent"/>
    <w:basedOn w:val="MDPI31text"/>
    <w:qFormat/>
    <w:rsid w:val="00C407A5"/>
    <w:pPr>
      <w:ind w:firstLine="0"/>
    </w:pPr>
  </w:style>
  <w:style w:type="paragraph" w:customStyle="1" w:styleId="MDPI31text">
    <w:name w:val="MDPI_3.1_text"/>
    <w:qFormat/>
    <w:rsid w:val="00C407A5"/>
    <w:pPr>
      <w:snapToGrid w:val="0"/>
      <w:spacing w:line="228" w:lineRule="auto"/>
      <w:ind w:left="2608" w:firstLine="425"/>
      <w:jc w:val="both"/>
    </w:pPr>
    <w:rPr>
      <w:rFonts w:ascii="Palatino Linotype" w:eastAsia="Times New Roman" w:hAnsi="Palatino Linotype" w:cs="Times New Roman"/>
      <w:color w:val="000000"/>
      <w:sz w:val="20"/>
      <w:szCs w:val="22"/>
      <w:lang w:eastAsia="de-DE" w:bidi="en-US"/>
    </w:rPr>
  </w:style>
  <w:style w:type="paragraph" w:customStyle="1" w:styleId="MDPI33textspaceafter">
    <w:name w:val="MDPI_3.3_text_space_after"/>
    <w:qFormat/>
    <w:rsid w:val="00C407A5"/>
    <w:pPr>
      <w:snapToGrid w:val="0"/>
      <w:spacing w:after="240" w:line="228" w:lineRule="auto"/>
      <w:ind w:left="2608"/>
      <w:jc w:val="both"/>
    </w:pPr>
    <w:rPr>
      <w:rFonts w:ascii="Palatino Linotype" w:eastAsia="Times New Roman" w:hAnsi="Palatino Linotype" w:cs="Times New Roman"/>
      <w:color w:val="000000"/>
      <w:sz w:val="20"/>
      <w:szCs w:val="22"/>
      <w:lang w:eastAsia="de-DE" w:bidi="en-US"/>
    </w:rPr>
  </w:style>
  <w:style w:type="paragraph" w:customStyle="1" w:styleId="MDPI34textspacebefore">
    <w:name w:val="MDPI_3.4_text_space_before"/>
    <w:qFormat/>
    <w:rsid w:val="00C407A5"/>
    <w:pPr>
      <w:snapToGrid w:val="0"/>
      <w:spacing w:before="240" w:line="228" w:lineRule="auto"/>
      <w:ind w:left="2608"/>
      <w:jc w:val="both"/>
    </w:pPr>
    <w:rPr>
      <w:rFonts w:ascii="Palatino Linotype" w:eastAsia="Times New Roman" w:hAnsi="Palatino Linotype" w:cs="Times New Roman"/>
      <w:color w:val="000000"/>
      <w:sz w:val="20"/>
      <w:szCs w:val="22"/>
      <w:lang w:eastAsia="de-DE" w:bidi="en-US"/>
    </w:rPr>
  </w:style>
  <w:style w:type="paragraph" w:customStyle="1" w:styleId="MDPI35textbeforelist">
    <w:name w:val="MDPI_3.5_text_before_list"/>
    <w:qFormat/>
    <w:rsid w:val="00C407A5"/>
    <w:pPr>
      <w:snapToGrid w:val="0"/>
      <w:spacing w:line="228" w:lineRule="auto"/>
      <w:ind w:left="2608" w:firstLine="425"/>
      <w:jc w:val="both"/>
    </w:pPr>
    <w:rPr>
      <w:rFonts w:ascii="Palatino Linotype" w:eastAsia="Times New Roman" w:hAnsi="Palatino Linotype" w:cs="Times New Roman"/>
      <w:color w:val="000000"/>
      <w:sz w:val="20"/>
      <w:szCs w:val="22"/>
      <w:lang w:eastAsia="de-DE" w:bidi="en-US"/>
    </w:rPr>
  </w:style>
  <w:style w:type="paragraph" w:customStyle="1" w:styleId="MDPI36textafterlist">
    <w:name w:val="MDPI_3.6_text_after_list"/>
    <w:qFormat/>
    <w:rsid w:val="00C407A5"/>
    <w:pPr>
      <w:snapToGrid w:val="0"/>
      <w:spacing w:before="120" w:line="228" w:lineRule="auto"/>
      <w:ind w:left="2608"/>
      <w:jc w:val="both"/>
    </w:pPr>
    <w:rPr>
      <w:rFonts w:ascii="Palatino Linotype" w:eastAsia="Times New Roman" w:hAnsi="Palatino Linotype" w:cs="Times New Roman"/>
      <w:color w:val="000000"/>
      <w:sz w:val="20"/>
      <w:szCs w:val="22"/>
      <w:lang w:eastAsia="de-DE" w:bidi="en-US"/>
    </w:rPr>
  </w:style>
  <w:style w:type="paragraph" w:customStyle="1" w:styleId="MDPI37itemize">
    <w:name w:val="MDPI_3.7_itemize"/>
    <w:qFormat/>
    <w:rsid w:val="00C407A5"/>
    <w:pPr>
      <w:numPr>
        <w:numId w:val="3"/>
      </w:numPr>
      <w:snapToGrid w:val="0"/>
      <w:spacing w:line="228" w:lineRule="auto"/>
      <w:jc w:val="both"/>
    </w:pPr>
    <w:rPr>
      <w:rFonts w:ascii="Palatino Linotype" w:eastAsia="Times New Roman" w:hAnsi="Palatino Linotype" w:cs="Times New Roman"/>
      <w:color w:val="000000"/>
      <w:sz w:val="20"/>
      <w:szCs w:val="22"/>
      <w:lang w:eastAsia="de-DE" w:bidi="en-US"/>
    </w:rPr>
  </w:style>
  <w:style w:type="paragraph" w:customStyle="1" w:styleId="MDPI38bullet">
    <w:name w:val="MDPI_3.8_bullet"/>
    <w:qFormat/>
    <w:rsid w:val="00C407A5"/>
    <w:pPr>
      <w:numPr>
        <w:numId w:val="4"/>
      </w:numPr>
      <w:snapToGrid w:val="0"/>
      <w:spacing w:line="228" w:lineRule="auto"/>
      <w:jc w:val="both"/>
    </w:pPr>
    <w:rPr>
      <w:rFonts w:ascii="Palatino Linotype" w:eastAsia="Times New Roman" w:hAnsi="Palatino Linotype" w:cs="Times New Roman"/>
      <w:color w:val="000000"/>
      <w:sz w:val="20"/>
      <w:szCs w:val="22"/>
      <w:lang w:eastAsia="de-DE" w:bidi="en-US"/>
    </w:rPr>
  </w:style>
  <w:style w:type="paragraph" w:customStyle="1" w:styleId="MDPI39equation">
    <w:name w:val="MDPI_3.9_equation"/>
    <w:qFormat/>
    <w:rsid w:val="00C407A5"/>
    <w:pPr>
      <w:snapToGrid w:val="0"/>
      <w:spacing w:before="120" w:after="120" w:line="260" w:lineRule="atLeast"/>
      <w:ind w:left="709"/>
      <w:jc w:val="center"/>
    </w:pPr>
    <w:rPr>
      <w:rFonts w:ascii="Palatino Linotype" w:eastAsia="Times New Roman" w:hAnsi="Palatino Linotype" w:cs="Times New Roman"/>
      <w:color w:val="000000"/>
      <w:sz w:val="20"/>
      <w:szCs w:val="22"/>
      <w:lang w:eastAsia="de-DE" w:bidi="en-US"/>
    </w:rPr>
  </w:style>
  <w:style w:type="paragraph" w:customStyle="1" w:styleId="MDPI3aequationnumber">
    <w:name w:val="MDPI_3.a_equation_number"/>
    <w:qFormat/>
    <w:rsid w:val="00C407A5"/>
    <w:pPr>
      <w:spacing w:before="120" w:after="120"/>
      <w:jc w:val="right"/>
    </w:pPr>
    <w:rPr>
      <w:rFonts w:ascii="Palatino Linotype" w:eastAsia="Times New Roman" w:hAnsi="Palatino Linotype" w:cs="Times New Roman"/>
      <w:color w:val="000000"/>
      <w:sz w:val="20"/>
      <w:szCs w:val="22"/>
      <w:lang w:eastAsia="de-DE" w:bidi="en-US"/>
    </w:rPr>
  </w:style>
  <w:style w:type="paragraph" w:customStyle="1" w:styleId="MDPI41tablecaption">
    <w:name w:val="MDPI_4.1_table_caption"/>
    <w:qFormat/>
    <w:rsid w:val="00C407A5"/>
    <w:pPr>
      <w:snapToGrid w:val="0"/>
      <w:spacing w:before="240" w:after="120" w:line="228" w:lineRule="auto"/>
      <w:ind w:left="2608"/>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C407A5"/>
    <w:pPr>
      <w:snapToGrid w:val="0"/>
      <w:spacing w:line="260" w:lineRule="atLeast"/>
      <w:jc w:val="center"/>
    </w:pPr>
    <w:rPr>
      <w:rFonts w:ascii="Palatino Linotype" w:eastAsia="Times New Roman" w:hAnsi="Palatino Linotype" w:cs="Times New Roman"/>
      <w:color w:val="000000"/>
      <w:sz w:val="20"/>
      <w:szCs w:val="20"/>
      <w:lang w:eastAsia="de-DE" w:bidi="en-US"/>
    </w:rPr>
  </w:style>
  <w:style w:type="paragraph" w:customStyle="1" w:styleId="MDPI43tablefooter">
    <w:name w:val="MDPI_4.3_table_footer"/>
    <w:next w:val="MDPI31text"/>
    <w:qFormat/>
    <w:rsid w:val="00C407A5"/>
    <w:pPr>
      <w:snapToGrid w:val="0"/>
      <w:spacing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C407A5"/>
    <w:pPr>
      <w:snapToGrid w:val="0"/>
      <w:spacing w:before="120" w:after="240" w:line="228" w:lineRule="auto"/>
      <w:ind w:left="2608"/>
    </w:pPr>
    <w:rPr>
      <w:rFonts w:ascii="Palatino Linotype" w:eastAsia="Times New Roman" w:hAnsi="Palatino Linotype" w:cs="Times New Roman"/>
      <w:color w:val="000000"/>
      <w:sz w:val="18"/>
      <w:szCs w:val="20"/>
      <w:lang w:eastAsia="de-DE" w:bidi="en-US"/>
    </w:rPr>
  </w:style>
  <w:style w:type="paragraph" w:customStyle="1" w:styleId="MDPI52figure">
    <w:name w:val="MDPI_5.2_figure"/>
    <w:qFormat/>
    <w:rsid w:val="00C407A5"/>
    <w:pPr>
      <w:snapToGrid w:val="0"/>
      <w:spacing w:before="240" w:after="120"/>
      <w:jc w:val="center"/>
    </w:pPr>
    <w:rPr>
      <w:rFonts w:ascii="Palatino Linotype" w:eastAsia="Times New Roman" w:hAnsi="Palatino Linotype" w:cs="Times New Roman"/>
      <w:color w:val="000000"/>
      <w:sz w:val="20"/>
      <w:szCs w:val="20"/>
      <w:lang w:eastAsia="de-DE" w:bidi="en-US"/>
    </w:rPr>
  </w:style>
  <w:style w:type="paragraph" w:customStyle="1" w:styleId="MDPI81theorem">
    <w:name w:val="MDPI_8.1_theorem"/>
    <w:qFormat/>
    <w:rsid w:val="00C407A5"/>
    <w:pPr>
      <w:snapToGrid w:val="0"/>
      <w:spacing w:line="228" w:lineRule="auto"/>
      <w:ind w:left="2608"/>
      <w:jc w:val="both"/>
    </w:pPr>
    <w:rPr>
      <w:rFonts w:ascii="Palatino Linotype" w:eastAsia="Times New Roman" w:hAnsi="Palatino Linotype" w:cs="Times New Roman"/>
      <w:i/>
      <w:color w:val="000000"/>
      <w:sz w:val="20"/>
      <w:szCs w:val="22"/>
      <w:lang w:eastAsia="de-DE" w:bidi="en-US"/>
    </w:rPr>
  </w:style>
  <w:style w:type="paragraph" w:customStyle="1" w:styleId="MDPI82proof">
    <w:name w:val="MDPI_8.2_proof"/>
    <w:qFormat/>
    <w:rsid w:val="00C407A5"/>
    <w:pPr>
      <w:snapToGrid w:val="0"/>
      <w:spacing w:line="228" w:lineRule="auto"/>
      <w:ind w:left="2608"/>
      <w:jc w:val="both"/>
    </w:pPr>
    <w:rPr>
      <w:rFonts w:ascii="Palatino Linotype" w:eastAsia="Times New Roman" w:hAnsi="Palatino Linotype" w:cs="Times New Roman"/>
      <w:color w:val="000000"/>
      <w:sz w:val="20"/>
      <w:szCs w:val="22"/>
      <w:lang w:eastAsia="de-DE" w:bidi="en-US"/>
    </w:rPr>
  </w:style>
  <w:style w:type="paragraph" w:customStyle="1" w:styleId="MDPI23heading3">
    <w:name w:val="MDPI_2.3_heading3"/>
    <w:qFormat/>
    <w:rsid w:val="00C407A5"/>
    <w:pPr>
      <w:snapToGrid w:val="0"/>
      <w:spacing w:before="60" w:after="60" w:line="228" w:lineRule="auto"/>
      <w:ind w:left="2608"/>
      <w:outlineLvl w:val="2"/>
    </w:pPr>
    <w:rPr>
      <w:rFonts w:ascii="Palatino Linotype" w:eastAsia="Times New Roman" w:hAnsi="Palatino Linotype" w:cs="Times New Roman"/>
      <w:color w:val="000000"/>
      <w:sz w:val="20"/>
      <w:szCs w:val="22"/>
      <w:lang w:eastAsia="de-DE" w:bidi="en-US"/>
    </w:rPr>
  </w:style>
  <w:style w:type="paragraph" w:customStyle="1" w:styleId="MDPI21heading1">
    <w:name w:val="MDPI_2.1_heading1"/>
    <w:qFormat/>
    <w:rsid w:val="00C407A5"/>
    <w:pPr>
      <w:snapToGrid w:val="0"/>
      <w:spacing w:before="240" w:after="60" w:line="228" w:lineRule="auto"/>
      <w:ind w:left="2608"/>
      <w:outlineLvl w:val="0"/>
    </w:pPr>
    <w:rPr>
      <w:rFonts w:ascii="Palatino Linotype" w:eastAsia="Times New Roman" w:hAnsi="Palatino Linotype" w:cs="Times New Roman"/>
      <w:b/>
      <w:color w:val="000000"/>
      <w:sz w:val="20"/>
      <w:szCs w:val="22"/>
      <w:lang w:eastAsia="de-DE" w:bidi="en-US"/>
    </w:rPr>
  </w:style>
  <w:style w:type="paragraph" w:customStyle="1" w:styleId="MDPI22heading2">
    <w:name w:val="MDPI_2.2_heading2"/>
    <w:qFormat/>
    <w:rsid w:val="00C407A5"/>
    <w:pPr>
      <w:snapToGrid w:val="0"/>
      <w:spacing w:before="60" w:after="60" w:line="228" w:lineRule="auto"/>
      <w:ind w:left="2608"/>
      <w:outlineLvl w:val="1"/>
    </w:pPr>
    <w:rPr>
      <w:rFonts w:ascii="Palatino Linotype" w:eastAsia="Times New Roman" w:hAnsi="Palatino Linotype" w:cs="Times New Roman"/>
      <w:i/>
      <w:color w:val="000000"/>
      <w:sz w:val="20"/>
      <w:szCs w:val="22"/>
      <w:lang w:eastAsia="de-DE" w:bidi="en-US"/>
    </w:rPr>
  </w:style>
  <w:style w:type="paragraph" w:customStyle="1" w:styleId="MDPI71References">
    <w:name w:val="MDPI_7.1_References"/>
    <w:qFormat/>
    <w:rsid w:val="00C407A5"/>
    <w:pPr>
      <w:numPr>
        <w:numId w:val="5"/>
      </w:numPr>
      <w:snapToGrid w:val="0"/>
      <w:spacing w:line="228" w:lineRule="auto"/>
      <w:jc w:val="both"/>
    </w:pPr>
    <w:rPr>
      <w:rFonts w:ascii="Palatino Linotype" w:eastAsia="Times New Roman" w:hAnsi="Palatino Linotype" w:cs="Times New Roman"/>
      <w:color w:val="000000"/>
      <w:sz w:val="18"/>
      <w:szCs w:val="20"/>
      <w:lang w:eastAsia="de-DE" w:bidi="en-US"/>
    </w:rPr>
  </w:style>
  <w:style w:type="paragraph" w:customStyle="1" w:styleId="MDPI61Citation">
    <w:name w:val="MDPI_6.1_Citation"/>
    <w:qFormat/>
    <w:rsid w:val="00C407A5"/>
    <w:pPr>
      <w:snapToGrid w:val="0"/>
      <w:spacing w:line="240" w:lineRule="atLeast"/>
      <w:ind w:right="113"/>
    </w:pPr>
    <w:rPr>
      <w:rFonts w:ascii="Palatino Linotype" w:eastAsia="SimSun" w:hAnsi="Palatino Linotype" w:cs="Cordia New"/>
      <w:sz w:val="14"/>
      <w:szCs w:val="22"/>
      <w:lang w:eastAsia="zh-CN"/>
    </w:rPr>
  </w:style>
  <w:style w:type="paragraph" w:customStyle="1" w:styleId="MDPI62BackMatter">
    <w:name w:val="MDPI_6.2_BackMatter"/>
    <w:qFormat/>
    <w:rsid w:val="00C407A5"/>
    <w:pPr>
      <w:snapToGrid w:val="0"/>
      <w:spacing w:after="120" w:line="228" w:lineRule="auto"/>
      <w:ind w:left="2608"/>
      <w:jc w:val="both"/>
    </w:pPr>
    <w:rPr>
      <w:rFonts w:ascii="Palatino Linotype" w:eastAsia="Times New Roman" w:hAnsi="Palatino Linotype" w:cs="Times New Roman"/>
      <w:color w:val="000000"/>
      <w:sz w:val="18"/>
      <w:szCs w:val="20"/>
      <w:lang w:bidi="en-US"/>
    </w:rPr>
  </w:style>
  <w:style w:type="paragraph" w:customStyle="1" w:styleId="MDPI63Notes">
    <w:name w:val="MDPI_6.3_Notes"/>
    <w:qFormat/>
    <w:rsid w:val="00C407A5"/>
    <w:pPr>
      <w:snapToGrid w:val="0"/>
      <w:spacing w:after="120" w:line="240" w:lineRule="atLeast"/>
      <w:ind w:right="113"/>
    </w:pPr>
    <w:rPr>
      <w:rFonts w:ascii="Palatino Linotype" w:eastAsia="SimSun" w:hAnsi="Palatino Linotype" w:cs="Times New Roman"/>
      <w:color w:val="000000"/>
      <w:sz w:val="14"/>
      <w:szCs w:val="20"/>
      <w:lang w:bidi="en-US"/>
    </w:rPr>
  </w:style>
  <w:style w:type="paragraph" w:customStyle="1" w:styleId="MDPI15academiceditor">
    <w:name w:val="MDPI_1.5_academic_editor"/>
    <w:qFormat/>
    <w:rsid w:val="00C407A5"/>
    <w:pPr>
      <w:snapToGrid w:val="0"/>
      <w:spacing w:before="240" w:line="240" w:lineRule="atLeast"/>
      <w:ind w:right="113"/>
    </w:pPr>
    <w:rPr>
      <w:rFonts w:ascii="Palatino Linotype" w:eastAsia="Times New Roman" w:hAnsi="Palatino Linotype" w:cs="Times New Roman"/>
      <w:color w:val="000000"/>
      <w:sz w:val="14"/>
      <w:szCs w:val="22"/>
      <w:lang w:eastAsia="de-DE" w:bidi="en-US"/>
    </w:rPr>
  </w:style>
  <w:style w:type="paragraph" w:customStyle="1" w:styleId="MDPI19classification">
    <w:name w:val="MDPI_1.9_classification"/>
    <w:qFormat/>
    <w:rsid w:val="00C407A5"/>
    <w:pPr>
      <w:spacing w:before="240" w:line="260" w:lineRule="atLeast"/>
      <w:ind w:left="113"/>
      <w:jc w:val="both"/>
    </w:pPr>
    <w:rPr>
      <w:rFonts w:ascii="Palatino Linotype" w:eastAsia="Times New Roman" w:hAnsi="Palatino Linotype" w:cs="Times New Roman"/>
      <w:b/>
      <w:color w:val="000000"/>
      <w:sz w:val="20"/>
      <w:szCs w:val="22"/>
      <w:lang w:eastAsia="de-DE" w:bidi="en-US"/>
    </w:rPr>
  </w:style>
  <w:style w:type="paragraph" w:customStyle="1" w:styleId="MDPI411onetablecaption">
    <w:name w:val="MDPI_4.1.1_one_table_caption"/>
    <w:qFormat/>
    <w:rsid w:val="00C407A5"/>
    <w:pPr>
      <w:snapToGrid w:val="0"/>
      <w:spacing w:before="240" w:after="120" w:line="260" w:lineRule="atLeast"/>
      <w:jc w:val="center"/>
    </w:pPr>
    <w:rPr>
      <w:rFonts w:ascii="Palatino Linotype" w:eastAsia="SimSun" w:hAnsi="Palatino Linotype" w:cs="Cordia New"/>
      <w:color w:val="000000"/>
      <w:sz w:val="18"/>
      <w:szCs w:val="22"/>
      <w:lang w:eastAsia="zh-CN" w:bidi="en-US"/>
    </w:rPr>
  </w:style>
  <w:style w:type="paragraph" w:customStyle="1" w:styleId="MDPI511onefigurecaption">
    <w:name w:val="MDPI_5.1.1_one_figure_caption"/>
    <w:qFormat/>
    <w:rsid w:val="00C407A5"/>
    <w:pPr>
      <w:snapToGrid w:val="0"/>
      <w:spacing w:before="240" w:after="120" w:line="260" w:lineRule="atLeast"/>
      <w:jc w:val="center"/>
    </w:pPr>
    <w:rPr>
      <w:rFonts w:ascii="Palatino Linotype" w:eastAsia="SimSun" w:hAnsi="Palatino Linotype" w:cs="Times New Roman"/>
      <w:color w:val="000000"/>
      <w:sz w:val="18"/>
      <w:szCs w:val="20"/>
      <w:lang w:eastAsia="zh-CN" w:bidi="en-US"/>
    </w:rPr>
  </w:style>
  <w:style w:type="paragraph" w:customStyle="1" w:styleId="MDPI72Copyright">
    <w:name w:val="MDPI_7.2_Copyright"/>
    <w:qFormat/>
    <w:rsid w:val="00C407A5"/>
    <w:pPr>
      <w:snapToGrid w:val="0"/>
      <w:spacing w:before="240" w:line="240" w:lineRule="atLeast"/>
      <w:ind w:right="113"/>
    </w:pPr>
    <w:rPr>
      <w:rFonts w:ascii="Palatino Linotype" w:eastAsia="Times New Roman" w:hAnsi="Palatino Linotype" w:cs="Times New Roman"/>
      <w:color w:val="000000"/>
      <w:spacing w:val="-2"/>
      <w:sz w:val="14"/>
      <w:szCs w:val="20"/>
      <w:lang w:val="en-GB" w:eastAsia="en-GB"/>
    </w:rPr>
  </w:style>
  <w:style w:type="paragraph" w:customStyle="1" w:styleId="MDPI73CopyrightImage">
    <w:name w:val="MDPI_7.3_CopyrightImage"/>
    <w:qFormat/>
    <w:rsid w:val="00C407A5"/>
    <w:pPr>
      <w:snapToGrid w:val="0"/>
      <w:spacing w:after="100" w:line="260" w:lineRule="atLeast"/>
      <w:jc w:val="right"/>
    </w:pPr>
    <w:rPr>
      <w:rFonts w:ascii="Palatino Linotype" w:eastAsia="Times New Roman" w:hAnsi="Palatino Linotype" w:cs="Times New Roman"/>
      <w:color w:val="000000"/>
      <w:sz w:val="20"/>
      <w:szCs w:val="20"/>
      <w:lang w:eastAsia="de-CH"/>
    </w:rPr>
  </w:style>
  <w:style w:type="paragraph" w:customStyle="1" w:styleId="MDPIequationFram">
    <w:name w:val="MDPI_equationFram"/>
    <w:qFormat/>
    <w:rsid w:val="00C407A5"/>
    <w:pPr>
      <w:snapToGrid w:val="0"/>
      <w:spacing w:before="120" w:after="120"/>
      <w:jc w:val="center"/>
    </w:pPr>
    <w:rPr>
      <w:rFonts w:ascii="Palatino Linotype" w:eastAsia="Times New Roman" w:hAnsi="Palatino Linotype" w:cs="Times New Roman"/>
      <w:color w:val="000000"/>
      <w:sz w:val="20"/>
      <w:szCs w:val="22"/>
      <w:lang w:eastAsia="de-DE" w:bidi="en-US"/>
    </w:rPr>
  </w:style>
  <w:style w:type="paragraph" w:customStyle="1" w:styleId="MDPIfooter">
    <w:name w:val="MDPI_footer"/>
    <w:qFormat/>
    <w:rsid w:val="00C407A5"/>
    <w:pPr>
      <w:snapToGrid w:val="0"/>
      <w:spacing w:before="120" w:line="260" w:lineRule="atLeast"/>
      <w:jc w:val="center"/>
    </w:pPr>
    <w:rPr>
      <w:rFonts w:ascii="Palatino Linotype" w:eastAsia="Times New Roman" w:hAnsi="Palatino Linotype" w:cs="Times New Roman"/>
      <w:color w:val="000000"/>
      <w:sz w:val="20"/>
      <w:szCs w:val="20"/>
      <w:lang w:eastAsia="de-DE"/>
    </w:rPr>
  </w:style>
  <w:style w:type="paragraph" w:customStyle="1" w:styleId="MDPIfooterfirstpage">
    <w:name w:val="MDPI_footer_firstpage"/>
    <w:qFormat/>
    <w:rsid w:val="00C407A5"/>
    <w:pPr>
      <w:tabs>
        <w:tab w:val="right" w:pos="8845"/>
      </w:tabs>
      <w:spacing w:line="160" w:lineRule="exact"/>
    </w:pPr>
    <w:rPr>
      <w:rFonts w:ascii="Palatino Linotype" w:eastAsia="Times New Roman" w:hAnsi="Palatino Linotype" w:cs="Times New Roman"/>
      <w:color w:val="000000"/>
      <w:sz w:val="16"/>
      <w:szCs w:val="20"/>
      <w:lang w:eastAsia="de-DE"/>
    </w:rPr>
  </w:style>
  <w:style w:type="paragraph" w:customStyle="1" w:styleId="MDPIheader">
    <w:name w:val="MDPI_header"/>
    <w:qFormat/>
    <w:rsid w:val="00C407A5"/>
    <w:pPr>
      <w:snapToGrid w:val="0"/>
      <w:spacing w:after="240" w:line="260" w:lineRule="atLeast"/>
      <w:jc w:val="both"/>
    </w:pPr>
    <w:rPr>
      <w:rFonts w:ascii="Palatino Linotype" w:eastAsia="Times New Roman" w:hAnsi="Palatino Linotype" w:cs="Times New Roman"/>
      <w:iCs/>
      <w:color w:val="000000"/>
      <w:sz w:val="16"/>
      <w:szCs w:val="20"/>
      <w:lang w:eastAsia="de-DE"/>
    </w:rPr>
  </w:style>
  <w:style w:type="paragraph" w:customStyle="1" w:styleId="MDPIheadercitation">
    <w:name w:val="MDPI_header_citation"/>
    <w:qFormat/>
    <w:rsid w:val="00C407A5"/>
    <w:pPr>
      <w:spacing w:after="240"/>
    </w:pPr>
    <w:rPr>
      <w:rFonts w:ascii="Palatino Linotype" w:eastAsia="Times New Roman" w:hAnsi="Palatino Linotype" w:cs="Times New Roman"/>
      <w:color w:val="000000"/>
      <w:sz w:val="18"/>
      <w:szCs w:val="20"/>
      <w:lang w:eastAsia="de-DE" w:bidi="en-US"/>
    </w:rPr>
  </w:style>
  <w:style w:type="paragraph" w:customStyle="1" w:styleId="MDPIheadermdpilogo">
    <w:name w:val="MDPI_header_mdpi_logo"/>
    <w:qFormat/>
    <w:rsid w:val="00C407A5"/>
    <w:pPr>
      <w:snapToGrid w:val="0"/>
      <w:spacing w:line="260" w:lineRule="atLeast"/>
      <w:jc w:val="right"/>
    </w:pPr>
    <w:rPr>
      <w:rFonts w:ascii="Palatino Linotype" w:eastAsia="Times New Roman" w:hAnsi="Palatino Linotype" w:cs="Times New Roman"/>
      <w:color w:val="000000"/>
      <w:szCs w:val="22"/>
      <w:lang w:eastAsia="de-CH"/>
    </w:rPr>
  </w:style>
  <w:style w:type="paragraph" w:customStyle="1" w:styleId="MDPItext">
    <w:name w:val="MDPI_text"/>
    <w:qFormat/>
    <w:rsid w:val="00C407A5"/>
    <w:pPr>
      <w:spacing w:line="260" w:lineRule="atLeast"/>
      <w:ind w:left="425" w:right="425" w:firstLine="284"/>
      <w:jc w:val="both"/>
    </w:pPr>
    <w:rPr>
      <w:rFonts w:ascii="Times New Roman" w:eastAsia="Times New Roman" w:hAnsi="Times New Roman" w:cs="Times New Roman"/>
      <w:color w:val="000000"/>
      <w:sz w:val="22"/>
      <w:szCs w:val="22"/>
      <w:lang w:eastAsia="de-DE" w:bidi="en-US"/>
    </w:rPr>
  </w:style>
  <w:style w:type="paragraph" w:customStyle="1" w:styleId="MDPItitle">
    <w:name w:val="MDPI_title"/>
    <w:qFormat/>
    <w:rsid w:val="00C407A5"/>
    <w:pPr>
      <w:snapToGrid w:val="0"/>
      <w:spacing w:after="240" w:line="260" w:lineRule="atLeast"/>
      <w:jc w:val="both"/>
    </w:pPr>
    <w:rPr>
      <w:rFonts w:ascii="Palatino Linotype" w:eastAsia="Times New Roman" w:hAnsi="Palatino Linotype" w:cs="Times New Roman"/>
      <w:b/>
      <w:color w:val="000000"/>
      <w:sz w:val="36"/>
      <w:szCs w:val="20"/>
      <w:lang w:eastAsia="de-DE" w:bidi="en-US"/>
    </w:rPr>
  </w:style>
  <w:style w:type="paragraph" w:customStyle="1" w:styleId="MsoFootnoteText0">
    <w:name w:val="MsoFootnoteText"/>
    <w:basedOn w:val="NormalWeb"/>
    <w:qFormat/>
    <w:rsid w:val="00C407A5"/>
    <w:pPr>
      <w:spacing w:beforeAutospacing="0" w:afterAutospacing="0" w:line="260" w:lineRule="atLeast"/>
      <w:jc w:val="both"/>
    </w:pPr>
    <w:rPr>
      <w:rFonts w:eastAsia="SimSun"/>
      <w:color w:val="000000"/>
      <w:sz w:val="20"/>
      <w:lang w:eastAsia="zh-CN"/>
    </w:rPr>
  </w:style>
  <w:style w:type="paragraph" w:customStyle="1" w:styleId="MDPI71FootNotes">
    <w:name w:val="MDPI_7.1_FootNotes"/>
    <w:qFormat/>
    <w:rsid w:val="00C407A5"/>
    <w:pPr>
      <w:numPr>
        <w:numId w:val="6"/>
      </w:numPr>
      <w:snapToGrid w:val="0"/>
      <w:spacing w:line="228" w:lineRule="auto"/>
      <w:jc w:val="both"/>
    </w:pPr>
    <w:rPr>
      <w:rFonts w:ascii="Palatino Linotype" w:eastAsiaTheme="minorEastAsia" w:hAnsi="Palatino Linotype" w:cs="Times New Roman"/>
      <w:color w:val="000000"/>
      <w:sz w:val="18"/>
      <w:szCs w:val="20"/>
      <w:lang w:eastAsia="zh-CN"/>
    </w:rPr>
  </w:style>
  <w:style w:type="paragraph" w:customStyle="1" w:styleId="Default">
    <w:name w:val="Default"/>
    <w:qFormat/>
    <w:rsid w:val="00702AFD"/>
    <w:rPr>
      <w:rFonts w:ascii="Arial" w:eastAsia="Calibri" w:hAnsi="Arial" w:cs="Arial"/>
      <w:color w:val="000000"/>
    </w:rPr>
  </w:style>
  <w:style w:type="paragraph" w:customStyle="1" w:styleId="msonormal0">
    <w:name w:val="msonormal"/>
    <w:basedOn w:val="Normal"/>
    <w:qFormat/>
    <w:rsid w:val="006A3B1A"/>
    <w:pPr>
      <w:spacing w:beforeAutospacing="1" w:afterAutospacing="1"/>
    </w:pPr>
  </w:style>
  <w:style w:type="paragraph" w:styleId="TOCHeading">
    <w:name w:val="TOC Heading"/>
    <w:basedOn w:val="IndexHeading"/>
    <w:uiPriority w:val="39"/>
    <w:qFormat/>
  </w:style>
  <w:style w:type="paragraph" w:styleId="IndexHeading">
    <w:name w:val="index heading"/>
    <w:basedOn w:val="Heading"/>
    <w:pPr>
      <w:suppressLineNumbers/>
    </w:pPr>
    <w:rPr>
      <w:b/>
      <w:bCs/>
      <w:sz w:val="32"/>
      <w:szCs w:val="32"/>
    </w:rPr>
  </w:style>
  <w:style w:type="paragraph" w:styleId="TOC1">
    <w:name w:val="toc 1"/>
    <w:basedOn w:val="Normal"/>
    <w:next w:val="Normal"/>
    <w:autoRedefine/>
    <w:uiPriority w:val="39"/>
    <w:unhideWhenUsed/>
    <w:rsid w:val="001D4993"/>
    <w:pPr>
      <w:spacing w:before="360" w:after="360"/>
    </w:pPr>
    <w:rPr>
      <w:rFonts w:asciiTheme="minorHAnsi" w:hAnsiTheme="minorHAnsi" w:cstheme="minorHAnsi"/>
      <w:b/>
      <w:bCs/>
      <w:caps/>
      <w:sz w:val="22"/>
      <w:szCs w:val="22"/>
      <w:u w:val="single"/>
    </w:rPr>
  </w:style>
  <w:style w:type="paragraph" w:styleId="TOC2">
    <w:name w:val="toc 2"/>
    <w:basedOn w:val="Normal"/>
    <w:next w:val="Normal"/>
    <w:autoRedefine/>
    <w:uiPriority w:val="39"/>
    <w:unhideWhenUsed/>
    <w:rsid w:val="001D4993"/>
    <w:rPr>
      <w:rFonts w:asciiTheme="minorHAnsi" w:hAnsiTheme="minorHAnsi" w:cstheme="minorHAnsi"/>
      <w:b/>
      <w:bCs/>
      <w:smallCaps/>
      <w:sz w:val="22"/>
      <w:szCs w:val="22"/>
    </w:rPr>
  </w:style>
  <w:style w:type="paragraph" w:styleId="TOC3">
    <w:name w:val="toc 3"/>
    <w:basedOn w:val="Normal"/>
    <w:next w:val="Normal"/>
    <w:autoRedefine/>
    <w:uiPriority w:val="39"/>
    <w:unhideWhenUsed/>
    <w:rsid w:val="001D4993"/>
    <w:rPr>
      <w:rFonts w:asciiTheme="minorHAnsi" w:hAnsiTheme="minorHAnsi" w:cstheme="minorHAnsi"/>
      <w:smallCaps/>
      <w:sz w:val="22"/>
      <w:szCs w:val="22"/>
    </w:rPr>
  </w:style>
  <w:style w:type="paragraph" w:styleId="TOC4">
    <w:name w:val="toc 4"/>
    <w:basedOn w:val="Normal"/>
    <w:next w:val="Normal"/>
    <w:autoRedefine/>
    <w:uiPriority w:val="39"/>
    <w:unhideWhenUsed/>
    <w:rsid w:val="001D4993"/>
    <w:rPr>
      <w:rFonts w:asciiTheme="minorHAnsi" w:hAnsiTheme="minorHAnsi" w:cstheme="minorHAnsi"/>
      <w:sz w:val="22"/>
      <w:szCs w:val="22"/>
    </w:rPr>
  </w:style>
  <w:style w:type="paragraph" w:styleId="TOC5">
    <w:name w:val="toc 5"/>
    <w:basedOn w:val="Normal"/>
    <w:next w:val="Normal"/>
    <w:autoRedefine/>
    <w:uiPriority w:val="39"/>
    <w:unhideWhenUsed/>
    <w:rsid w:val="001D4993"/>
    <w:rPr>
      <w:rFonts w:asciiTheme="minorHAnsi" w:hAnsiTheme="minorHAnsi" w:cstheme="minorHAnsi"/>
      <w:sz w:val="22"/>
      <w:szCs w:val="22"/>
    </w:rPr>
  </w:style>
  <w:style w:type="paragraph" w:styleId="TOC6">
    <w:name w:val="toc 6"/>
    <w:basedOn w:val="Normal"/>
    <w:next w:val="Normal"/>
    <w:autoRedefine/>
    <w:uiPriority w:val="39"/>
    <w:unhideWhenUsed/>
    <w:rsid w:val="001D4993"/>
    <w:rPr>
      <w:rFonts w:asciiTheme="minorHAnsi" w:hAnsiTheme="minorHAnsi" w:cstheme="minorHAnsi"/>
      <w:sz w:val="22"/>
      <w:szCs w:val="22"/>
    </w:rPr>
  </w:style>
  <w:style w:type="paragraph" w:styleId="TOC7">
    <w:name w:val="toc 7"/>
    <w:basedOn w:val="Normal"/>
    <w:next w:val="Normal"/>
    <w:autoRedefine/>
    <w:uiPriority w:val="39"/>
    <w:unhideWhenUsed/>
    <w:rsid w:val="001D4993"/>
    <w:rPr>
      <w:rFonts w:asciiTheme="minorHAnsi" w:hAnsiTheme="minorHAnsi" w:cstheme="minorHAnsi"/>
      <w:sz w:val="22"/>
      <w:szCs w:val="22"/>
    </w:rPr>
  </w:style>
  <w:style w:type="paragraph" w:styleId="TOC8">
    <w:name w:val="toc 8"/>
    <w:basedOn w:val="Normal"/>
    <w:next w:val="Normal"/>
    <w:autoRedefine/>
    <w:uiPriority w:val="39"/>
    <w:unhideWhenUsed/>
    <w:rsid w:val="001D4993"/>
    <w:rPr>
      <w:rFonts w:asciiTheme="minorHAnsi" w:hAnsiTheme="minorHAnsi" w:cstheme="minorHAnsi"/>
      <w:sz w:val="22"/>
      <w:szCs w:val="22"/>
    </w:rPr>
  </w:style>
  <w:style w:type="paragraph" w:styleId="TOC9">
    <w:name w:val="toc 9"/>
    <w:basedOn w:val="Normal"/>
    <w:next w:val="Normal"/>
    <w:autoRedefine/>
    <w:uiPriority w:val="39"/>
    <w:unhideWhenUsed/>
    <w:rsid w:val="001D4993"/>
    <w:rPr>
      <w:rFonts w:asciiTheme="minorHAnsi" w:hAnsiTheme="minorHAnsi" w:cstheme="minorHAnsi"/>
      <w:sz w:val="22"/>
      <w:szCs w:val="22"/>
    </w:rPr>
  </w:style>
  <w:style w:type="paragraph" w:styleId="TableofFigures">
    <w:name w:val="table of figures"/>
    <w:basedOn w:val="Normal"/>
    <w:next w:val="Normal"/>
    <w:uiPriority w:val="99"/>
    <w:unhideWhenUsed/>
    <w:qFormat/>
    <w:rsid w:val="000E057E"/>
  </w:style>
  <w:style w:type="paragraph" w:customStyle="1" w:styleId="FigureIndexHeading">
    <w:name w:val="Figure Index Heading"/>
    <w:basedOn w:val="IndexHeading"/>
    <w:qFormat/>
  </w:style>
  <w:style w:type="table" w:styleId="TableGrid">
    <w:name w:val="Table Grid"/>
    <w:basedOn w:val="TableNormal"/>
    <w:uiPriority w:val="39"/>
    <w:unhideWhenUsed/>
    <w:rsid w:val="00C7099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DPITable">
    <w:name w:val="MDPI_Table"/>
    <w:basedOn w:val="TableNormal"/>
    <w:uiPriority w:val="99"/>
    <w:rsid w:val="00C407A5"/>
    <w:rPr>
      <w:color w:val="000000"/>
      <w:sz w:val="20"/>
      <w:szCs w:val="20"/>
      <w:lang w:val="en-CA"/>
    </w:rPr>
    <w:tblPr>
      <w:tblCellMar>
        <w:left w:w="0" w:type="dxa"/>
        <w:right w:w="0" w:type="dxa"/>
      </w:tblCellMar>
    </w:tblPr>
  </w:style>
  <w:style w:type="table" w:customStyle="1" w:styleId="TableGrid1">
    <w:name w:val="Table Grid1"/>
    <w:basedOn w:val="TableNormal"/>
    <w:uiPriority w:val="39"/>
    <w:rsid w:val="00C407A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F377A4"/>
    <w:rPr>
      <w:vertAlign w:val="superscript"/>
    </w:rPr>
  </w:style>
  <w:style w:type="paragraph" w:customStyle="1" w:styleId="Standard">
    <w:name w:val="Standard"/>
    <w:uiPriority w:val="99"/>
    <w:rsid w:val="002768C0"/>
    <w:pPr>
      <w:widowControl w:val="0"/>
      <w:autoSpaceDN w:val="0"/>
    </w:pPr>
    <w:rPr>
      <w:rFonts w:ascii="Liberation Serif" w:eastAsia="Times New Roman" w:hAnsi="Liberation Serif" w:cs="Mangal"/>
      <w:kern w:val="3"/>
      <w:lang w:val="it-IT"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698279">
      <w:bodyDiv w:val="1"/>
      <w:marLeft w:val="0"/>
      <w:marRight w:val="0"/>
      <w:marTop w:val="0"/>
      <w:marBottom w:val="0"/>
      <w:divBdr>
        <w:top w:val="none" w:sz="0" w:space="0" w:color="auto"/>
        <w:left w:val="none" w:sz="0" w:space="0" w:color="auto"/>
        <w:bottom w:val="none" w:sz="0" w:space="0" w:color="auto"/>
        <w:right w:val="none" w:sz="0" w:space="0" w:color="auto"/>
      </w:divBdr>
    </w:div>
    <w:div w:id="14797594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creativecommons.org/licenses/by-nc-nd/3.0/it/" TargetMode="External"/><Relationship Id="rId18" Type="http://schemas.openxmlformats.org/officeDocument/2006/relationships/image" Target="media/image2.png"/><Relationship Id="rId26" Type="http://schemas.openxmlformats.org/officeDocument/2006/relationships/image" Target="media/image5.png"/><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yperlink" Target="mailto:laminb.ceesay@univr.it" TargetMode="External"/><Relationship Id="rId7" Type="http://schemas.openxmlformats.org/officeDocument/2006/relationships/endnotes" Target="endnotes.xml"/><Relationship Id="rId12" Type="http://schemas.openxmlformats.org/officeDocument/2006/relationships/hyperlink" Target="http://creativecommons.org/licenses/by-nc-nd/3.0/it/" TargetMode="External"/><Relationship Id="rId17" Type="http://schemas.openxmlformats.org/officeDocument/2006/relationships/chart" Target="charts/chart2.xml"/><Relationship Id="rId25" Type="http://schemas.openxmlformats.org/officeDocument/2006/relationships/image" Target="media/image4.png"/><Relationship Id="rId33" Type="http://schemas.openxmlformats.org/officeDocument/2006/relationships/image" Target="media/image10.pn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eader" Target="header1.xml"/><Relationship Id="rId29" Type="http://schemas.openxmlformats.org/officeDocument/2006/relationships/hyperlink" Target="mailto:alessandro.zardine@univr.i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reativecommons.org/licenses/by-nc-nd/3.0/it/" TargetMode="External"/><Relationship Id="rId24" Type="http://schemas.openxmlformats.org/officeDocument/2006/relationships/hyperlink" Target="mailto:alessandro.zardine@univr.it" TargetMode="External"/><Relationship Id="rId32" Type="http://schemas.openxmlformats.org/officeDocument/2006/relationships/image" Target="media/image9.png"/><Relationship Id="rId37" Type="http://schemas.openxmlformats.org/officeDocument/2006/relationships/image" Target="media/image11.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mailto:Rossignoli.cecilia@univr.it" TargetMode="External"/><Relationship Id="rId28" Type="http://schemas.openxmlformats.org/officeDocument/2006/relationships/hyperlink" Target="mailto:laminb.ceesay@univr.it" TargetMode="External"/><Relationship Id="rId36" Type="http://schemas.openxmlformats.org/officeDocument/2006/relationships/hyperlink" Target="mailto:rmahto@unm.edu" TargetMode="External"/><Relationship Id="rId10" Type="http://schemas.openxmlformats.org/officeDocument/2006/relationships/image" Target="media/image1.jpeg"/><Relationship Id="rId19" Type="http://schemas.openxmlformats.org/officeDocument/2006/relationships/image" Target="media/image3.png"/><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creativecommons.org/licenses/by-nc-nd/3.0/it/" TargetMode="External"/><Relationship Id="rId14" Type="http://schemas.openxmlformats.org/officeDocument/2006/relationships/hyperlink" Target="http://creativecommons.org/licenses/by-nc-nd/3.0/it/" TargetMode="External"/><Relationship Id="rId22" Type="http://schemas.openxmlformats.org/officeDocument/2006/relationships/hyperlink" Target="mailto:laminb.ceesay@univr.it" TargetMode="External"/><Relationship Id="rId27" Type="http://schemas.openxmlformats.org/officeDocument/2006/relationships/image" Target="media/image6.png"/><Relationship Id="rId30" Type="http://schemas.openxmlformats.org/officeDocument/2006/relationships/image" Target="media/image7.png"/><Relationship Id="rId35" Type="http://schemas.openxmlformats.org/officeDocument/2006/relationships/hyperlink" Target="mailto:rossignoli.cecilia@univr.i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temarsrl-vr.it/" TargetMode="External"/><Relationship Id="rId3" Type="http://schemas.openxmlformats.org/officeDocument/2006/relationships/hyperlink" Target="https://www.worldometers.info/coronavirus/" TargetMode="External"/><Relationship Id="rId7" Type="http://schemas.openxmlformats.org/officeDocument/2006/relationships/hyperlink" Target="https://www.cdc.gov/niosh/topics/emres/ppe.html" TargetMode="External"/><Relationship Id="rId2" Type="http://schemas.openxmlformats.org/officeDocument/2006/relationships/hyperlink" Target="https://www.ilbuongustoveneto.it/" TargetMode="External"/><Relationship Id="rId1" Type="http://schemas.openxmlformats.org/officeDocument/2006/relationships/hyperlink" Target="https://www.ilbuongustoveneto.it/" TargetMode="External"/><Relationship Id="rId6" Type="http://schemas.openxmlformats.org/officeDocument/2006/relationships/hyperlink" Target="https://www.cdc.gov/niosh/topics/emres/ppe.html" TargetMode="External"/><Relationship Id="rId11" Type="http://schemas.openxmlformats.org/officeDocument/2006/relationships/hyperlink" Target="https://texbondspa.com/" TargetMode="External"/><Relationship Id="rId5" Type="http://schemas.openxmlformats.org/officeDocument/2006/relationships/hyperlink" Target="https://www.cdc.gov/niosh/topics/emres/ppe.html" TargetMode="External"/><Relationship Id="rId10" Type="http://schemas.openxmlformats.org/officeDocument/2006/relationships/hyperlink" Target="https://protekcargo.com/" TargetMode="External"/><Relationship Id="rId4" Type="http://schemas.openxmlformats.org/officeDocument/2006/relationships/hyperlink" Target="https://covid19.who.int/region/euro/country/it" TargetMode="External"/><Relationship Id="rId9" Type="http://schemas.openxmlformats.org/officeDocument/2006/relationships/hyperlink" Target="https://protekcargo.com/"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UTG159\Desktop\SUMMER%20PAPER%20FINAL\SUMMER%20PAPER\Methodologi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0"/>
  <c:style val="2"/>
  <c:chart>
    <c:autoTitleDeleted val="1"/>
    <c:plotArea>
      <c:layout/>
      <c:barChart>
        <c:barDir val="col"/>
        <c:grouping val="clustered"/>
        <c:varyColors val="0"/>
        <c:ser>
          <c:idx val="0"/>
          <c:order val="0"/>
          <c:tx>
            <c:strRef>
              <c:f>label 0</c:f>
              <c:strCache>
                <c:ptCount val="1"/>
                <c:pt idx="0">
                  <c:v>TP</c:v>
                </c:pt>
              </c:strCache>
            </c:strRef>
          </c:tx>
          <c:spPr>
            <a:solidFill>
              <a:srgbClr val="4472C4"/>
            </a:solidFill>
            <a:ln w="0">
              <a:noFill/>
            </a:ln>
          </c:spPr>
          <c:invertIfNegative val="0"/>
          <c:dLbls>
            <c:spPr>
              <a:noFill/>
              <a:ln>
                <a:noFill/>
              </a:ln>
              <a:effectLst/>
            </c:spPr>
            <c:txPr>
              <a:bodyPr wrap="square"/>
              <a:lstStyle/>
              <a:p>
                <a:pPr>
                  <a:defRPr sz="1000" b="0" strike="noStrike" spc="-1">
                    <a:solidFill>
                      <a:srgbClr val="000000"/>
                    </a:solidFill>
                    <a:latin typeface="Calibri"/>
                  </a:defRPr>
                </a:pPr>
                <a:endParaRPr lang="en-US"/>
              </a:p>
            </c:txPr>
            <c:dLblPos val="outEnd"/>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strCache>
            </c:strRef>
          </c:cat>
          <c:val>
            <c:numRef>
              <c:f>0</c:f>
              <c:numCache>
                <c:formatCode>General</c:formatCode>
                <c:ptCount val="22"/>
                <c:pt idx="0">
                  <c:v>1</c:v>
                </c:pt>
                <c:pt idx="1">
                  <c:v>1</c:v>
                </c:pt>
                <c:pt idx="2">
                  <c:v>1</c:v>
                </c:pt>
                <c:pt idx="3">
                  <c:v>1</c:v>
                </c:pt>
                <c:pt idx="4">
                  <c:v>4</c:v>
                </c:pt>
                <c:pt idx="5">
                  <c:v>1</c:v>
                </c:pt>
                <c:pt idx="6">
                  <c:v>3</c:v>
                </c:pt>
                <c:pt idx="7">
                  <c:v>1</c:v>
                </c:pt>
                <c:pt idx="8">
                  <c:v>4</c:v>
                </c:pt>
                <c:pt idx="9">
                  <c:v>5</c:v>
                </c:pt>
                <c:pt idx="10">
                  <c:v>4</c:v>
                </c:pt>
                <c:pt idx="11">
                  <c:v>3</c:v>
                </c:pt>
                <c:pt idx="12">
                  <c:v>8</c:v>
                </c:pt>
                <c:pt idx="13">
                  <c:v>8</c:v>
                </c:pt>
                <c:pt idx="14">
                  <c:v>3</c:v>
                </c:pt>
                <c:pt idx="15">
                  <c:v>5</c:v>
                </c:pt>
                <c:pt idx="16">
                  <c:v>8</c:v>
                </c:pt>
                <c:pt idx="17">
                  <c:v>7</c:v>
                </c:pt>
                <c:pt idx="18">
                  <c:v>5</c:v>
                </c:pt>
                <c:pt idx="19">
                  <c:v>9</c:v>
                </c:pt>
                <c:pt idx="20">
                  <c:v>9</c:v>
                </c:pt>
                <c:pt idx="21">
                  <c:v>8</c:v>
                </c:pt>
              </c:numCache>
            </c:numRef>
          </c:val>
          <c:extLst>
            <c:ext xmlns:c16="http://schemas.microsoft.com/office/drawing/2014/chart" uri="{C3380CC4-5D6E-409C-BE32-E72D297353CC}">
              <c16:uniqueId val="{00000000-B8EE-4E37-ACD3-16F19FEE56AB}"/>
            </c:ext>
          </c:extLst>
        </c:ser>
        <c:dLbls>
          <c:showLegendKey val="0"/>
          <c:showVal val="0"/>
          <c:showCatName val="0"/>
          <c:showSerName val="0"/>
          <c:showPercent val="0"/>
          <c:showBubbleSize val="0"/>
        </c:dLbls>
        <c:gapWidth val="150"/>
        <c:axId val="640279504"/>
        <c:axId val="640247408"/>
      </c:barChart>
      <c:lineChart>
        <c:grouping val="standard"/>
        <c:varyColors val="0"/>
        <c:ser>
          <c:idx val="1"/>
          <c:order val="1"/>
          <c:tx>
            <c:strRef>
              <c:f>label 1</c:f>
              <c:strCache>
                <c:ptCount val="1"/>
                <c:pt idx="0">
                  <c:v>TC</c:v>
                </c:pt>
              </c:strCache>
            </c:strRef>
          </c:tx>
          <c:spPr>
            <a:ln w="28440" cap="rnd">
              <a:solidFill>
                <a:srgbClr val="ED7D31"/>
              </a:solidFill>
              <a:round/>
            </a:ln>
          </c:spPr>
          <c:marker>
            <c:symbol val="none"/>
          </c:marker>
          <c:dLbls>
            <c:spPr>
              <a:noFill/>
              <a:ln>
                <a:noFill/>
              </a:ln>
              <a:effectLst/>
            </c:spPr>
            <c:txPr>
              <a:bodyPr wrap="square"/>
              <a:lstStyle/>
              <a:p>
                <a:pPr>
                  <a:defRPr sz="1000" b="0" strike="noStrike" spc="-1">
                    <a:solidFill>
                      <a:srgbClr val="000000"/>
                    </a:solidFill>
                    <a:latin typeface="Calibri"/>
                  </a:defRPr>
                </a:pPr>
                <a:endParaRPr lang="en-US"/>
              </a:p>
            </c:tx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strCache>
            </c:strRef>
          </c:cat>
          <c:val>
            <c:numRef>
              <c:f>1</c:f>
              <c:numCache>
                <c:formatCode>General</c:formatCode>
                <c:ptCount val="22"/>
                <c:pt idx="0">
                  <c:v>249</c:v>
                </c:pt>
                <c:pt idx="1">
                  <c:v>0</c:v>
                </c:pt>
                <c:pt idx="2">
                  <c:v>0</c:v>
                </c:pt>
                <c:pt idx="3">
                  <c:v>85</c:v>
                </c:pt>
                <c:pt idx="4">
                  <c:v>120</c:v>
                </c:pt>
                <c:pt idx="5">
                  <c:v>0</c:v>
                </c:pt>
                <c:pt idx="6">
                  <c:v>51</c:v>
                </c:pt>
                <c:pt idx="7">
                  <c:v>0</c:v>
                </c:pt>
                <c:pt idx="8">
                  <c:v>184</c:v>
                </c:pt>
                <c:pt idx="9">
                  <c:v>113</c:v>
                </c:pt>
                <c:pt idx="10">
                  <c:v>118</c:v>
                </c:pt>
                <c:pt idx="11">
                  <c:v>30</c:v>
                </c:pt>
                <c:pt idx="12">
                  <c:v>141</c:v>
                </c:pt>
                <c:pt idx="13">
                  <c:v>79</c:v>
                </c:pt>
                <c:pt idx="14">
                  <c:v>18</c:v>
                </c:pt>
                <c:pt idx="15">
                  <c:v>25</c:v>
                </c:pt>
                <c:pt idx="16">
                  <c:v>45</c:v>
                </c:pt>
                <c:pt idx="17">
                  <c:v>34</c:v>
                </c:pt>
                <c:pt idx="18">
                  <c:v>148</c:v>
                </c:pt>
                <c:pt idx="19">
                  <c:v>90</c:v>
                </c:pt>
                <c:pt idx="20">
                  <c:v>14</c:v>
                </c:pt>
                <c:pt idx="21">
                  <c:v>44</c:v>
                </c:pt>
              </c:numCache>
            </c:numRef>
          </c:val>
          <c:smooth val="0"/>
          <c:extLst>
            <c:ext xmlns:c16="http://schemas.microsoft.com/office/drawing/2014/chart" uri="{C3380CC4-5D6E-409C-BE32-E72D297353CC}">
              <c16:uniqueId val="{00000001-B8EE-4E37-ACD3-16F19FEE56AB}"/>
            </c:ext>
          </c:extLst>
        </c:ser>
        <c:dLbls>
          <c:showLegendKey val="0"/>
          <c:showVal val="0"/>
          <c:showCatName val="0"/>
          <c:showSerName val="0"/>
          <c:showPercent val="0"/>
          <c:showBubbleSize val="0"/>
        </c:dLbls>
        <c:hiLowLines>
          <c:spPr>
            <a:ln w="0">
              <a:noFill/>
            </a:ln>
          </c:spPr>
        </c:hiLowLines>
        <c:marker val="1"/>
        <c:smooth val="0"/>
        <c:axId val="640256112"/>
        <c:axId val="640248496"/>
      </c:lineChart>
      <c:catAx>
        <c:axId val="640279504"/>
        <c:scaling>
          <c:orientation val="minMax"/>
        </c:scaling>
        <c:delete val="0"/>
        <c:axPos val="b"/>
        <c:title>
          <c:tx>
            <c:rich>
              <a:bodyPr rot="0"/>
              <a:lstStyle/>
              <a:p>
                <a:pPr>
                  <a:defRPr lang="en-US" sz="1000" b="0" strike="noStrike" spc="-1">
                    <a:solidFill>
                      <a:srgbClr val="595959"/>
                    </a:solidFill>
                    <a:latin typeface="Calibri"/>
                  </a:defRPr>
                </a:pPr>
                <a:r>
                  <a:rPr lang="en-US" sz="1000" b="0" strike="noStrike" spc="-1">
                    <a:solidFill>
                      <a:srgbClr val="595959"/>
                    </a:solidFill>
                    <a:latin typeface="Calibri"/>
                  </a:rPr>
                  <a:t>Years</a:t>
                </a:r>
              </a:p>
            </c:rich>
          </c:tx>
          <c:overlay val="0"/>
          <c:spPr>
            <a:noFill/>
            <a:ln w="0">
              <a:noFill/>
            </a:ln>
          </c:spPr>
        </c:title>
        <c:numFmt formatCode="General" sourceLinked="0"/>
        <c:majorTickMark val="none"/>
        <c:minorTickMark val="none"/>
        <c:tickLblPos val="nextTo"/>
        <c:spPr>
          <a:ln w="9360">
            <a:solidFill>
              <a:srgbClr val="D9D9D9"/>
            </a:solidFill>
            <a:round/>
          </a:ln>
        </c:spPr>
        <c:txPr>
          <a:bodyPr/>
          <a:lstStyle/>
          <a:p>
            <a:pPr>
              <a:defRPr sz="900" b="0" strike="noStrike" spc="-1">
                <a:solidFill>
                  <a:srgbClr val="595959"/>
                </a:solidFill>
                <a:latin typeface="Calibri"/>
              </a:defRPr>
            </a:pPr>
            <a:endParaRPr lang="en-US"/>
          </a:p>
        </c:txPr>
        <c:crossAx val="640247408"/>
        <c:crosses val="autoZero"/>
        <c:auto val="1"/>
        <c:lblAlgn val="ctr"/>
        <c:lblOffset val="100"/>
        <c:noMultiLvlLbl val="0"/>
      </c:catAx>
      <c:valAx>
        <c:axId val="640247408"/>
        <c:scaling>
          <c:orientation val="minMax"/>
        </c:scaling>
        <c:delete val="0"/>
        <c:axPos val="l"/>
        <c:majorGridlines>
          <c:spPr>
            <a:ln w="9360">
              <a:solidFill>
                <a:srgbClr val="D9D9D9"/>
              </a:solidFill>
              <a:round/>
            </a:ln>
          </c:spPr>
        </c:majorGridlines>
        <c:title>
          <c:tx>
            <c:rich>
              <a:bodyPr rot="-5400000"/>
              <a:lstStyle/>
              <a:p>
                <a:pPr>
                  <a:defRPr lang="en-US" sz="1000" b="0" strike="noStrike" spc="-1">
                    <a:solidFill>
                      <a:srgbClr val="595959"/>
                    </a:solidFill>
                    <a:latin typeface="Calibri"/>
                  </a:defRPr>
                </a:pPr>
                <a:r>
                  <a:rPr lang="en-US" sz="1000" b="0" strike="noStrike" spc="-1">
                    <a:solidFill>
                      <a:srgbClr val="595959"/>
                    </a:solidFill>
                    <a:latin typeface="Calibri"/>
                  </a:rPr>
                  <a:t>Total Publications </a:t>
                </a:r>
              </a:p>
            </c:rich>
          </c:tx>
          <c:overlay val="0"/>
          <c:spPr>
            <a:noFill/>
            <a:ln w="0">
              <a:noFill/>
            </a:ln>
          </c:spPr>
        </c:title>
        <c:numFmt formatCode="General" sourceLinked="0"/>
        <c:majorTickMark val="none"/>
        <c:minorTickMark val="none"/>
        <c:tickLblPos val="nextTo"/>
        <c:spPr>
          <a:ln w="6480">
            <a:noFill/>
          </a:ln>
        </c:spPr>
        <c:txPr>
          <a:bodyPr/>
          <a:lstStyle/>
          <a:p>
            <a:pPr>
              <a:defRPr sz="900" b="0" strike="noStrike" spc="-1">
                <a:solidFill>
                  <a:srgbClr val="595959"/>
                </a:solidFill>
                <a:latin typeface="Calibri"/>
              </a:defRPr>
            </a:pPr>
            <a:endParaRPr lang="en-US"/>
          </a:p>
        </c:txPr>
        <c:crossAx val="640279504"/>
        <c:crosses val="autoZero"/>
        <c:crossBetween val="between"/>
      </c:valAx>
      <c:catAx>
        <c:axId val="640256112"/>
        <c:scaling>
          <c:orientation val="minMax"/>
        </c:scaling>
        <c:delete val="1"/>
        <c:axPos val="b"/>
        <c:numFmt formatCode="General" sourceLinked="1"/>
        <c:majorTickMark val="none"/>
        <c:minorTickMark val="none"/>
        <c:tickLblPos val="nextTo"/>
        <c:crossAx val="640248496"/>
        <c:crosses val="autoZero"/>
        <c:auto val="1"/>
        <c:lblAlgn val="ctr"/>
        <c:lblOffset val="100"/>
        <c:noMultiLvlLbl val="0"/>
      </c:catAx>
      <c:valAx>
        <c:axId val="640248496"/>
        <c:scaling>
          <c:orientation val="minMax"/>
        </c:scaling>
        <c:delete val="0"/>
        <c:axPos val="r"/>
        <c:title>
          <c:tx>
            <c:rich>
              <a:bodyPr rot="-5400000"/>
              <a:lstStyle/>
              <a:p>
                <a:pPr>
                  <a:defRPr lang="en-US" sz="1000" b="0" strike="noStrike" spc="-1">
                    <a:solidFill>
                      <a:srgbClr val="595959"/>
                    </a:solidFill>
                    <a:latin typeface="Calibri"/>
                  </a:defRPr>
                </a:pPr>
                <a:r>
                  <a:rPr lang="en-US" sz="1000" b="0" strike="noStrike" spc="-1">
                    <a:solidFill>
                      <a:srgbClr val="595959"/>
                    </a:solidFill>
                    <a:latin typeface="Calibri"/>
                  </a:rPr>
                  <a:t>Total Citations</a:t>
                </a:r>
              </a:p>
            </c:rich>
          </c:tx>
          <c:overlay val="0"/>
          <c:spPr>
            <a:noFill/>
            <a:ln w="0">
              <a:noFill/>
            </a:ln>
          </c:spPr>
        </c:title>
        <c:numFmt formatCode="General" sourceLinked="0"/>
        <c:majorTickMark val="none"/>
        <c:minorTickMark val="none"/>
        <c:tickLblPos val="nextTo"/>
        <c:spPr>
          <a:ln w="6480">
            <a:noFill/>
          </a:ln>
        </c:spPr>
        <c:txPr>
          <a:bodyPr/>
          <a:lstStyle/>
          <a:p>
            <a:pPr>
              <a:defRPr sz="900" b="0" strike="noStrike" spc="-1">
                <a:solidFill>
                  <a:srgbClr val="595959"/>
                </a:solidFill>
                <a:latin typeface="Calibri"/>
              </a:defRPr>
            </a:pPr>
            <a:endParaRPr lang="en-US"/>
          </a:p>
        </c:txPr>
        <c:crossAx val="640256112"/>
        <c:crosses val="max"/>
        <c:crossBetween val="between"/>
      </c:valAx>
      <c:spPr>
        <a:noFill/>
        <a:ln w="0">
          <a:noFill/>
        </a:ln>
      </c:spPr>
    </c:plotArea>
    <c:legend>
      <c:legendPos val="b"/>
      <c:overlay val="0"/>
      <c:spPr>
        <a:noFill/>
        <a:ln w="0">
          <a:noFill/>
        </a:ln>
      </c:spPr>
      <c:txPr>
        <a:bodyPr/>
        <a:lstStyle/>
        <a:p>
          <a:pPr>
            <a:defRPr sz="900" b="0" strike="noStrike" spc="-1">
              <a:solidFill>
                <a:srgbClr val="595959"/>
              </a:solidFill>
              <a:latin typeface="Calibri"/>
            </a:defRPr>
          </a:pPr>
          <a:endParaRPr lang="en-US"/>
        </a:p>
      </c:txPr>
    </c:legend>
    <c:plotVisOnly val="1"/>
    <c:dispBlanksAs val="gap"/>
    <c:showDLblsOverMax val="1"/>
  </c:chart>
  <c:spPr>
    <a:solidFill>
      <a:srgbClr val="FFFFFF"/>
    </a:solidFill>
    <a:ln w="9360">
      <a:solidFill>
        <a:srgbClr val="D9D9D9"/>
      </a:solidFill>
      <a:round/>
    </a:ln>
  </c:spPr>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8FF-454D-9F5B-7E3F074E607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8FF-454D-9F5B-7E3F074E607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8FF-454D-9F5B-7E3F074E607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8FF-454D-9F5B-7E3F074E607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8FF-454D-9F5B-7E3F074E607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8FF-454D-9F5B-7E3F074E607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Sheet1!$A$1:$F$1</c:f>
              <c:strCache>
                <c:ptCount val="5"/>
                <c:pt idx="0">
                  <c:v>Quantitative Method</c:v>
                </c:pt>
                <c:pt idx="1">
                  <c:v>Qualitative Method</c:v>
                </c:pt>
                <c:pt idx="2">
                  <c:v>Mixed Method</c:v>
                </c:pt>
                <c:pt idx="3">
                  <c:v>Conceptual Paper</c:v>
                </c:pt>
                <c:pt idx="4">
                  <c:v>Literature review</c:v>
                </c:pt>
              </c:strCache>
            </c:strRef>
          </c:cat>
          <c:val>
            <c:numRef>
              <c:f>Sheet1!$A$2:$F$2</c:f>
              <c:numCache>
                <c:formatCode>General</c:formatCode>
                <c:ptCount val="6"/>
                <c:pt idx="0">
                  <c:v>29</c:v>
                </c:pt>
                <c:pt idx="1">
                  <c:v>34</c:v>
                </c:pt>
                <c:pt idx="2">
                  <c:v>14</c:v>
                </c:pt>
                <c:pt idx="3">
                  <c:v>3</c:v>
                </c:pt>
                <c:pt idx="4">
                  <c:v>4</c:v>
                </c:pt>
              </c:numCache>
            </c:numRef>
          </c:val>
          <c:extLst>
            <c:ext xmlns:c16="http://schemas.microsoft.com/office/drawing/2014/chart" uri="{C3380CC4-5D6E-409C-BE32-E72D297353CC}">
              <c16:uniqueId val="{0000000C-A8FF-454D-9F5B-7E3F074E607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egendEntry>
        <c:idx val="5"/>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148982-CBEA-4883-8781-684D7CB61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1185</TotalTime>
  <Pages>164</Pages>
  <Words>318545</Words>
  <Characters>1815711</Characters>
  <Application>Microsoft Office Word</Application>
  <DocSecurity>0</DocSecurity>
  <Lines>15130</Lines>
  <Paragraphs>4259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2129997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Lamin B Ceesay</dc:creator>
  <dc:description/>
  <cp:lastModifiedBy>Lamin B Ceesay</cp:lastModifiedBy>
  <cp:revision>37</cp:revision>
  <cp:lastPrinted>2021-10-27T04:20:00Z</cp:lastPrinted>
  <dcterms:created xsi:type="dcterms:W3CDTF">2021-10-21T22:12:00Z</dcterms:created>
  <dcterms:modified xsi:type="dcterms:W3CDTF">2021-10-27T22:05:00Z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http://www.zotero.org/styles/apa</vt:lpwstr>
  </property>
  <property fmtid="{D5CDD505-2E9C-101B-9397-08002B2CF9AE}" pid="3" name="Mendeley Document_1">
    <vt:lpwstr>True</vt:lpwstr>
  </property>
  <property fmtid="{D5CDD505-2E9C-101B-9397-08002B2CF9AE}" pid="4" name="Mendeley Recent Style Id 0_1">
    <vt:lpwstr>http://www.zotero.org/styles/american-political-science-association</vt:lpwstr>
  </property>
  <property fmtid="{D5CDD505-2E9C-101B-9397-08002B2CF9AE}" pid="5" name="Mendeley Recent Style Id 1_1">
    <vt:lpwstr>http://www.zotero.org/styles/apa</vt:lpwstr>
  </property>
  <property fmtid="{D5CDD505-2E9C-101B-9397-08002B2CF9AE}" pid="6" name="Mendeley Recent Style Id 2_1">
    <vt:lpwstr>http://www.zotero.org/styles/american-sociological-association</vt:lpwstr>
  </property>
  <property fmtid="{D5CDD505-2E9C-101B-9397-08002B2CF9AE}" pid="7" name="Mendeley Recent Style Id 3_1">
    <vt:lpwstr>http://www.zotero.org/styles/chicago-author-date</vt:lpwstr>
  </property>
  <property fmtid="{D5CDD505-2E9C-101B-9397-08002B2CF9AE}" pid="8" name="Mendeley Recent Style Id 4_1">
    <vt:lpwstr>http://www.zotero.org/styles/harvard-cite-them-right</vt:lpwstr>
  </property>
  <property fmtid="{D5CDD505-2E9C-101B-9397-08002B2CF9AE}" pid="9" name="Mendeley Recent Style Id 5_1">
    <vt:lpwstr>http://www.zotero.org/styles/harvard1</vt:lpwstr>
  </property>
  <property fmtid="{D5CDD505-2E9C-101B-9397-08002B2CF9AE}" pid="10" name="Mendeley Recent Style Id 6_1">
    <vt:lpwstr>http://www.zotero.org/styles/ieee</vt:lpwstr>
  </property>
  <property fmtid="{D5CDD505-2E9C-101B-9397-08002B2CF9AE}" pid="11" name="Mendeley Recent Style Id 7_1">
    <vt:lpwstr>http://www.zotero.org/styles/international-journal-of-project-management</vt:lpwstr>
  </property>
  <property fmtid="{D5CDD505-2E9C-101B-9397-08002B2CF9AE}" pid="12" name="Mendeley Recent Style Id 8_1">
    <vt:lpwstr>http://www.zotero.org/styles/modern-humanities-research-association</vt:lpwstr>
  </property>
  <property fmtid="{D5CDD505-2E9C-101B-9397-08002B2CF9AE}" pid="13" name="Mendeley Recent Style Id 9_1">
    <vt:lpwstr>http://www.zotero.org/styles/vancouver</vt:lpwstr>
  </property>
  <property fmtid="{D5CDD505-2E9C-101B-9397-08002B2CF9AE}" pid="14" name="Mendeley Recent Style Name 0_1">
    <vt:lpwstr>American Political Science Association</vt:lpwstr>
  </property>
  <property fmtid="{D5CDD505-2E9C-101B-9397-08002B2CF9AE}" pid="15" name="Mendeley Recent Style Name 1_1">
    <vt:lpwstr>American Psychological Association 6th edition</vt:lpwstr>
  </property>
  <property fmtid="{D5CDD505-2E9C-101B-9397-08002B2CF9AE}" pid="16" name="Mendeley Recent Style Name 2_1">
    <vt:lpwstr>American Sociological Association</vt:lpwstr>
  </property>
  <property fmtid="{D5CDD505-2E9C-101B-9397-08002B2CF9AE}" pid="17" name="Mendeley Recent Style Name 3_1">
    <vt:lpwstr>Chicago Manual of Style 17th edition (author-date)</vt:lpwstr>
  </property>
  <property fmtid="{D5CDD505-2E9C-101B-9397-08002B2CF9AE}" pid="18" name="Mendeley Recent Style Name 4_1">
    <vt:lpwstr>Cite Them Right 10th edition - Harvard</vt:lpwstr>
  </property>
  <property fmtid="{D5CDD505-2E9C-101B-9397-08002B2CF9AE}" pid="19" name="Mendeley Recent Style Name 5_1">
    <vt:lpwstr>Harvard reference format 1 (deprecated)</vt:lpwstr>
  </property>
  <property fmtid="{D5CDD505-2E9C-101B-9397-08002B2CF9AE}" pid="20" name="Mendeley Recent Style Name 6_1">
    <vt:lpwstr>IEEE</vt:lpwstr>
  </property>
  <property fmtid="{D5CDD505-2E9C-101B-9397-08002B2CF9AE}" pid="21" name="Mendeley Recent Style Name 7_1">
    <vt:lpwstr>International Journal of Project Management</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Name 9_1">
    <vt:lpwstr>Vancouver</vt:lpwstr>
  </property>
  <property fmtid="{D5CDD505-2E9C-101B-9397-08002B2CF9AE}" pid="24" name="Mendeley Unique User Id_1">
    <vt:lpwstr>29839659-b3a9-3170-9109-ac4041089133</vt:lpwstr>
  </property>
</Properties>
</file>