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41EF" w:rsidRPr="003A4656" w:rsidRDefault="00C941EF" w:rsidP="00653B99">
      <w:pPr>
        <w:jc w:val="center"/>
        <w:rPr>
          <w:sz w:val="22"/>
          <w:szCs w:val="22"/>
        </w:rPr>
      </w:pPr>
      <w:r w:rsidRPr="003A4656">
        <w:rPr>
          <w:noProof/>
          <w:sz w:val="22"/>
          <w:szCs w:val="22"/>
          <w:lang w:val="en-US" w:eastAsia="en-US"/>
        </w:rPr>
        <w:drawing>
          <wp:inline distT="0" distB="0" distL="0" distR="0">
            <wp:extent cx="750570" cy="698500"/>
            <wp:effectExtent l="19050" t="0" r="0" b="0"/>
            <wp:docPr id="1" name="Immagine 1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96"/>
                    <pic:cNvPicPr>
                      <a:picLocks noChangeAspect="1" noChangeArrowheads="1"/>
                    </pic:cNvPicPr>
                  </pic:nvPicPr>
                  <pic:blipFill>
                    <a:blip r:embed="rId8" cstate="print"/>
                    <a:srcRect/>
                    <a:stretch>
                      <a:fillRect/>
                    </a:stretch>
                  </pic:blipFill>
                  <pic:spPr bwMode="auto">
                    <a:xfrm>
                      <a:off x="0" y="0"/>
                      <a:ext cx="750570" cy="698500"/>
                    </a:xfrm>
                    <a:prstGeom prst="rect">
                      <a:avLst/>
                    </a:prstGeom>
                    <a:noFill/>
                    <a:ln w="9525">
                      <a:noFill/>
                      <a:miter lim="800000"/>
                      <a:headEnd/>
                      <a:tailEnd/>
                    </a:ln>
                  </pic:spPr>
                </pic:pic>
              </a:graphicData>
            </a:graphic>
          </wp:inline>
        </w:drawing>
      </w:r>
    </w:p>
    <w:p w:rsidR="00C941EF" w:rsidRPr="003A4656" w:rsidRDefault="00C941EF" w:rsidP="00583E5E">
      <w:pPr>
        <w:rPr>
          <w:sz w:val="22"/>
          <w:szCs w:val="22"/>
        </w:rPr>
      </w:pPr>
    </w:p>
    <w:p w:rsidR="00653B99" w:rsidRPr="00A3761F" w:rsidRDefault="00653B99" w:rsidP="00653B99">
      <w:pPr>
        <w:tabs>
          <w:tab w:val="left" w:pos="644"/>
          <w:tab w:val="left" w:pos="3598"/>
        </w:tabs>
        <w:jc w:val="center"/>
        <w:outlineLvl w:val="0"/>
        <w:rPr>
          <w:b/>
          <w:i/>
          <w:lang w:val="it-IT"/>
        </w:rPr>
      </w:pPr>
      <w:bookmarkStart w:id="0" w:name="_Toc377115758"/>
      <w:bookmarkStart w:id="1" w:name="_Toc377115959"/>
      <w:r w:rsidRPr="00A3761F">
        <w:rPr>
          <w:b/>
          <w:i/>
          <w:lang w:val="it-IT"/>
        </w:rPr>
        <w:t>Università degli Studi di Palermo</w:t>
      </w:r>
      <w:bookmarkEnd w:id="0"/>
      <w:bookmarkEnd w:id="1"/>
      <w:r w:rsidRPr="00A3761F">
        <w:rPr>
          <w:b/>
          <w:i/>
          <w:lang w:val="it-IT"/>
        </w:rPr>
        <w:t xml:space="preserve"> </w:t>
      </w:r>
    </w:p>
    <w:p w:rsidR="00653B99" w:rsidRPr="00A3761F" w:rsidRDefault="00653B99" w:rsidP="00653B99">
      <w:pPr>
        <w:tabs>
          <w:tab w:val="left" w:pos="644"/>
        </w:tabs>
        <w:jc w:val="center"/>
        <w:rPr>
          <w:lang w:val="it-IT"/>
        </w:rPr>
      </w:pPr>
      <w:r w:rsidRPr="00A3761F">
        <w:rPr>
          <w:lang w:val="it-IT"/>
        </w:rPr>
        <w:t>Facoltà di Medicina e Chirurgia</w:t>
      </w:r>
    </w:p>
    <w:p w:rsidR="00653B99" w:rsidRPr="00A3761F" w:rsidRDefault="00653B99" w:rsidP="00653B99">
      <w:pPr>
        <w:tabs>
          <w:tab w:val="left" w:pos="540"/>
          <w:tab w:val="left" w:pos="9900"/>
        </w:tabs>
        <w:jc w:val="center"/>
        <w:rPr>
          <w:b/>
          <w:lang w:val="it-IT"/>
        </w:rPr>
      </w:pPr>
      <w:r w:rsidRPr="00A3761F">
        <w:rPr>
          <w:b/>
          <w:lang w:val="it-IT"/>
        </w:rPr>
        <w:t xml:space="preserve">    _________________________________________________</w:t>
      </w:r>
    </w:p>
    <w:p w:rsidR="00653B99" w:rsidRPr="00A3761F" w:rsidRDefault="00653B99" w:rsidP="00653B99">
      <w:pPr>
        <w:tabs>
          <w:tab w:val="left" w:pos="644"/>
        </w:tabs>
        <w:jc w:val="center"/>
        <w:outlineLvl w:val="0"/>
        <w:rPr>
          <w:b/>
          <w:sz w:val="22"/>
          <w:szCs w:val="22"/>
          <w:lang w:val="it-IT"/>
        </w:rPr>
      </w:pPr>
      <w:bookmarkStart w:id="2" w:name="_Toc377115759"/>
      <w:bookmarkStart w:id="3" w:name="_Toc377115960"/>
      <w:r w:rsidRPr="00A3761F">
        <w:rPr>
          <w:b/>
          <w:sz w:val="22"/>
          <w:szCs w:val="22"/>
          <w:lang w:val="it-IT"/>
        </w:rPr>
        <w:t>Dottorato di Ricerca in Oncopatologia Cellulare e Molecolare Clinica</w:t>
      </w:r>
      <w:bookmarkEnd w:id="2"/>
      <w:bookmarkEnd w:id="3"/>
    </w:p>
    <w:p w:rsidR="00653B99" w:rsidRPr="00A3761F" w:rsidRDefault="00653B99" w:rsidP="00653B99">
      <w:pPr>
        <w:tabs>
          <w:tab w:val="left" w:pos="644"/>
        </w:tabs>
        <w:jc w:val="center"/>
        <w:rPr>
          <w:b/>
          <w:sz w:val="22"/>
          <w:szCs w:val="22"/>
          <w:lang w:val="it-IT"/>
        </w:rPr>
      </w:pPr>
      <w:r w:rsidRPr="00A3761F">
        <w:rPr>
          <w:b/>
          <w:sz w:val="22"/>
          <w:szCs w:val="22"/>
          <w:lang w:val="it-IT"/>
        </w:rPr>
        <w:t>(SSD Med 06)</w:t>
      </w:r>
    </w:p>
    <w:p w:rsidR="00653B99" w:rsidRPr="00A3761F" w:rsidRDefault="00653B99" w:rsidP="00653B99">
      <w:pPr>
        <w:tabs>
          <w:tab w:val="left" w:pos="644"/>
        </w:tabs>
        <w:jc w:val="center"/>
        <w:rPr>
          <w:b/>
          <w:sz w:val="22"/>
          <w:szCs w:val="22"/>
          <w:lang w:val="it-IT"/>
        </w:rPr>
      </w:pPr>
      <w:r w:rsidRPr="00A3761F">
        <w:rPr>
          <w:b/>
          <w:sz w:val="22"/>
          <w:szCs w:val="22"/>
          <w:lang w:val="it-IT"/>
        </w:rPr>
        <w:t xml:space="preserve"> XXIV Ciclo</w:t>
      </w:r>
    </w:p>
    <w:p w:rsidR="00653B99" w:rsidRPr="00A3761F" w:rsidRDefault="00653B99" w:rsidP="00653B99">
      <w:pPr>
        <w:tabs>
          <w:tab w:val="left" w:pos="644"/>
        </w:tabs>
        <w:jc w:val="center"/>
        <w:rPr>
          <w:b/>
          <w:i/>
          <w:sz w:val="22"/>
          <w:szCs w:val="22"/>
          <w:lang w:val="it-IT"/>
        </w:rPr>
      </w:pPr>
      <w:r w:rsidRPr="00A3761F">
        <w:rPr>
          <w:b/>
          <w:sz w:val="22"/>
          <w:szCs w:val="22"/>
          <w:lang w:val="it-IT"/>
        </w:rPr>
        <w:t xml:space="preserve">Coordinatore: </w:t>
      </w:r>
      <w:r w:rsidRPr="00A3761F">
        <w:rPr>
          <w:b/>
          <w:i/>
          <w:sz w:val="22"/>
          <w:szCs w:val="22"/>
          <w:lang w:val="it-IT"/>
        </w:rPr>
        <w:t>Prof. E. Fiorentino</w:t>
      </w:r>
    </w:p>
    <w:p w:rsidR="00653B99" w:rsidRPr="003A4656" w:rsidRDefault="00653B99" w:rsidP="00653B99">
      <w:pPr>
        <w:tabs>
          <w:tab w:val="left" w:pos="644"/>
        </w:tabs>
        <w:jc w:val="center"/>
        <w:rPr>
          <w:b/>
          <w:sz w:val="20"/>
          <w:szCs w:val="20"/>
        </w:rPr>
      </w:pPr>
      <w:r w:rsidRPr="003A4656">
        <w:rPr>
          <w:b/>
          <w:sz w:val="20"/>
          <w:szCs w:val="20"/>
        </w:rPr>
        <w:t>__________________________________</w:t>
      </w:r>
    </w:p>
    <w:p w:rsidR="00653B99" w:rsidRPr="003A4656" w:rsidRDefault="00653B99" w:rsidP="00653B99">
      <w:pPr>
        <w:tabs>
          <w:tab w:val="left" w:pos="644"/>
        </w:tabs>
        <w:rPr>
          <w:b/>
        </w:rPr>
      </w:pPr>
    </w:p>
    <w:p w:rsidR="00653B99" w:rsidRPr="003A4656" w:rsidRDefault="00653B99" w:rsidP="00653B99">
      <w:pPr>
        <w:tabs>
          <w:tab w:val="left" w:pos="644"/>
        </w:tabs>
        <w:rPr>
          <w:b/>
        </w:rPr>
      </w:pPr>
    </w:p>
    <w:p w:rsidR="00653B99" w:rsidRPr="003A4656" w:rsidRDefault="00653B99" w:rsidP="00653B99">
      <w:pPr>
        <w:tabs>
          <w:tab w:val="left" w:pos="644"/>
          <w:tab w:val="left" w:pos="10080"/>
        </w:tabs>
        <w:jc w:val="center"/>
        <w:rPr>
          <w:b/>
          <w:i/>
          <w:iCs/>
          <w:sz w:val="22"/>
          <w:szCs w:val="22"/>
        </w:rPr>
      </w:pPr>
    </w:p>
    <w:p w:rsidR="00653B99" w:rsidRPr="003A4656" w:rsidRDefault="00653B99" w:rsidP="00653B99">
      <w:pPr>
        <w:tabs>
          <w:tab w:val="left" w:pos="644"/>
          <w:tab w:val="left" w:pos="10080"/>
        </w:tabs>
        <w:rPr>
          <w:sz w:val="20"/>
          <w:szCs w:val="20"/>
        </w:rPr>
      </w:pPr>
    </w:p>
    <w:p w:rsidR="00653B99" w:rsidRPr="003A4656" w:rsidRDefault="00653B99" w:rsidP="00653B99">
      <w:pPr>
        <w:pStyle w:val="ListParagraph"/>
        <w:jc w:val="center"/>
        <w:rPr>
          <w:rFonts w:ascii="Times New Roman" w:eastAsia="Times New Roman" w:hAnsi="Times New Roman"/>
          <w:b/>
          <w:i/>
          <w:sz w:val="28"/>
          <w:szCs w:val="28"/>
          <w:lang w:val="en-GB" w:eastAsia="fr-FR"/>
        </w:rPr>
      </w:pPr>
      <w:r w:rsidRPr="003A4656">
        <w:rPr>
          <w:rFonts w:ascii="Times New Roman" w:eastAsia="Times New Roman" w:hAnsi="Times New Roman"/>
          <w:b/>
          <w:i/>
          <w:sz w:val="28"/>
          <w:szCs w:val="28"/>
          <w:lang w:val="en-GB" w:eastAsia="fr-FR"/>
        </w:rPr>
        <w:t>Genetic analysis of BRCA1 and BRCA2 genes in Sicilian high risk families</w:t>
      </w:r>
    </w:p>
    <w:p w:rsidR="00653B99" w:rsidRPr="003A4656" w:rsidRDefault="00653B99" w:rsidP="00653B99">
      <w:pPr>
        <w:pStyle w:val="ListParagraph"/>
        <w:jc w:val="center"/>
        <w:rPr>
          <w:rFonts w:ascii="Times New Roman" w:eastAsia="Times New Roman" w:hAnsi="Times New Roman"/>
          <w:b/>
          <w:i/>
          <w:sz w:val="28"/>
          <w:szCs w:val="28"/>
          <w:lang w:val="en-GB" w:eastAsia="fr-FR"/>
        </w:rPr>
      </w:pPr>
      <w:r w:rsidRPr="003A4656">
        <w:rPr>
          <w:rFonts w:ascii="Times New Roman" w:eastAsia="Times New Roman" w:hAnsi="Times New Roman"/>
          <w:b/>
          <w:i/>
          <w:sz w:val="28"/>
          <w:szCs w:val="28"/>
          <w:lang w:val="en-GB" w:eastAsia="fr-FR"/>
        </w:rPr>
        <w:t xml:space="preserve"> </w:t>
      </w:r>
      <w:proofErr w:type="gramStart"/>
      <w:r w:rsidRPr="003A4656">
        <w:rPr>
          <w:rFonts w:ascii="Times New Roman" w:eastAsia="Times New Roman" w:hAnsi="Times New Roman"/>
          <w:b/>
          <w:i/>
          <w:sz w:val="28"/>
          <w:szCs w:val="28"/>
          <w:lang w:val="en-GB" w:eastAsia="fr-FR"/>
        </w:rPr>
        <w:t>and</w:t>
      </w:r>
      <w:proofErr w:type="gramEnd"/>
      <w:r w:rsidRPr="003A4656">
        <w:rPr>
          <w:rFonts w:ascii="Times New Roman" w:eastAsia="Times New Roman" w:hAnsi="Times New Roman"/>
          <w:b/>
          <w:i/>
          <w:sz w:val="28"/>
          <w:szCs w:val="28"/>
          <w:lang w:val="en-GB" w:eastAsia="fr-FR"/>
        </w:rPr>
        <w:t xml:space="preserve"> functional characterization </w:t>
      </w:r>
    </w:p>
    <w:p w:rsidR="00653B99" w:rsidRPr="003A4656" w:rsidRDefault="00653B99" w:rsidP="00653B99">
      <w:pPr>
        <w:pStyle w:val="ListParagraph"/>
        <w:jc w:val="center"/>
        <w:rPr>
          <w:rFonts w:ascii="Times New Roman" w:eastAsia="Times New Roman" w:hAnsi="Times New Roman"/>
          <w:b/>
          <w:i/>
          <w:sz w:val="28"/>
          <w:szCs w:val="28"/>
          <w:lang w:val="en-GB" w:eastAsia="fr-FR"/>
        </w:rPr>
      </w:pPr>
      <w:proofErr w:type="gramStart"/>
      <w:r w:rsidRPr="003A4656">
        <w:rPr>
          <w:rFonts w:ascii="Times New Roman" w:eastAsia="Times New Roman" w:hAnsi="Times New Roman"/>
          <w:b/>
          <w:i/>
          <w:sz w:val="28"/>
          <w:szCs w:val="28"/>
          <w:lang w:val="en-GB" w:eastAsia="fr-FR"/>
        </w:rPr>
        <w:t>of</w:t>
      </w:r>
      <w:proofErr w:type="gramEnd"/>
      <w:r w:rsidRPr="003A4656">
        <w:rPr>
          <w:rFonts w:ascii="Times New Roman" w:eastAsia="Times New Roman" w:hAnsi="Times New Roman"/>
          <w:b/>
          <w:i/>
          <w:sz w:val="28"/>
          <w:szCs w:val="28"/>
          <w:lang w:val="en-GB" w:eastAsia="fr-FR"/>
        </w:rPr>
        <w:t xml:space="preserve"> BRCA1 variants of uncertain significance (VUS)</w:t>
      </w:r>
    </w:p>
    <w:p w:rsidR="00653B99" w:rsidRPr="003A4656" w:rsidRDefault="00653B99" w:rsidP="00653B99">
      <w:pPr>
        <w:tabs>
          <w:tab w:val="left" w:pos="644"/>
          <w:tab w:val="left" w:pos="10080"/>
        </w:tabs>
        <w:rPr>
          <w:sz w:val="20"/>
          <w:szCs w:val="20"/>
        </w:rPr>
      </w:pPr>
    </w:p>
    <w:p w:rsidR="00653B99" w:rsidRPr="003A4656" w:rsidRDefault="00653B99" w:rsidP="00653B99">
      <w:pPr>
        <w:tabs>
          <w:tab w:val="left" w:pos="644"/>
          <w:tab w:val="left" w:pos="10080"/>
        </w:tabs>
        <w:rPr>
          <w:sz w:val="20"/>
          <w:szCs w:val="20"/>
        </w:rPr>
      </w:pPr>
    </w:p>
    <w:p w:rsidR="00653B99" w:rsidRPr="003A4656" w:rsidRDefault="00653B99" w:rsidP="00653B99">
      <w:pPr>
        <w:tabs>
          <w:tab w:val="left" w:pos="644"/>
          <w:tab w:val="left" w:pos="10080"/>
        </w:tabs>
        <w:rPr>
          <w:sz w:val="20"/>
          <w:szCs w:val="20"/>
        </w:rPr>
      </w:pPr>
    </w:p>
    <w:p w:rsidR="00653B99" w:rsidRPr="003A4656" w:rsidRDefault="00653B99" w:rsidP="00653B99">
      <w:pPr>
        <w:tabs>
          <w:tab w:val="left" w:pos="644"/>
          <w:tab w:val="left" w:pos="10080"/>
        </w:tabs>
        <w:rPr>
          <w:sz w:val="20"/>
          <w:szCs w:val="20"/>
        </w:rPr>
      </w:pPr>
    </w:p>
    <w:p w:rsidR="00653B99" w:rsidRPr="003A4656" w:rsidRDefault="00653B99" w:rsidP="00653B99">
      <w:pPr>
        <w:tabs>
          <w:tab w:val="left" w:pos="644"/>
          <w:tab w:val="left" w:pos="10080"/>
        </w:tabs>
        <w:rPr>
          <w:sz w:val="20"/>
          <w:szCs w:val="20"/>
        </w:rPr>
      </w:pPr>
      <w:r w:rsidRPr="003A4656">
        <w:rPr>
          <w:sz w:val="20"/>
          <w:szCs w:val="20"/>
        </w:rPr>
        <w:t xml:space="preserve">   </w:t>
      </w:r>
    </w:p>
    <w:p w:rsidR="00653B99" w:rsidRPr="003A4656" w:rsidRDefault="00653B99" w:rsidP="00653B99">
      <w:pPr>
        <w:tabs>
          <w:tab w:val="left" w:pos="644"/>
          <w:tab w:val="left" w:pos="10080"/>
        </w:tabs>
        <w:rPr>
          <w:b/>
          <w:i/>
          <w:sz w:val="22"/>
          <w:szCs w:val="22"/>
        </w:rPr>
      </w:pPr>
      <w:r w:rsidRPr="003A4656">
        <w:rPr>
          <w:sz w:val="20"/>
          <w:szCs w:val="20"/>
        </w:rPr>
        <w:t xml:space="preserve"> </w:t>
      </w:r>
      <w:r w:rsidRPr="003A4656">
        <w:rPr>
          <w:sz w:val="22"/>
          <w:szCs w:val="22"/>
        </w:rPr>
        <w:t>PhD Thesis by:                                                          Tutor:</w:t>
      </w:r>
      <w:r w:rsidRPr="003A4656">
        <w:rPr>
          <w:sz w:val="22"/>
          <w:szCs w:val="22"/>
        </w:rPr>
        <w:tab/>
        <w:t xml:space="preserve">                                                   </w:t>
      </w:r>
    </w:p>
    <w:p w:rsidR="00653B99" w:rsidRPr="003A4656" w:rsidRDefault="00653B99" w:rsidP="00653B99">
      <w:pPr>
        <w:tabs>
          <w:tab w:val="left" w:pos="644"/>
          <w:tab w:val="left" w:pos="10080"/>
        </w:tabs>
        <w:rPr>
          <w:b/>
          <w:i/>
          <w:sz w:val="22"/>
          <w:szCs w:val="22"/>
        </w:rPr>
      </w:pPr>
      <w:r w:rsidRPr="003A4656">
        <w:rPr>
          <w:b/>
          <w:i/>
          <w:sz w:val="22"/>
          <w:szCs w:val="22"/>
        </w:rPr>
        <w:t xml:space="preserve"> Dr.  Naomi Margarese                                             Chiar.mo Prof. A. Russo   </w:t>
      </w:r>
    </w:p>
    <w:p w:rsidR="00653B99" w:rsidRPr="003A4656" w:rsidRDefault="00653B99" w:rsidP="00653B99">
      <w:pPr>
        <w:tabs>
          <w:tab w:val="left" w:pos="644"/>
          <w:tab w:val="left" w:pos="10080"/>
        </w:tabs>
        <w:rPr>
          <w:sz w:val="22"/>
          <w:szCs w:val="22"/>
        </w:rPr>
      </w:pPr>
      <w:r w:rsidRPr="003A4656">
        <w:rPr>
          <w:sz w:val="22"/>
          <w:szCs w:val="22"/>
        </w:rPr>
        <w:t xml:space="preserve">                                                                                                                  </w:t>
      </w:r>
    </w:p>
    <w:p w:rsidR="00653B99" w:rsidRPr="003A4656" w:rsidRDefault="00653B99" w:rsidP="00653B99">
      <w:pPr>
        <w:tabs>
          <w:tab w:val="left" w:pos="644"/>
          <w:tab w:val="left" w:pos="10080"/>
        </w:tabs>
        <w:rPr>
          <w:sz w:val="22"/>
          <w:szCs w:val="22"/>
        </w:rPr>
      </w:pPr>
    </w:p>
    <w:p w:rsidR="00653B99" w:rsidRPr="003A4656" w:rsidRDefault="00653B99" w:rsidP="00653B99">
      <w:pPr>
        <w:tabs>
          <w:tab w:val="left" w:pos="644"/>
          <w:tab w:val="left" w:pos="10080"/>
        </w:tabs>
        <w:rPr>
          <w:sz w:val="22"/>
          <w:szCs w:val="22"/>
        </w:rPr>
      </w:pPr>
    </w:p>
    <w:p w:rsidR="00653B99" w:rsidRPr="003A4656" w:rsidRDefault="00653B99" w:rsidP="00653B99">
      <w:pPr>
        <w:tabs>
          <w:tab w:val="left" w:pos="644"/>
          <w:tab w:val="left" w:pos="10080"/>
        </w:tabs>
        <w:rPr>
          <w:b/>
          <w:i/>
          <w:sz w:val="22"/>
          <w:szCs w:val="22"/>
        </w:rPr>
      </w:pPr>
      <w:r w:rsidRPr="003A4656">
        <w:rPr>
          <w:sz w:val="22"/>
          <w:szCs w:val="22"/>
        </w:rPr>
        <w:tab/>
        <w:t xml:space="preserve">                                                                               Co-Tutor:                                                </w:t>
      </w:r>
    </w:p>
    <w:p w:rsidR="00653B99" w:rsidRPr="003A4656" w:rsidRDefault="00653B99" w:rsidP="00653B99">
      <w:pPr>
        <w:tabs>
          <w:tab w:val="left" w:pos="644"/>
          <w:tab w:val="left" w:pos="10080"/>
        </w:tabs>
        <w:jc w:val="center"/>
        <w:rPr>
          <w:b/>
          <w:i/>
          <w:sz w:val="22"/>
          <w:szCs w:val="22"/>
        </w:rPr>
      </w:pPr>
      <w:r w:rsidRPr="003A4656">
        <w:rPr>
          <w:b/>
          <w:sz w:val="22"/>
          <w:szCs w:val="22"/>
        </w:rPr>
        <w:t xml:space="preserve">                                                                                  </w:t>
      </w:r>
      <w:r w:rsidRPr="003A4656">
        <w:rPr>
          <w:b/>
          <w:i/>
          <w:sz w:val="22"/>
          <w:szCs w:val="22"/>
        </w:rPr>
        <w:t xml:space="preserve">Chiar.mo Dr. P. Radice                     </w:t>
      </w:r>
    </w:p>
    <w:p w:rsidR="00653B99" w:rsidRPr="003A4656" w:rsidRDefault="00653B99" w:rsidP="00653B99">
      <w:pPr>
        <w:tabs>
          <w:tab w:val="left" w:pos="644"/>
          <w:tab w:val="left" w:pos="10080"/>
        </w:tabs>
        <w:jc w:val="right"/>
        <w:rPr>
          <w:b/>
          <w:i/>
          <w:sz w:val="22"/>
          <w:szCs w:val="22"/>
        </w:rPr>
      </w:pPr>
    </w:p>
    <w:p w:rsidR="00653B99" w:rsidRPr="003A4656" w:rsidRDefault="00653B99" w:rsidP="00653B99">
      <w:pPr>
        <w:tabs>
          <w:tab w:val="left" w:pos="644"/>
          <w:tab w:val="left" w:pos="10080"/>
        </w:tabs>
        <w:rPr>
          <w:b/>
          <w:i/>
          <w:sz w:val="22"/>
          <w:szCs w:val="22"/>
        </w:rPr>
      </w:pPr>
      <w:r w:rsidRPr="003A4656">
        <w:rPr>
          <w:sz w:val="22"/>
          <w:szCs w:val="22"/>
        </w:rPr>
        <w:tab/>
      </w:r>
      <w:r w:rsidRPr="003A4656">
        <w:rPr>
          <w:b/>
          <w:i/>
          <w:sz w:val="22"/>
          <w:szCs w:val="22"/>
        </w:rPr>
        <w:t xml:space="preserve"> </w:t>
      </w:r>
    </w:p>
    <w:p w:rsidR="00653B99" w:rsidRPr="003A4656" w:rsidRDefault="00653B99" w:rsidP="00653B99">
      <w:pPr>
        <w:tabs>
          <w:tab w:val="left" w:pos="644"/>
          <w:tab w:val="left" w:pos="10080"/>
        </w:tabs>
        <w:rPr>
          <w:b/>
          <w:i/>
          <w:sz w:val="22"/>
          <w:szCs w:val="22"/>
        </w:rPr>
      </w:pPr>
    </w:p>
    <w:p w:rsidR="00653B99" w:rsidRPr="003A4656" w:rsidRDefault="00653B99" w:rsidP="00653B99">
      <w:pPr>
        <w:tabs>
          <w:tab w:val="left" w:pos="644"/>
          <w:tab w:val="left" w:pos="10080"/>
        </w:tabs>
        <w:rPr>
          <w:b/>
          <w:i/>
          <w:sz w:val="22"/>
          <w:szCs w:val="22"/>
        </w:rPr>
      </w:pPr>
      <w:r w:rsidRPr="003A4656">
        <w:rPr>
          <w:b/>
          <w:i/>
          <w:sz w:val="22"/>
          <w:szCs w:val="22"/>
        </w:rPr>
        <w:t xml:space="preserve">   </w:t>
      </w:r>
      <w:r w:rsidRPr="003A4656">
        <w:rPr>
          <w:sz w:val="22"/>
          <w:szCs w:val="22"/>
        </w:rPr>
        <w:t xml:space="preserve">Course Coordinator                                                </w:t>
      </w:r>
    </w:p>
    <w:p w:rsidR="00653B99" w:rsidRPr="003A4656" w:rsidRDefault="00653B99" w:rsidP="00653B99">
      <w:pPr>
        <w:tabs>
          <w:tab w:val="left" w:pos="644"/>
          <w:tab w:val="left" w:pos="10080"/>
        </w:tabs>
        <w:rPr>
          <w:b/>
          <w:i/>
          <w:sz w:val="22"/>
          <w:szCs w:val="22"/>
        </w:rPr>
      </w:pPr>
      <w:r w:rsidRPr="003A4656">
        <w:rPr>
          <w:b/>
          <w:i/>
          <w:sz w:val="22"/>
          <w:szCs w:val="22"/>
        </w:rPr>
        <w:t xml:space="preserve">  Chiar.mo</w:t>
      </w:r>
      <w:r w:rsidRPr="003A4656">
        <w:rPr>
          <w:b/>
          <w:sz w:val="22"/>
          <w:szCs w:val="22"/>
        </w:rPr>
        <w:t xml:space="preserve"> </w:t>
      </w:r>
      <w:r w:rsidRPr="003A4656">
        <w:rPr>
          <w:b/>
          <w:i/>
          <w:sz w:val="22"/>
          <w:szCs w:val="22"/>
        </w:rPr>
        <w:t xml:space="preserve">Prof. E. Fiorentino                  </w:t>
      </w:r>
    </w:p>
    <w:p w:rsidR="00653B99" w:rsidRDefault="00653B99" w:rsidP="00653B99">
      <w:pPr>
        <w:tabs>
          <w:tab w:val="left" w:pos="644"/>
          <w:tab w:val="left" w:pos="10080"/>
        </w:tabs>
        <w:rPr>
          <w:b/>
          <w:i/>
          <w:sz w:val="22"/>
          <w:szCs w:val="22"/>
        </w:rPr>
      </w:pPr>
      <w:r w:rsidRPr="003A4656">
        <w:rPr>
          <w:b/>
          <w:i/>
          <w:sz w:val="22"/>
          <w:szCs w:val="22"/>
        </w:rPr>
        <w:t xml:space="preserve">  </w:t>
      </w:r>
    </w:p>
    <w:p w:rsidR="003018C0" w:rsidRPr="003A4656" w:rsidRDefault="003018C0" w:rsidP="00653B99">
      <w:pPr>
        <w:tabs>
          <w:tab w:val="left" w:pos="644"/>
          <w:tab w:val="left" w:pos="10080"/>
        </w:tabs>
        <w:rPr>
          <w:b/>
          <w:i/>
          <w:sz w:val="22"/>
          <w:szCs w:val="22"/>
        </w:rPr>
      </w:pPr>
    </w:p>
    <w:p w:rsidR="00653B99" w:rsidRPr="003A4656" w:rsidRDefault="00653B99" w:rsidP="00653B99">
      <w:pPr>
        <w:tabs>
          <w:tab w:val="left" w:pos="644"/>
          <w:tab w:val="left" w:pos="10080"/>
        </w:tabs>
        <w:rPr>
          <w:b/>
          <w:i/>
          <w:sz w:val="22"/>
          <w:szCs w:val="22"/>
        </w:rPr>
      </w:pPr>
    </w:p>
    <w:p w:rsidR="00653B99" w:rsidRPr="003A4656" w:rsidRDefault="00653B99" w:rsidP="00653B99">
      <w:pPr>
        <w:pBdr>
          <w:bottom w:val="single" w:sz="12" w:space="1" w:color="auto"/>
        </w:pBdr>
        <w:tabs>
          <w:tab w:val="left" w:pos="644"/>
          <w:tab w:val="left" w:pos="10080"/>
        </w:tabs>
        <w:jc w:val="center"/>
        <w:rPr>
          <w:b/>
          <w:sz w:val="22"/>
          <w:szCs w:val="22"/>
        </w:rPr>
      </w:pPr>
    </w:p>
    <w:p w:rsidR="00653B99" w:rsidRPr="003A4656" w:rsidRDefault="00653B99" w:rsidP="00653B99">
      <w:pPr>
        <w:tabs>
          <w:tab w:val="left" w:pos="644"/>
          <w:tab w:val="left" w:pos="10080"/>
        </w:tabs>
        <w:jc w:val="center"/>
        <w:outlineLvl w:val="0"/>
        <w:rPr>
          <w:b/>
          <w:sz w:val="22"/>
          <w:szCs w:val="22"/>
        </w:rPr>
      </w:pPr>
      <w:bookmarkStart w:id="4" w:name="_Toc377115760"/>
      <w:bookmarkStart w:id="5" w:name="_Toc377115961"/>
      <w:r w:rsidRPr="003A4656">
        <w:rPr>
          <w:b/>
          <w:sz w:val="22"/>
          <w:szCs w:val="22"/>
        </w:rPr>
        <w:t>A.A 2011-2013</w:t>
      </w:r>
      <w:bookmarkEnd w:id="4"/>
      <w:bookmarkEnd w:id="5"/>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3F1ADA" w:rsidRDefault="003F1ADA" w:rsidP="00B835EB">
      <w:pPr>
        <w:tabs>
          <w:tab w:val="left" w:pos="644"/>
          <w:tab w:val="left" w:pos="10080"/>
        </w:tabs>
        <w:autoSpaceDE/>
        <w:autoSpaceDN/>
        <w:ind w:left="0" w:right="0"/>
        <w:jc w:val="right"/>
        <w:outlineLvl w:val="0"/>
        <w:rPr>
          <w:b/>
          <w:i/>
          <w:sz w:val="36"/>
          <w:szCs w:val="36"/>
        </w:rPr>
      </w:pPr>
    </w:p>
    <w:p w:rsidR="003F1ADA" w:rsidRDefault="003F1ADA" w:rsidP="00B835EB">
      <w:pPr>
        <w:tabs>
          <w:tab w:val="left" w:pos="644"/>
          <w:tab w:val="left" w:pos="10080"/>
        </w:tabs>
        <w:autoSpaceDE/>
        <w:autoSpaceDN/>
        <w:ind w:left="0" w:right="0"/>
        <w:jc w:val="right"/>
        <w:outlineLvl w:val="0"/>
        <w:rPr>
          <w:b/>
          <w:i/>
          <w:sz w:val="36"/>
          <w:szCs w:val="36"/>
        </w:rPr>
      </w:pPr>
    </w:p>
    <w:p w:rsidR="003F1ADA" w:rsidRDefault="003F1ADA" w:rsidP="00B835EB">
      <w:pPr>
        <w:tabs>
          <w:tab w:val="left" w:pos="644"/>
          <w:tab w:val="left" w:pos="10080"/>
        </w:tabs>
        <w:autoSpaceDE/>
        <w:autoSpaceDN/>
        <w:ind w:left="0" w:right="0"/>
        <w:jc w:val="right"/>
        <w:outlineLvl w:val="0"/>
        <w:rPr>
          <w:b/>
          <w:i/>
          <w:sz w:val="36"/>
          <w:szCs w:val="36"/>
        </w:rPr>
      </w:pPr>
    </w:p>
    <w:p w:rsidR="003F1ADA" w:rsidRDefault="003F1ADA" w:rsidP="00B835EB">
      <w:pPr>
        <w:tabs>
          <w:tab w:val="left" w:pos="644"/>
          <w:tab w:val="left" w:pos="10080"/>
        </w:tabs>
        <w:autoSpaceDE/>
        <w:autoSpaceDN/>
        <w:ind w:left="0" w:right="0"/>
        <w:jc w:val="right"/>
        <w:outlineLvl w:val="0"/>
        <w:rPr>
          <w:b/>
          <w:i/>
          <w:sz w:val="36"/>
          <w:szCs w:val="36"/>
        </w:rPr>
      </w:pPr>
    </w:p>
    <w:p w:rsidR="003F1ADA" w:rsidRDefault="003F1ADA" w:rsidP="00B835EB">
      <w:pPr>
        <w:tabs>
          <w:tab w:val="left" w:pos="644"/>
          <w:tab w:val="left" w:pos="10080"/>
        </w:tabs>
        <w:autoSpaceDE/>
        <w:autoSpaceDN/>
        <w:ind w:left="0" w:right="0"/>
        <w:jc w:val="right"/>
        <w:outlineLvl w:val="0"/>
        <w:rPr>
          <w:b/>
          <w:i/>
          <w:sz w:val="36"/>
          <w:szCs w:val="36"/>
        </w:rPr>
      </w:pPr>
    </w:p>
    <w:p w:rsidR="00C941EF" w:rsidRPr="003A4656" w:rsidRDefault="00C941EF" w:rsidP="00B835EB">
      <w:pPr>
        <w:tabs>
          <w:tab w:val="left" w:pos="644"/>
          <w:tab w:val="left" w:pos="10080"/>
        </w:tabs>
        <w:autoSpaceDE/>
        <w:autoSpaceDN/>
        <w:ind w:left="0" w:right="0"/>
        <w:jc w:val="right"/>
        <w:outlineLvl w:val="0"/>
        <w:rPr>
          <w:b/>
          <w:i/>
          <w:sz w:val="36"/>
          <w:szCs w:val="36"/>
        </w:rPr>
      </w:pPr>
      <w:r w:rsidRPr="003A4656">
        <w:rPr>
          <w:b/>
          <w:i/>
          <w:sz w:val="36"/>
          <w:szCs w:val="36"/>
        </w:rPr>
        <w:t xml:space="preserve">Introduction </w:t>
      </w: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BC1BF5">
      <w:pPr>
        <w:pStyle w:val="Paragrafoelenco1"/>
        <w:numPr>
          <w:ilvl w:val="0"/>
          <w:numId w:val="22"/>
        </w:numPr>
        <w:jc w:val="both"/>
        <w:rPr>
          <w:rFonts w:ascii="Times New Roman" w:hAnsi="Times New Roman"/>
          <w:b/>
          <w:lang w:val="en-GB"/>
        </w:rPr>
      </w:pPr>
      <w:r w:rsidRPr="003A4656">
        <w:rPr>
          <w:rFonts w:ascii="Times New Roman" w:hAnsi="Times New Roman"/>
          <w:b/>
          <w:lang w:val="en-GB"/>
        </w:rPr>
        <w:t xml:space="preserve">Hereditary predisposition to cancer </w:t>
      </w:r>
    </w:p>
    <w:p w:rsidR="00F15F64" w:rsidRPr="003A4656" w:rsidRDefault="00F15F64" w:rsidP="00583E5E">
      <w:pPr>
        <w:pStyle w:val="Paragrafoelenco1"/>
        <w:jc w:val="both"/>
        <w:rPr>
          <w:rFonts w:ascii="Times New Roman" w:hAnsi="Times New Roman"/>
          <w:lang w:val="en-GB"/>
        </w:rPr>
      </w:pPr>
    </w:p>
    <w:p w:rsidR="0001175B"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Recent advances in molecular biology have provided new tools and concepts for studying the causes of cancer. It </w:t>
      </w:r>
      <w:r w:rsidR="002365FA" w:rsidRPr="003A4656">
        <w:rPr>
          <w:rFonts w:ascii="Times New Roman" w:hAnsi="Times New Roman"/>
          <w:lang w:val="en-GB"/>
        </w:rPr>
        <w:t>is now well established</w:t>
      </w:r>
      <w:r w:rsidRPr="003A4656">
        <w:rPr>
          <w:rFonts w:ascii="Times New Roman" w:hAnsi="Times New Roman"/>
          <w:lang w:val="en-GB"/>
        </w:rPr>
        <w:t xml:space="preserve"> that cancers are caused by a combination of environmental and genetic factors, and the discovery of the molecular alterations that occur at various stages in different tumours is increasing our understanding of </w:t>
      </w:r>
      <w:r w:rsidR="002365FA" w:rsidRPr="003A4656">
        <w:rPr>
          <w:rFonts w:ascii="Times New Roman" w:hAnsi="Times New Roman"/>
          <w:lang w:val="en-GB"/>
        </w:rPr>
        <w:t>the mechanisms of carcinogenesis.</w:t>
      </w:r>
      <w:r w:rsidRPr="003A4656">
        <w:rPr>
          <w:rFonts w:ascii="Times New Roman" w:hAnsi="Times New Roman"/>
          <w:lang w:val="en-GB"/>
        </w:rPr>
        <w:t xml:space="preserve"> </w:t>
      </w:r>
      <w:r w:rsidR="002365FA" w:rsidRPr="003A4656">
        <w:rPr>
          <w:rFonts w:ascii="Times New Roman" w:hAnsi="Times New Roman"/>
          <w:lang w:val="en-GB"/>
        </w:rPr>
        <w:t>Indeed, cancers are progressive diseases characterized by the accumulation of defects in many different g</w:t>
      </w:r>
      <w:r w:rsidR="006C0D9A" w:rsidRPr="003A4656">
        <w:rPr>
          <w:rFonts w:ascii="Times New Roman" w:hAnsi="Times New Roman"/>
          <w:lang w:val="en-GB"/>
        </w:rPr>
        <w:t xml:space="preserve">enes. </w:t>
      </w:r>
      <w:r w:rsidR="002365FA" w:rsidRPr="003A4656">
        <w:rPr>
          <w:rFonts w:ascii="Times New Roman" w:hAnsi="Times New Roman"/>
          <w:lang w:val="en-GB"/>
        </w:rPr>
        <w:t xml:space="preserve">The patterns of mutations identified in cancer genes suggest a direct action of chemicals that bind to DNA. Alternatively, </w:t>
      </w:r>
      <w:r w:rsidR="0001175B" w:rsidRPr="003A4656">
        <w:rPr>
          <w:rFonts w:ascii="Times New Roman" w:hAnsi="Times New Roman"/>
          <w:lang w:val="en-GB"/>
        </w:rPr>
        <w:t>cancer-associated genes may be altered</w:t>
      </w:r>
      <w:r w:rsidR="002365FA" w:rsidRPr="003A4656">
        <w:rPr>
          <w:rFonts w:ascii="Times New Roman" w:hAnsi="Times New Roman"/>
          <w:lang w:val="en-GB"/>
        </w:rPr>
        <w:t xml:space="preserve"> as a consequence of endogenous mutagens, germ-line mutations, spontaneous mutations that occur during cell replication or increased genetic instability in </w:t>
      </w:r>
      <w:proofErr w:type="gramStart"/>
      <w:r w:rsidR="002365FA" w:rsidRPr="003A4656">
        <w:rPr>
          <w:rFonts w:ascii="Times New Roman" w:hAnsi="Times New Roman"/>
          <w:lang w:val="en-GB"/>
        </w:rPr>
        <w:t>precancerous</w:t>
      </w:r>
      <w:proofErr w:type="gramEnd"/>
      <w:r w:rsidR="002365FA" w:rsidRPr="003A4656">
        <w:rPr>
          <w:rFonts w:ascii="Times New Roman" w:hAnsi="Times New Roman"/>
          <w:lang w:val="en-GB"/>
        </w:rPr>
        <w:t xml:space="preserve"> cells. </w:t>
      </w:r>
    </w:p>
    <w:p w:rsidR="00C941EF"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For most people who develop cancer, the cancer-causing mutations happen </w:t>
      </w:r>
      <w:r w:rsidR="00A50B21" w:rsidRPr="003A4656">
        <w:rPr>
          <w:rFonts w:ascii="Times New Roman" w:hAnsi="Times New Roman"/>
          <w:lang w:val="en-GB"/>
        </w:rPr>
        <w:t xml:space="preserve">at the somatic level </w:t>
      </w:r>
      <w:r w:rsidRPr="003A4656">
        <w:rPr>
          <w:rFonts w:ascii="Times New Roman" w:hAnsi="Times New Roman"/>
          <w:lang w:val="en-GB"/>
        </w:rPr>
        <w:t>over the course of a lifetime, leading to cancer later in life. Some people are born with a gene mutation that they inherited from their mother or father. This damaged gene puts them at higher risk for cancer than most people</w:t>
      </w:r>
      <w:r w:rsidR="0001175B" w:rsidRPr="003A4656">
        <w:rPr>
          <w:rFonts w:ascii="Times New Roman" w:hAnsi="Times New Roman"/>
          <w:lang w:val="en-GB"/>
        </w:rPr>
        <w:t>. I</w:t>
      </w:r>
      <w:r w:rsidRPr="003A4656">
        <w:rPr>
          <w:rFonts w:ascii="Times New Roman" w:hAnsi="Times New Roman"/>
          <w:lang w:val="en-GB"/>
        </w:rPr>
        <w:t>ndeed</w:t>
      </w:r>
      <w:r w:rsidR="0001175B" w:rsidRPr="003A4656">
        <w:rPr>
          <w:rFonts w:ascii="Times New Roman" w:hAnsi="Times New Roman"/>
          <w:lang w:val="en-GB"/>
        </w:rPr>
        <w:t>,</w:t>
      </w:r>
      <w:r w:rsidRPr="003A4656">
        <w:rPr>
          <w:rFonts w:ascii="Times New Roman" w:hAnsi="Times New Roman"/>
          <w:lang w:val="en-GB"/>
        </w:rPr>
        <w:t xml:space="preserve"> </w:t>
      </w:r>
      <w:r w:rsidR="0001175B" w:rsidRPr="003A4656">
        <w:rPr>
          <w:rFonts w:ascii="Times New Roman" w:hAnsi="Times New Roman"/>
          <w:lang w:val="en-GB"/>
        </w:rPr>
        <w:t>when cancer occurs because of a</w:t>
      </w:r>
      <w:r w:rsidRPr="003A4656">
        <w:rPr>
          <w:rFonts w:ascii="Times New Roman" w:hAnsi="Times New Roman"/>
          <w:lang w:val="en-GB"/>
        </w:rPr>
        <w:t xml:space="preserve"> germline mutation, it is referred to as "</w:t>
      </w:r>
      <w:r w:rsidRPr="003A4656">
        <w:rPr>
          <w:rFonts w:ascii="Times New Roman" w:hAnsi="Times New Roman"/>
          <w:i/>
          <w:iCs/>
          <w:lang w:val="en-GB"/>
        </w:rPr>
        <w:t>hereditary cancer</w:t>
      </w:r>
      <w:r w:rsidRPr="003A4656">
        <w:rPr>
          <w:rFonts w:ascii="Times New Roman" w:hAnsi="Times New Roman"/>
          <w:lang w:val="en-GB"/>
        </w:rPr>
        <w:t>" (</w:t>
      </w:r>
      <w:r w:rsidR="0001175B" w:rsidRPr="003A4656">
        <w:rPr>
          <w:rFonts w:ascii="Times New Roman" w:hAnsi="Times New Roman"/>
          <w:lang w:val="en-GB"/>
        </w:rPr>
        <w:t xml:space="preserve">American Cancer Society; </w:t>
      </w:r>
      <w:hyperlink r:id="rId9" w:history="1">
        <w:r w:rsidRPr="003A4656">
          <w:rPr>
            <w:rStyle w:val="Hyperlink"/>
            <w:rFonts w:ascii="Times New Roman" w:hAnsi="Times New Roman"/>
            <w:lang w:val="en-GB"/>
          </w:rPr>
          <w:t>http://cancer.org/Cancer/CancerCauses/GeneticsandCancer/heredity-and-cancer</w:t>
        </w:r>
      </w:hyperlink>
      <w:r w:rsidRPr="003A4656">
        <w:rPr>
          <w:rFonts w:ascii="Times New Roman" w:hAnsi="Times New Roman"/>
          <w:lang w:val="en-GB"/>
        </w:rPr>
        <w:t xml:space="preserve">). </w:t>
      </w:r>
    </w:p>
    <w:p w:rsidR="00C941EF" w:rsidRPr="003A4656" w:rsidRDefault="0001175B"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In most </w:t>
      </w:r>
      <w:r w:rsidR="006C0D9A" w:rsidRPr="003A4656">
        <w:rPr>
          <w:rFonts w:ascii="Times New Roman" w:hAnsi="Times New Roman"/>
          <w:lang w:val="en-GB"/>
        </w:rPr>
        <w:t>cases</w:t>
      </w:r>
      <w:r w:rsidRPr="003A4656">
        <w:rPr>
          <w:rFonts w:ascii="Times New Roman" w:hAnsi="Times New Roman"/>
          <w:lang w:val="en-GB"/>
        </w:rPr>
        <w:t xml:space="preserve"> the mutation</w:t>
      </w:r>
      <w:r w:rsidR="006C0D9A" w:rsidRPr="003A4656">
        <w:rPr>
          <w:rFonts w:ascii="Times New Roman" w:hAnsi="Times New Roman"/>
          <w:lang w:val="en-GB"/>
        </w:rPr>
        <w:t>s occur</w:t>
      </w:r>
      <w:r w:rsidR="00C941EF" w:rsidRPr="003A4656">
        <w:rPr>
          <w:rFonts w:ascii="Times New Roman" w:hAnsi="Times New Roman"/>
          <w:lang w:val="en-GB"/>
        </w:rPr>
        <w:t xml:space="preserve"> in one copy of a damage-controlling gene </w:t>
      </w:r>
      <w:r w:rsidRPr="003A4656">
        <w:rPr>
          <w:rFonts w:ascii="Times New Roman" w:hAnsi="Times New Roman"/>
          <w:lang w:val="en-GB"/>
        </w:rPr>
        <w:t>that</w:t>
      </w:r>
      <w:r w:rsidR="00C941EF" w:rsidRPr="003A4656">
        <w:rPr>
          <w:rFonts w:ascii="Times New Roman" w:hAnsi="Times New Roman"/>
          <w:lang w:val="en-GB"/>
        </w:rPr>
        <w:t xml:space="preserve"> normally protects against cancer. </w:t>
      </w:r>
      <w:r w:rsidR="00A50B21" w:rsidRPr="003A4656">
        <w:rPr>
          <w:rFonts w:ascii="Times New Roman" w:hAnsi="Times New Roman"/>
          <w:lang w:val="en-GB"/>
        </w:rPr>
        <w:t>It is estimated that approximately 10% of most cancer types are due to inherited gene changes. However, t</w:t>
      </w:r>
      <w:r w:rsidR="00C941EF" w:rsidRPr="003A4656">
        <w:rPr>
          <w:rFonts w:ascii="Times New Roman" w:hAnsi="Times New Roman"/>
          <w:lang w:val="en-GB"/>
        </w:rPr>
        <w:t xml:space="preserve">hese changes do not increase the risk for every type of cancer, and not everyone who is born with a gene change will develop cancer. The medical community uses the term "genetic susceptibility" to describe the high risk in people with an inherited </w:t>
      </w:r>
      <w:r w:rsidR="006C0D9A" w:rsidRPr="003A4656">
        <w:rPr>
          <w:rFonts w:ascii="Times New Roman" w:hAnsi="Times New Roman"/>
          <w:lang w:val="en-GB"/>
        </w:rPr>
        <w:t xml:space="preserve">cancer-associated </w:t>
      </w:r>
      <w:r w:rsidR="00C941EF" w:rsidRPr="003A4656">
        <w:rPr>
          <w:rFonts w:ascii="Times New Roman" w:hAnsi="Times New Roman"/>
          <w:lang w:val="en-GB"/>
        </w:rPr>
        <w:t>mutation.</w:t>
      </w:r>
      <w:r w:rsidR="006C0D9A" w:rsidRPr="003A4656">
        <w:rPr>
          <w:rFonts w:ascii="Times New Roman" w:hAnsi="Times New Roman"/>
          <w:lang w:val="en-GB"/>
        </w:rPr>
        <w:t xml:space="preserve"> </w:t>
      </w:r>
    </w:p>
    <w:p w:rsidR="00C941EF" w:rsidRPr="003A4656" w:rsidRDefault="00C941EF" w:rsidP="0005572B">
      <w:pPr>
        <w:pStyle w:val="Paragrafoelenco1"/>
        <w:ind w:left="0" w:right="0"/>
        <w:jc w:val="both"/>
        <w:rPr>
          <w:rFonts w:ascii="Times New Roman" w:hAnsi="Times New Roman"/>
          <w:lang w:val="en-GB"/>
        </w:rPr>
      </w:pPr>
    </w:p>
    <w:p w:rsidR="00C941EF" w:rsidRPr="003A4656" w:rsidRDefault="00C941EF" w:rsidP="0005572B">
      <w:pPr>
        <w:pStyle w:val="Paragrafoelenco1"/>
        <w:ind w:left="0" w:right="0" w:firstLine="720"/>
        <w:jc w:val="both"/>
        <w:rPr>
          <w:rFonts w:ascii="Times New Roman" w:hAnsi="Times New Roman"/>
          <w:b/>
          <w:color w:val="FF0000"/>
          <w:lang w:val="en-GB"/>
        </w:rPr>
      </w:pPr>
      <w:r w:rsidRPr="003A4656">
        <w:rPr>
          <w:rFonts w:ascii="Times New Roman" w:hAnsi="Times New Roman"/>
          <w:b/>
          <w:lang w:val="en-GB"/>
        </w:rPr>
        <w:t xml:space="preserve">1.1 Cancer </w:t>
      </w:r>
      <w:r w:rsidR="008D2DD9" w:rsidRPr="003A4656">
        <w:rPr>
          <w:rFonts w:ascii="Times New Roman" w:hAnsi="Times New Roman"/>
          <w:b/>
          <w:lang w:val="en-GB"/>
        </w:rPr>
        <w:t xml:space="preserve">Associated </w:t>
      </w:r>
      <w:r w:rsidRPr="003A4656">
        <w:rPr>
          <w:rFonts w:ascii="Times New Roman" w:hAnsi="Times New Roman"/>
          <w:b/>
          <w:lang w:val="en-GB"/>
        </w:rPr>
        <w:t xml:space="preserve">Genes </w:t>
      </w:r>
      <w:r w:rsidR="00ED3B3F" w:rsidRPr="003A4656">
        <w:rPr>
          <w:rFonts w:ascii="Times New Roman" w:hAnsi="Times New Roman"/>
          <w:b/>
          <w:lang w:val="en-GB"/>
        </w:rPr>
        <w:t xml:space="preserve"> </w:t>
      </w:r>
    </w:p>
    <w:p w:rsidR="00C941EF" w:rsidRPr="003A4656" w:rsidRDefault="00825C3A" w:rsidP="0005572B">
      <w:pPr>
        <w:ind w:left="0" w:right="0"/>
        <w:rPr>
          <w:sz w:val="22"/>
          <w:szCs w:val="22"/>
        </w:rPr>
      </w:pPr>
      <w:r w:rsidRPr="003A4656">
        <w:rPr>
          <w:sz w:val="22"/>
          <w:szCs w:val="22"/>
        </w:rPr>
        <w:t>Most of the genes responsible for the development of cancers fall into two major categories:</w:t>
      </w:r>
      <w:r w:rsidR="00C941EF" w:rsidRPr="003A4656">
        <w:rPr>
          <w:sz w:val="22"/>
          <w:szCs w:val="22"/>
        </w:rPr>
        <w:t xml:space="preserve"> t</w:t>
      </w:r>
      <w:r w:rsidR="00C941EF" w:rsidRPr="003A4656">
        <w:rPr>
          <w:bCs/>
          <w:sz w:val="22"/>
          <w:szCs w:val="22"/>
        </w:rPr>
        <w:t>umo</w:t>
      </w:r>
      <w:r w:rsidR="00F15F64" w:rsidRPr="003A4656">
        <w:rPr>
          <w:bCs/>
          <w:sz w:val="22"/>
          <w:szCs w:val="22"/>
        </w:rPr>
        <w:t>u</w:t>
      </w:r>
      <w:r w:rsidR="00C941EF" w:rsidRPr="003A4656">
        <w:rPr>
          <w:bCs/>
          <w:sz w:val="22"/>
          <w:szCs w:val="22"/>
        </w:rPr>
        <w:t>r suppres</w:t>
      </w:r>
      <w:r w:rsidR="00C941EF" w:rsidRPr="003A4656">
        <w:rPr>
          <w:bCs/>
          <w:sz w:val="22"/>
          <w:szCs w:val="22"/>
        </w:rPr>
        <w:softHyphen/>
        <w:t>sor genes</w:t>
      </w:r>
      <w:r w:rsidR="00C941EF" w:rsidRPr="003A4656">
        <w:rPr>
          <w:b/>
          <w:bCs/>
          <w:sz w:val="22"/>
          <w:szCs w:val="22"/>
        </w:rPr>
        <w:t xml:space="preserve"> </w:t>
      </w:r>
      <w:r w:rsidR="00C941EF" w:rsidRPr="003A4656">
        <w:rPr>
          <w:sz w:val="22"/>
          <w:szCs w:val="22"/>
        </w:rPr>
        <w:t xml:space="preserve">(growth inhibitory) and </w:t>
      </w:r>
      <w:r w:rsidR="00C941EF" w:rsidRPr="003A4656">
        <w:rPr>
          <w:bCs/>
          <w:sz w:val="22"/>
          <w:szCs w:val="22"/>
        </w:rPr>
        <w:t>proto-oncogenes</w:t>
      </w:r>
      <w:r w:rsidR="00C941EF" w:rsidRPr="003A4656">
        <w:rPr>
          <w:b/>
          <w:bCs/>
          <w:sz w:val="22"/>
          <w:szCs w:val="22"/>
        </w:rPr>
        <w:t xml:space="preserve"> </w:t>
      </w:r>
      <w:r w:rsidR="00C941EF" w:rsidRPr="003A4656">
        <w:rPr>
          <w:sz w:val="22"/>
          <w:szCs w:val="22"/>
        </w:rPr>
        <w:t xml:space="preserve">(growth promoting). Mutant alleles of proto-oncogenes are called </w:t>
      </w:r>
      <w:r w:rsidR="00C941EF" w:rsidRPr="003A4656">
        <w:rPr>
          <w:bCs/>
          <w:sz w:val="22"/>
          <w:szCs w:val="22"/>
        </w:rPr>
        <w:t>oncogenes</w:t>
      </w:r>
      <w:r w:rsidR="00C941EF" w:rsidRPr="003A4656">
        <w:rPr>
          <w:sz w:val="22"/>
          <w:szCs w:val="22"/>
        </w:rPr>
        <w:t>. Since mutation</w:t>
      </w:r>
      <w:r w:rsidR="001A3A9C" w:rsidRPr="003A4656">
        <w:rPr>
          <w:sz w:val="22"/>
          <w:szCs w:val="22"/>
        </w:rPr>
        <w:t>s</w:t>
      </w:r>
      <w:r w:rsidR="00C941EF" w:rsidRPr="003A4656">
        <w:rPr>
          <w:sz w:val="22"/>
          <w:szCs w:val="22"/>
        </w:rPr>
        <w:t xml:space="preserve"> in a single allele of a proto-oncogene can lead to cellular transformation, such mutations are considered dominant. In contrast, typically both alleles of a tumo</w:t>
      </w:r>
      <w:r w:rsidR="00F15F64" w:rsidRPr="003A4656">
        <w:rPr>
          <w:sz w:val="22"/>
          <w:szCs w:val="22"/>
        </w:rPr>
        <w:t>u</w:t>
      </w:r>
      <w:r w:rsidR="00C941EF" w:rsidRPr="003A4656">
        <w:rPr>
          <w:sz w:val="22"/>
          <w:szCs w:val="22"/>
        </w:rPr>
        <w:t xml:space="preserve">r suppressor gene must be altered for transformation to occur. </w:t>
      </w:r>
    </w:p>
    <w:p w:rsidR="007E6F2A" w:rsidRPr="003A4656" w:rsidRDefault="00C941EF" w:rsidP="0005572B">
      <w:pPr>
        <w:ind w:left="0" w:right="0"/>
        <w:rPr>
          <w:i/>
          <w:sz w:val="22"/>
          <w:szCs w:val="22"/>
        </w:rPr>
      </w:pPr>
      <w:r w:rsidRPr="003A4656">
        <w:rPr>
          <w:sz w:val="22"/>
          <w:szCs w:val="22"/>
        </w:rPr>
        <w:t>Tumo</w:t>
      </w:r>
      <w:r w:rsidR="00F15F64" w:rsidRPr="003A4656">
        <w:rPr>
          <w:sz w:val="22"/>
          <w:szCs w:val="22"/>
        </w:rPr>
        <w:t>u</w:t>
      </w:r>
      <w:r w:rsidRPr="003A4656">
        <w:rPr>
          <w:sz w:val="22"/>
          <w:szCs w:val="22"/>
        </w:rPr>
        <w:t xml:space="preserve">r suppressor genes can be defined as genes </w:t>
      </w:r>
      <w:r w:rsidR="001A3A9C" w:rsidRPr="003A4656">
        <w:rPr>
          <w:sz w:val="22"/>
          <w:szCs w:val="22"/>
        </w:rPr>
        <w:t>encoding</w:t>
      </w:r>
      <w:r w:rsidRPr="003A4656">
        <w:rPr>
          <w:sz w:val="22"/>
          <w:szCs w:val="22"/>
        </w:rPr>
        <w:t xml:space="preserve"> proteins that normally inhibit the formation of tumo</w:t>
      </w:r>
      <w:r w:rsidR="00F15F64" w:rsidRPr="003A4656">
        <w:rPr>
          <w:sz w:val="22"/>
          <w:szCs w:val="22"/>
        </w:rPr>
        <w:t>u</w:t>
      </w:r>
      <w:r w:rsidRPr="003A4656">
        <w:rPr>
          <w:sz w:val="22"/>
          <w:szCs w:val="22"/>
        </w:rPr>
        <w:t>rs. Their normal function is to inhibit cell proliferation, or act as the “brakes” for the cell cycle. Mutations in tumo</w:t>
      </w:r>
      <w:r w:rsidR="00F15F64" w:rsidRPr="003A4656">
        <w:rPr>
          <w:sz w:val="22"/>
          <w:szCs w:val="22"/>
        </w:rPr>
        <w:t>u</w:t>
      </w:r>
      <w:r w:rsidRPr="003A4656">
        <w:rPr>
          <w:sz w:val="22"/>
          <w:szCs w:val="22"/>
        </w:rPr>
        <w:t xml:space="preserve">r suppressor genes contribute to the development of cancer by inactivating that inhibitory function. Proto-oncogenes are genes that are </w:t>
      </w:r>
      <w:r w:rsidR="001A3A9C" w:rsidRPr="003A4656">
        <w:rPr>
          <w:sz w:val="22"/>
          <w:szCs w:val="22"/>
        </w:rPr>
        <w:t xml:space="preserve">normally </w:t>
      </w:r>
      <w:r w:rsidRPr="003A4656">
        <w:rPr>
          <w:sz w:val="22"/>
          <w:szCs w:val="22"/>
        </w:rPr>
        <w:t>involved i</w:t>
      </w:r>
      <w:r w:rsidR="001A3A9C" w:rsidRPr="003A4656">
        <w:rPr>
          <w:sz w:val="22"/>
          <w:szCs w:val="22"/>
        </w:rPr>
        <w:t xml:space="preserve">n regulating cell proliferation and their </w:t>
      </w:r>
      <w:r w:rsidRPr="003A4656">
        <w:rPr>
          <w:sz w:val="22"/>
          <w:szCs w:val="22"/>
        </w:rPr>
        <w:t xml:space="preserve">mutated forms (oncogenes) </w:t>
      </w:r>
      <w:r w:rsidR="003A4656" w:rsidRPr="003A4656">
        <w:rPr>
          <w:sz w:val="22"/>
          <w:szCs w:val="22"/>
        </w:rPr>
        <w:t>promote</w:t>
      </w:r>
      <w:r w:rsidR="001A3A9C" w:rsidRPr="003A4656">
        <w:rPr>
          <w:sz w:val="22"/>
          <w:szCs w:val="22"/>
        </w:rPr>
        <w:t xml:space="preserve"> </w:t>
      </w:r>
      <w:r w:rsidRPr="003A4656">
        <w:rPr>
          <w:sz w:val="22"/>
          <w:szCs w:val="22"/>
        </w:rPr>
        <w:t>u</w:t>
      </w:r>
      <w:r w:rsidR="001A3A9C" w:rsidRPr="003A4656">
        <w:rPr>
          <w:sz w:val="22"/>
          <w:szCs w:val="22"/>
        </w:rPr>
        <w:t xml:space="preserve">ncontrolled cell proliferation, increasing </w:t>
      </w:r>
      <w:r w:rsidRPr="003A4656">
        <w:rPr>
          <w:sz w:val="22"/>
          <w:szCs w:val="22"/>
        </w:rPr>
        <w:t>the activity of the encoded protein or the expression of the normal gene.</w:t>
      </w:r>
      <w:r w:rsidR="005F01F5" w:rsidRPr="003A4656">
        <w:rPr>
          <w:sz w:val="22"/>
          <w:szCs w:val="22"/>
        </w:rPr>
        <w:t xml:space="preserve"> </w:t>
      </w:r>
      <w:r w:rsidRPr="003A4656">
        <w:rPr>
          <w:sz w:val="22"/>
          <w:szCs w:val="22"/>
        </w:rPr>
        <w:t>Most mutant genes that impart dominantly inherited susceptibility to cancer are tumo</w:t>
      </w:r>
      <w:r w:rsidR="00F15F64" w:rsidRPr="003A4656">
        <w:rPr>
          <w:sz w:val="22"/>
          <w:szCs w:val="22"/>
        </w:rPr>
        <w:t>u</w:t>
      </w:r>
      <w:r w:rsidR="001A3A9C" w:rsidRPr="003A4656">
        <w:rPr>
          <w:sz w:val="22"/>
          <w:szCs w:val="22"/>
        </w:rPr>
        <w:t>r suppressors</w:t>
      </w:r>
      <w:r w:rsidRPr="003A4656">
        <w:rPr>
          <w:sz w:val="22"/>
          <w:szCs w:val="22"/>
        </w:rPr>
        <w:t xml:space="preserve">. </w:t>
      </w:r>
    </w:p>
    <w:p w:rsidR="00273310" w:rsidRPr="003A4656" w:rsidRDefault="00C941EF" w:rsidP="0005572B">
      <w:pPr>
        <w:ind w:left="0" w:right="0"/>
        <w:rPr>
          <w:sz w:val="22"/>
          <w:szCs w:val="22"/>
        </w:rPr>
      </w:pPr>
      <w:r w:rsidRPr="003A4656">
        <w:rPr>
          <w:sz w:val="22"/>
          <w:szCs w:val="22"/>
        </w:rPr>
        <w:t>Cancer genes can be further divided in</w:t>
      </w:r>
      <w:r w:rsidR="001A3A9C" w:rsidRPr="003A4656">
        <w:rPr>
          <w:sz w:val="22"/>
          <w:szCs w:val="22"/>
        </w:rPr>
        <w:t>to</w:t>
      </w:r>
      <w:r w:rsidRPr="003A4656">
        <w:rPr>
          <w:sz w:val="22"/>
          <w:szCs w:val="22"/>
        </w:rPr>
        <w:t xml:space="preserve"> two different categories (Kinzler K</w:t>
      </w:r>
      <w:r w:rsidR="008C3528" w:rsidRPr="003A4656">
        <w:rPr>
          <w:sz w:val="22"/>
          <w:szCs w:val="22"/>
        </w:rPr>
        <w:t>.</w:t>
      </w:r>
      <w:r w:rsidRPr="003A4656">
        <w:rPr>
          <w:sz w:val="22"/>
          <w:szCs w:val="22"/>
        </w:rPr>
        <w:t>W</w:t>
      </w:r>
      <w:r w:rsidR="008C3528" w:rsidRPr="003A4656">
        <w:rPr>
          <w:sz w:val="22"/>
          <w:szCs w:val="22"/>
        </w:rPr>
        <w:t>.</w:t>
      </w:r>
      <w:r w:rsidRPr="003A4656">
        <w:rPr>
          <w:sz w:val="22"/>
          <w:szCs w:val="22"/>
        </w:rPr>
        <w:t xml:space="preserve"> and Vogelstein B. 1997): the “gatekeepers”, which encode molecules that directly control the progression of the cell cycle and whose inactivation </w:t>
      </w:r>
      <w:r w:rsidR="001A3A9C" w:rsidRPr="003A4656">
        <w:rPr>
          <w:sz w:val="22"/>
          <w:szCs w:val="22"/>
        </w:rPr>
        <w:t>is</w:t>
      </w:r>
      <w:r w:rsidRPr="003A4656">
        <w:rPr>
          <w:sz w:val="22"/>
          <w:szCs w:val="22"/>
        </w:rPr>
        <w:t xml:space="preserve"> sufficient to promote tumour growth, and the “caretakers”, which encode molecules that act as a sensor of DNA lesions and participate in the repair process. Inactivation of caretaker genes allows other genetic defects to accumulate and leads to genetic instability. Each cell type has only one or a few gatekeepers and inactivation of a given gatekeeper leads to a very specific distribution of cancer. Inactivation of these genes is rate-limiting for the initiation of a tumo</w:t>
      </w:r>
      <w:r w:rsidR="00F15F64" w:rsidRPr="003A4656">
        <w:rPr>
          <w:sz w:val="22"/>
          <w:szCs w:val="22"/>
        </w:rPr>
        <w:t>u</w:t>
      </w:r>
      <w:r w:rsidRPr="003A4656">
        <w:rPr>
          <w:sz w:val="22"/>
          <w:szCs w:val="22"/>
        </w:rPr>
        <w:t xml:space="preserve">r. </w:t>
      </w:r>
      <w:r w:rsidR="00067B6A" w:rsidRPr="003A4656">
        <w:rPr>
          <w:sz w:val="22"/>
          <w:szCs w:val="22"/>
        </w:rPr>
        <w:t xml:space="preserve">In contrast, inactivation of a caretaker gene does not promote </w:t>
      </w:r>
      <w:r w:rsidR="003A4656">
        <w:rPr>
          <w:sz w:val="22"/>
          <w:szCs w:val="22"/>
        </w:rPr>
        <w:t xml:space="preserve">cancer </w:t>
      </w:r>
      <w:r w:rsidR="00067B6A" w:rsidRPr="003A4656">
        <w:rPr>
          <w:sz w:val="22"/>
          <w:szCs w:val="22"/>
        </w:rPr>
        <w:t xml:space="preserve">initiation directly. </w:t>
      </w:r>
    </w:p>
    <w:p w:rsidR="007E6F2A" w:rsidRPr="003A4656" w:rsidRDefault="00067B6A" w:rsidP="0005572B">
      <w:pPr>
        <w:ind w:left="0" w:right="0"/>
        <w:rPr>
          <w:sz w:val="22"/>
          <w:szCs w:val="22"/>
        </w:rPr>
      </w:pPr>
      <w:r w:rsidRPr="003A4656">
        <w:rPr>
          <w:sz w:val="22"/>
          <w:szCs w:val="22"/>
        </w:rPr>
        <w:t>People with hereditary mutations in gatekeeper</w:t>
      </w:r>
      <w:r w:rsidR="00273310" w:rsidRPr="003A4656">
        <w:rPr>
          <w:sz w:val="22"/>
          <w:szCs w:val="22"/>
        </w:rPr>
        <w:t xml:space="preserve"> or caretaker genes are at increased risk</w:t>
      </w:r>
      <w:r w:rsidRPr="003A4656">
        <w:rPr>
          <w:sz w:val="22"/>
          <w:szCs w:val="22"/>
        </w:rPr>
        <w:t xml:space="preserve"> </w:t>
      </w:r>
      <w:r w:rsidR="00273310" w:rsidRPr="003A4656">
        <w:rPr>
          <w:sz w:val="22"/>
          <w:szCs w:val="22"/>
        </w:rPr>
        <w:t xml:space="preserve">of developing </w:t>
      </w:r>
      <w:proofErr w:type="gramStart"/>
      <w:r w:rsidR="00273310" w:rsidRPr="003A4656">
        <w:rPr>
          <w:sz w:val="22"/>
          <w:szCs w:val="22"/>
        </w:rPr>
        <w:t>cancer,</w:t>
      </w:r>
      <w:proofErr w:type="gramEnd"/>
      <w:r w:rsidR="00273310" w:rsidRPr="003A4656">
        <w:rPr>
          <w:sz w:val="22"/>
          <w:szCs w:val="22"/>
        </w:rPr>
        <w:t xml:space="preserve"> generally 5 to 50 fold greater than the general population. However, additional </w:t>
      </w:r>
      <w:r w:rsidR="00C941EF" w:rsidRPr="003A4656">
        <w:rPr>
          <w:sz w:val="22"/>
          <w:szCs w:val="22"/>
        </w:rPr>
        <w:t>mutation</w:t>
      </w:r>
      <w:r w:rsidR="00AA3146" w:rsidRPr="003A4656">
        <w:rPr>
          <w:sz w:val="22"/>
          <w:szCs w:val="22"/>
        </w:rPr>
        <w:t>s</w:t>
      </w:r>
      <w:r w:rsidR="00273310" w:rsidRPr="003A4656">
        <w:rPr>
          <w:sz w:val="22"/>
          <w:szCs w:val="22"/>
        </w:rPr>
        <w:t xml:space="preserve"> are required to initiate tumorigenesis.</w:t>
      </w:r>
    </w:p>
    <w:p w:rsidR="007E6F2A" w:rsidRPr="003A4656" w:rsidRDefault="00273310" w:rsidP="0005572B">
      <w:pPr>
        <w:ind w:left="0" w:right="0"/>
        <w:rPr>
          <w:sz w:val="22"/>
          <w:szCs w:val="22"/>
          <w:u w:val="single"/>
        </w:rPr>
      </w:pPr>
      <w:r w:rsidRPr="003A4656">
        <w:rPr>
          <w:sz w:val="22"/>
          <w:szCs w:val="22"/>
        </w:rPr>
        <w:t xml:space="preserve">Genes associated with hereditary predisposition to cancer include both oncogenes and tumour suppressor genes. In the first group there are genes such as </w:t>
      </w:r>
      <w:r w:rsidRPr="003A4656">
        <w:rPr>
          <w:i/>
          <w:sz w:val="22"/>
          <w:szCs w:val="22"/>
        </w:rPr>
        <w:t xml:space="preserve">MET </w:t>
      </w:r>
      <w:r w:rsidRPr="003A4656">
        <w:rPr>
          <w:sz w:val="22"/>
          <w:szCs w:val="22"/>
        </w:rPr>
        <w:t xml:space="preserve">and </w:t>
      </w:r>
      <w:r w:rsidRPr="003A4656">
        <w:rPr>
          <w:i/>
          <w:sz w:val="22"/>
          <w:szCs w:val="22"/>
        </w:rPr>
        <w:t xml:space="preserve">KIT </w:t>
      </w:r>
      <w:r w:rsidR="007E6F2A" w:rsidRPr="003A4656">
        <w:rPr>
          <w:sz w:val="22"/>
          <w:szCs w:val="22"/>
        </w:rPr>
        <w:t>that code for transmembrane tyrosine kinase proteins. The first (</w:t>
      </w:r>
      <w:r w:rsidR="007E6F2A" w:rsidRPr="003A4656">
        <w:rPr>
          <w:i/>
          <w:sz w:val="22"/>
          <w:szCs w:val="22"/>
        </w:rPr>
        <w:t>MET</w:t>
      </w:r>
      <w:r w:rsidR="003A4656">
        <w:rPr>
          <w:sz w:val="22"/>
          <w:szCs w:val="22"/>
        </w:rPr>
        <w:t xml:space="preserve">) is mutated </w:t>
      </w:r>
      <w:r w:rsidR="007E6F2A" w:rsidRPr="003A4656">
        <w:rPr>
          <w:sz w:val="22"/>
          <w:szCs w:val="22"/>
        </w:rPr>
        <w:t>in hereditary papillary renal carcinoma (HPRC) (Schmidt et al., 1997), and the second (</w:t>
      </w:r>
      <w:r w:rsidR="007E6F2A" w:rsidRPr="003A4656">
        <w:rPr>
          <w:i/>
          <w:sz w:val="22"/>
          <w:szCs w:val="22"/>
        </w:rPr>
        <w:t>KIT</w:t>
      </w:r>
      <w:r w:rsidR="007E6F2A" w:rsidRPr="003A4656">
        <w:rPr>
          <w:sz w:val="22"/>
          <w:szCs w:val="22"/>
        </w:rPr>
        <w:t>) in the hereditary gastrointestinal stromal tumo</w:t>
      </w:r>
      <w:r w:rsidR="00F15F64" w:rsidRPr="003A4656">
        <w:rPr>
          <w:sz w:val="22"/>
          <w:szCs w:val="22"/>
        </w:rPr>
        <w:t>u</w:t>
      </w:r>
      <w:r w:rsidR="007E6F2A" w:rsidRPr="003A4656">
        <w:rPr>
          <w:sz w:val="22"/>
          <w:szCs w:val="22"/>
        </w:rPr>
        <w:t>r syndrome (GIST) (Nishida et al., 1998). These oncogenes are activ</w:t>
      </w:r>
      <w:r w:rsidRPr="003A4656">
        <w:rPr>
          <w:sz w:val="22"/>
          <w:szCs w:val="22"/>
        </w:rPr>
        <w:t xml:space="preserve">ated by </w:t>
      </w:r>
      <w:r w:rsidR="007E6F2A" w:rsidRPr="003A4656">
        <w:rPr>
          <w:sz w:val="22"/>
          <w:szCs w:val="22"/>
        </w:rPr>
        <w:t xml:space="preserve">point mutations that cause constitutive tyrosine kinase activity. </w:t>
      </w:r>
      <w:r w:rsidRPr="003A4656">
        <w:rPr>
          <w:sz w:val="22"/>
          <w:szCs w:val="22"/>
        </w:rPr>
        <w:t>The</w:t>
      </w:r>
      <w:r w:rsidR="007E6F2A" w:rsidRPr="003A4656">
        <w:rPr>
          <w:sz w:val="22"/>
          <w:szCs w:val="22"/>
        </w:rPr>
        <w:t xml:space="preserve"> inherited mutations are clearly not lethal to the </w:t>
      </w:r>
      <w:r w:rsidR="00067B6A" w:rsidRPr="003A4656">
        <w:rPr>
          <w:sz w:val="22"/>
          <w:szCs w:val="22"/>
        </w:rPr>
        <w:t>foetus</w:t>
      </w:r>
      <w:r w:rsidR="007E6F2A" w:rsidRPr="003A4656">
        <w:rPr>
          <w:sz w:val="22"/>
          <w:szCs w:val="22"/>
        </w:rPr>
        <w:t xml:space="preserve"> and are not sufficient for carcinogenesis. </w:t>
      </w:r>
    </w:p>
    <w:p w:rsidR="00AA3146" w:rsidRPr="003A4656" w:rsidRDefault="007E6F2A" w:rsidP="0005572B">
      <w:pPr>
        <w:ind w:left="0" w:right="0"/>
        <w:rPr>
          <w:sz w:val="22"/>
          <w:szCs w:val="22"/>
        </w:rPr>
      </w:pPr>
      <w:r w:rsidRPr="003A4656">
        <w:rPr>
          <w:sz w:val="22"/>
          <w:szCs w:val="22"/>
        </w:rPr>
        <w:t>Tumo</w:t>
      </w:r>
      <w:r w:rsidR="00F15F64" w:rsidRPr="003A4656">
        <w:rPr>
          <w:sz w:val="22"/>
          <w:szCs w:val="22"/>
        </w:rPr>
        <w:t>u</w:t>
      </w:r>
      <w:r w:rsidRPr="003A4656">
        <w:rPr>
          <w:sz w:val="22"/>
          <w:szCs w:val="22"/>
        </w:rPr>
        <w:t xml:space="preserve">r suppressor genes constitute the largest group of hereditary cancer genes. </w:t>
      </w:r>
      <w:r w:rsidR="00273310" w:rsidRPr="003A4656">
        <w:rPr>
          <w:sz w:val="22"/>
          <w:szCs w:val="22"/>
        </w:rPr>
        <w:t xml:space="preserve">In fact, </w:t>
      </w:r>
      <w:r w:rsidR="004D3120" w:rsidRPr="003A4656">
        <w:rPr>
          <w:sz w:val="22"/>
          <w:szCs w:val="22"/>
        </w:rPr>
        <w:t xml:space="preserve">many of them (e.g. </w:t>
      </w:r>
      <w:r w:rsidR="004D3120" w:rsidRPr="003A4656">
        <w:rPr>
          <w:i/>
          <w:sz w:val="22"/>
          <w:szCs w:val="22"/>
        </w:rPr>
        <w:t xml:space="preserve">RB1, WT1, NF1, NF2, APC, VHL, TSC1, TSC2, BRCA1, </w:t>
      </w:r>
      <w:r w:rsidR="004D3120" w:rsidRPr="003A4656">
        <w:rPr>
          <w:sz w:val="22"/>
          <w:szCs w:val="22"/>
        </w:rPr>
        <w:t>and</w:t>
      </w:r>
      <w:r w:rsidR="004D3120" w:rsidRPr="003A4656">
        <w:rPr>
          <w:i/>
          <w:sz w:val="22"/>
          <w:szCs w:val="22"/>
        </w:rPr>
        <w:t xml:space="preserve"> BRCA2</w:t>
      </w:r>
      <w:r w:rsidR="004D3120" w:rsidRPr="003A4656">
        <w:rPr>
          <w:sz w:val="22"/>
          <w:szCs w:val="22"/>
        </w:rPr>
        <w:t>) have been identified through the study of</w:t>
      </w:r>
      <w:r w:rsidRPr="003A4656">
        <w:rPr>
          <w:sz w:val="22"/>
          <w:szCs w:val="22"/>
        </w:rPr>
        <w:t xml:space="preserve"> </w:t>
      </w:r>
      <w:r w:rsidR="003A4656">
        <w:rPr>
          <w:sz w:val="22"/>
          <w:szCs w:val="22"/>
        </w:rPr>
        <w:t>patients with hereditary cancer.</w:t>
      </w:r>
      <w:r w:rsidRPr="003A4656">
        <w:rPr>
          <w:sz w:val="22"/>
          <w:szCs w:val="22"/>
        </w:rPr>
        <w:t xml:space="preserve"> </w:t>
      </w:r>
    </w:p>
    <w:p w:rsidR="00AA3146" w:rsidRPr="003A4656" w:rsidRDefault="00AA3146" w:rsidP="0005572B">
      <w:pPr>
        <w:ind w:left="0" w:right="0"/>
        <w:rPr>
          <w:sz w:val="22"/>
          <w:szCs w:val="22"/>
          <w:lang w:eastAsia="it-IT"/>
        </w:rPr>
      </w:pPr>
      <w:r w:rsidRPr="003A4656">
        <w:rPr>
          <w:sz w:val="22"/>
          <w:szCs w:val="22"/>
          <w:lang w:eastAsia="it-IT"/>
        </w:rPr>
        <w:t xml:space="preserve">A schematic representation </w:t>
      </w:r>
      <w:r w:rsidR="004D3120" w:rsidRPr="003A4656">
        <w:rPr>
          <w:sz w:val="22"/>
          <w:szCs w:val="22"/>
          <w:lang w:eastAsia="it-IT"/>
        </w:rPr>
        <w:t>of cancer genes and related tumourigenesis pathways</w:t>
      </w:r>
      <w:r w:rsidRPr="003A4656">
        <w:rPr>
          <w:sz w:val="22"/>
          <w:szCs w:val="22"/>
          <w:lang w:eastAsia="it-IT"/>
        </w:rPr>
        <w:t xml:space="preserve"> is depicted in Figure 1.</w:t>
      </w:r>
    </w:p>
    <w:p w:rsidR="00BC1BF5" w:rsidRPr="003A4656" w:rsidRDefault="00BC1BF5" w:rsidP="0005572B">
      <w:pPr>
        <w:ind w:left="0" w:right="0"/>
        <w:rPr>
          <w:sz w:val="22"/>
          <w:szCs w:val="22"/>
          <w:lang w:eastAsia="it-IT"/>
        </w:rPr>
      </w:pPr>
    </w:p>
    <w:p w:rsidR="00F15F64" w:rsidRPr="003A4656" w:rsidRDefault="00C941EF" w:rsidP="0005572B">
      <w:pPr>
        <w:ind w:left="0" w:right="0"/>
        <w:jc w:val="center"/>
        <w:rPr>
          <w:sz w:val="22"/>
          <w:szCs w:val="22"/>
        </w:rPr>
      </w:pPr>
      <w:r w:rsidRPr="003A4656">
        <w:rPr>
          <w:noProof/>
          <w:sz w:val="22"/>
          <w:szCs w:val="22"/>
          <w:lang w:val="en-US" w:eastAsia="en-US"/>
        </w:rPr>
        <w:drawing>
          <wp:inline distT="0" distB="0" distL="0" distR="0">
            <wp:extent cx="3112339" cy="195049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lum contrast="10000"/>
                    </a:blip>
                    <a:srcRect/>
                    <a:stretch>
                      <a:fillRect/>
                    </a:stretch>
                  </pic:blipFill>
                  <pic:spPr bwMode="auto">
                    <a:xfrm>
                      <a:off x="0" y="0"/>
                      <a:ext cx="3112339" cy="1950490"/>
                    </a:xfrm>
                    <a:prstGeom prst="rect">
                      <a:avLst/>
                    </a:prstGeom>
                    <a:noFill/>
                    <a:ln w="9525">
                      <a:noFill/>
                      <a:miter lim="800000"/>
                      <a:headEnd/>
                      <a:tailEnd/>
                    </a:ln>
                  </pic:spPr>
                </pic:pic>
              </a:graphicData>
            </a:graphic>
          </wp:inline>
        </w:drawing>
      </w:r>
    </w:p>
    <w:p w:rsidR="00C941EF" w:rsidRPr="003A4656" w:rsidRDefault="00C941EF" w:rsidP="0005572B">
      <w:pPr>
        <w:tabs>
          <w:tab w:val="left" w:pos="1530"/>
          <w:tab w:val="left" w:pos="6930"/>
        </w:tabs>
        <w:ind w:left="1530" w:right="1620"/>
        <w:jc w:val="center"/>
        <w:rPr>
          <w:i/>
        </w:rPr>
      </w:pPr>
      <w:r w:rsidRPr="003A4656">
        <w:rPr>
          <w:i/>
        </w:rPr>
        <w:t>Fig.1. Schematic representation of the different pathways to tumo</w:t>
      </w:r>
      <w:r w:rsidR="00F15F64" w:rsidRPr="003A4656">
        <w:rPr>
          <w:i/>
        </w:rPr>
        <w:t>u</w:t>
      </w:r>
      <w:r w:rsidRPr="003A4656">
        <w:rPr>
          <w:i/>
        </w:rPr>
        <w:t>r initiation</w:t>
      </w:r>
    </w:p>
    <w:p w:rsidR="00C941EF" w:rsidRPr="003A4656" w:rsidRDefault="00C941EF" w:rsidP="0005572B">
      <w:pPr>
        <w:ind w:left="0" w:right="0"/>
        <w:rPr>
          <w:sz w:val="22"/>
          <w:szCs w:val="22"/>
        </w:rPr>
      </w:pPr>
    </w:p>
    <w:p w:rsidR="00C941EF" w:rsidRPr="003A4656" w:rsidRDefault="004D3120" w:rsidP="0005572B">
      <w:pPr>
        <w:pStyle w:val="Paragrafoelenco1"/>
        <w:ind w:left="0" w:right="0"/>
        <w:jc w:val="both"/>
        <w:rPr>
          <w:rFonts w:ascii="Times New Roman" w:hAnsi="Times New Roman"/>
          <w:lang w:val="en-GB"/>
        </w:rPr>
      </w:pPr>
      <w:r w:rsidRPr="003A4656">
        <w:rPr>
          <w:rFonts w:ascii="Times New Roman" w:hAnsi="Times New Roman"/>
          <w:lang w:val="en-GB"/>
        </w:rPr>
        <w:t>Finally, c</w:t>
      </w:r>
      <w:r w:rsidR="00C941EF" w:rsidRPr="003A4656">
        <w:rPr>
          <w:rFonts w:ascii="Times New Roman" w:hAnsi="Times New Roman"/>
          <w:lang w:val="en-GB"/>
        </w:rPr>
        <w:t xml:space="preserve">ancer predisposing genes can be categorized according to their relative risk of a particular type of cancer. High penetrant genes are associated with a </w:t>
      </w:r>
      <w:r w:rsidRPr="003A4656">
        <w:rPr>
          <w:rFonts w:ascii="Times New Roman" w:hAnsi="Times New Roman"/>
          <w:lang w:val="en-GB"/>
        </w:rPr>
        <w:t xml:space="preserve">relative </w:t>
      </w:r>
      <w:r w:rsidR="00C941EF" w:rsidRPr="003A4656">
        <w:rPr>
          <w:rFonts w:ascii="Times New Roman" w:hAnsi="Times New Roman"/>
          <w:lang w:val="en-GB"/>
        </w:rPr>
        <w:t xml:space="preserve">cancer risk higher than 5. Low-penetrant genes </w:t>
      </w:r>
      <w:r w:rsidRPr="003A4656">
        <w:rPr>
          <w:rFonts w:ascii="Times New Roman" w:hAnsi="Times New Roman"/>
          <w:lang w:val="en-GB"/>
        </w:rPr>
        <w:t>confer</w:t>
      </w:r>
      <w:r w:rsidR="00C941EF" w:rsidRPr="003A4656">
        <w:rPr>
          <w:rFonts w:ascii="Times New Roman" w:hAnsi="Times New Roman"/>
          <w:lang w:val="en-GB"/>
        </w:rPr>
        <w:t xml:space="preserve"> relative risk around 1.5, whereas intermediate-penetrant genes confer relative cancer risks from 1.5 to 5 (</w:t>
      </w:r>
      <w:r w:rsidR="00C941EF" w:rsidRPr="003A4656">
        <w:rPr>
          <w:rFonts w:ascii="Times New Roman" w:hAnsi="Times New Roman"/>
          <w:bCs/>
          <w:lang w:val="en-GB" w:eastAsia="it-IT"/>
        </w:rPr>
        <w:t>Apostolou P. and Fostira F., 2013</w:t>
      </w:r>
      <w:r w:rsidR="00C941EF" w:rsidRPr="003A4656">
        <w:rPr>
          <w:rFonts w:ascii="Times New Roman" w:hAnsi="Times New Roman"/>
          <w:lang w:val="en-GB"/>
        </w:rPr>
        <w:t>).</w:t>
      </w:r>
    </w:p>
    <w:p w:rsidR="00C941EF" w:rsidRPr="003A4656" w:rsidRDefault="00C941EF" w:rsidP="0005572B">
      <w:pPr>
        <w:pStyle w:val="Paragrafoelenco1"/>
        <w:ind w:left="0" w:right="0" w:firstLine="360"/>
        <w:jc w:val="both"/>
        <w:rPr>
          <w:rFonts w:ascii="Times New Roman" w:hAnsi="Times New Roman"/>
          <w:lang w:val="en-GB"/>
        </w:rPr>
      </w:pPr>
    </w:p>
    <w:p w:rsidR="00C941EF" w:rsidRPr="003A4656" w:rsidRDefault="00C941EF" w:rsidP="00101298">
      <w:pPr>
        <w:pStyle w:val="Paragrafoelenco1"/>
        <w:ind w:left="0" w:right="0" w:firstLine="720"/>
        <w:jc w:val="both"/>
        <w:rPr>
          <w:rFonts w:ascii="Times New Roman" w:hAnsi="Times New Roman"/>
          <w:b/>
          <w:i/>
          <w:lang w:val="en-GB"/>
        </w:rPr>
      </w:pPr>
      <w:r w:rsidRPr="003A4656">
        <w:rPr>
          <w:rFonts w:ascii="Times New Roman" w:hAnsi="Times New Roman"/>
          <w:b/>
          <w:lang w:val="en-GB"/>
        </w:rPr>
        <w:t xml:space="preserve">1.2 Hereditary cancer </w:t>
      </w:r>
      <w:r w:rsidR="00442488" w:rsidRPr="003A4656">
        <w:rPr>
          <w:rFonts w:ascii="Times New Roman" w:hAnsi="Times New Roman"/>
          <w:b/>
          <w:lang w:val="en-GB"/>
        </w:rPr>
        <w:t>syndromes</w:t>
      </w:r>
    </w:p>
    <w:p w:rsidR="00B835EB" w:rsidRPr="003A4656" w:rsidRDefault="00A21342" w:rsidP="0005572B">
      <w:pPr>
        <w:pStyle w:val="NormalWeb"/>
        <w:spacing w:before="0" w:beforeAutospacing="0" w:after="0" w:afterAutospacing="0"/>
        <w:ind w:left="0" w:right="0"/>
        <w:jc w:val="both"/>
        <w:rPr>
          <w:i/>
          <w:iCs/>
          <w:sz w:val="22"/>
          <w:szCs w:val="22"/>
          <w:lang w:val="en-GB"/>
        </w:rPr>
      </w:pPr>
      <w:r w:rsidRPr="003A4656">
        <w:rPr>
          <w:sz w:val="22"/>
          <w:szCs w:val="22"/>
          <w:lang w:val="en-GB"/>
        </w:rPr>
        <w:t xml:space="preserve">Many hereditary disorders are associated with an increased risk of cancer because of an inherited gene mutation. These disorders are called </w:t>
      </w:r>
      <w:r w:rsidRPr="003A4656">
        <w:rPr>
          <w:i/>
          <w:iCs/>
          <w:sz w:val="22"/>
          <w:szCs w:val="22"/>
          <w:lang w:val="en-GB"/>
        </w:rPr>
        <w:t xml:space="preserve">inherited or hereditary cancer syndromes. </w:t>
      </w:r>
    </w:p>
    <w:p w:rsidR="00A21342" w:rsidRPr="003A4656" w:rsidRDefault="00A21342" w:rsidP="0005572B">
      <w:pPr>
        <w:pStyle w:val="NormalWeb"/>
        <w:spacing w:before="0" w:beforeAutospacing="0" w:after="0" w:afterAutospacing="0"/>
        <w:ind w:left="0" w:right="0"/>
        <w:jc w:val="both"/>
        <w:rPr>
          <w:i/>
          <w:iCs/>
          <w:sz w:val="22"/>
          <w:szCs w:val="22"/>
          <w:lang w:val="en-GB"/>
        </w:rPr>
      </w:pPr>
      <w:r w:rsidRPr="003A4656">
        <w:rPr>
          <w:sz w:val="22"/>
          <w:szCs w:val="22"/>
          <w:lang w:val="en-GB"/>
        </w:rPr>
        <w:t xml:space="preserve">A hereditary cancer syndrome should be considered when numerous family members develop cancer at an especially young age or affected individuals develop multiple primary cancers, whether synchronously or metachronously, even if they are common cancers. Families in which </w:t>
      </w:r>
      <w:r w:rsidR="00056CDF" w:rsidRPr="003A4656">
        <w:rPr>
          <w:sz w:val="22"/>
          <w:szCs w:val="22"/>
          <w:lang w:val="en-GB"/>
        </w:rPr>
        <w:t>individuals</w:t>
      </w:r>
      <w:r w:rsidRPr="003A4656">
        <w:rPr>
          <w:sz w:val="22"/>
          <w:szCs w:val="22"/>
          <w:lang w:val="en-GB"/>
        </w:rPr>
        <w:t xml:space="preserve"> with cancer also manifest other rare conditions, particularly congenital abnormalities, should also arouse suspicion of a </w:t>
      </w:r>
      <w:r w:rsidR="00056CDF" w:rsidRPr="003A4656">
        <w:rPr>
          <w:sz w:val="22"/>
          <w:szCs w:val="22"/>
          <w:lang w:val="en-GB"/>
        </w:rPr>
        <w:t xml:space="preserve">predisposing </w:t>
      </w:r>
      <w:r w:rsidRPr="003A4656">
        <w:rPr>
          <w:sz w:val="22"/>
          <w:szCs w:val="22"/>
          <w:lang w:val="en-GB"/>
        </w:rPr>
        <w:t>syndrome.</w:t>
      </w:r>
    </w:p>
    <w:p w:rsidR="00A21342" w:rsidRPr="003A4656" w:rsidRDefault="00056CDF" w:rsidP="0005572B">
      <w:pPr>
        <w:pStyle w:val="NormalWeb"/>
        <w:spacing w:before="0" w:beforeAutospacing="0" w:after="0" w:afterAutospacing="0"/>
        <w:ind w:left="0" w:right="0"/>
        <w:jc w:val="both"/>
        <w:rPr>
          <w:sz w:val="22"/>
          <w:szCs w:val="22"/>
          <w:lang w:val="en-GB"/>
        </w:rPr>
      </w:pPr>
      <w:r w:rsidRPr="003A4656">
        <w:rPr>
          <w:sz w:val="22"/>
          <w:szCs w:val="22"/>
          <w:lang w:val="en-GB"/>
        </w:rPr>
        <w:t>Many h</w:t>
      </w:r>
      <w:r w:rsidR="00A21342" w:rsidRPr="003A4656">
        <w:rPr>
          <w:sz w:val="22"/>
          <w:szCs w:val="22"/>
          <w:lang w:val="en-GB"/>
        </w:rPr>
        <w:t xml:space="preserve">ereditary cancer syndromes are </w:t>
      </w:r>
      <w:r w:rsidRPr="003A4656">
        <w:rPr>
          <w:sz w:val="22"/>
          <w:szCs w:val="22"/>
          <w:lang w:val="en-GB"/>
        </w:rPr>
        <w:t>due to</w:t>
      </w:r>
      <w:r w:rsidR="00A21342" w:rsidRPr="003A4656">
        <w:rPr>
          <w:sz w:val="22"/>
          <w:szCs w:val="22"/>
          <w:lang w:val="en-GB"/>
        </w:rPr>
        <w:t xml:space="preserve"> inherited, primaril</w:t>
      </w:r>
      <w:r w:rsidR="003A4656">
        <w:rPr>
          <w:sz w:val="22"/>
          <w:szCs w:val="22"/>
          <w:lang w:val="en-GB"/>
        </w:rPr>
        <w:t xml:space="preserve">y dominant, mutations in cancer </w:t>
      </w:r>
      <w:r w:rsidR="00A21342" w:rsidRPr="003A4656">
        <w:rPr>
          <w:sz w:val="22"/>
          <w:szCs w:val="22"/>
          <w:lang w:val="en-GB"/>
        </w:rPr>
        <w:t>predisposing genes, including tumo</w:t>
      </w:r>
      <w:r w:rsidR="00F15F64" w:rsidRPr="003A4656">
        <w:rPr>
          <w:sz w:val="22"/>
          <w:szCs w:val="22"/>
          <w:lang w:val="en-GB"/>
        </w:rPr>
        <w:t>u</w:t>
      </w:r>
      <w:r w:rsidR="00A21342" w:rsidRPr="003A4656">
        <w:rPr>
          <w:sz w:val="22"/>
          <w:szCs w:val="22"/>
          <w:lang w:val="en-GB"/>
        </w:rPr>
        <w:t>r suppressor</w:t>
      </w:r>
      <w:r w:rsidRPr="003A4656">
        <w:rPr>
          <w:sz w:val="22"/>
          <w:szCs w:val="22"/>
          <w:lang w:val="en-GB"/>
        </w:rPr>
        <w:t xml:space="preserve"> genes</w:t>
      </w:r>
      <w:r w:rsidR="00A21342" w:rsidRPr="003A4656">
        <w:rPr>
          <w:sz w:val="22"/>
          <w:szCs w:val="22"/>
          <w:lang w:val="en-GB"/>
        </w:rPr>
        <w:t>, DNA mismatch repair</w:t>
      </w:r>
      <w:r w:rsidRPr="003A4656">
        <w:rPr>
          <w:sz w:val="22"/>
          <w:szCs w:val="22"/>
          <w:lang w:val="en-GB"/>
        </w:rPr>
        <w:t xml:space="preserve"> genes</w:t>
      </w:r>
      <w:r w:rsidR="00A21342" w:rsidRPr="003A4656">
        <w:rPr>
          <w:sz w:val="22"/>
          <w:szCs w:val="22"/>
          <w:lang w:val="en-GB"/>
        </w:rPr>
        <w:t xml:space="preserve">, and oncogenes. The cancers are characterized by early age of onset, multifocal or bilateral </w:t>
      </w:r>
      <w:r w:rsidRPr="003A4656">
        <w:rPr>
          <w:sz w:val="22"/>
          <w:szCs w:val="22"/>
          <w:lang w:val="en-GB"/>
        </w:rPr>
        <w:t>occurrence</w:t>
      </w:r>
      <w:r w:rsidR="00A21342" w:rsidRPr="003A4656">
        <w:rPr>
          <w:sz w:val="22"/>
          <w:szCs w:val="22"/>
          <w:lang w:val="en-GB"/>
        </w:rPr>
        <w:t xml:space="preserve">, </w:t>
      </w:r>
      <w:r w:rsidRPr="003A4656">
        <w:rPr>
          <w:sz w:val="22"/>
          <w:szCs w:val="22"/>
          <w:lang w:val="en-GB"/>
        </w:rPr>
        <w:t xml:space="preserve">and the associated </w:t>
      </w:r>
      <w:r w:rsidR="00A21342" w:rsidRPr="003A4656">
        <w:rPr>
          <w:sz w:val="22"/>
          <w:szCs w:val="22"/>
          <w:lang w:val="en-GB"/>
        </w:rPr>
        <w:t xml:space="preserve">lifetime risks </w:t>
      </w:r>
      <w:r w:rsidRPr="003A4656">
        <w:rPr>
          <w:sz w:val="22"/>
          <w:szCs w:val="22"/>
          <w:lang w:val="en-GB"/>
        </w:rPr>
        <w:t xml:space="preserve">are </w:t>
      </w:r>
      <w:r w:rsidR="00A21342" w:rsidRPr="003A4656">
        <w:rPr>
          <w:sz w:val="22"/>
          <w:szCs w:val="22"/>
          <w:lang w:val="en-GB"/>
        </w:rPr>
        <w:t xml:space="preserve">typically 5-fold to 10-fold </w:t>
      </w:r>
      <w:r w:rsidRPr="003A4656">
        <w:rPr>
          <w:sz w:val="22"/>
          <w:szCs w:val="22"/>
          <w:lang w:val="en-GB"/>
        </w:rPr>
        <w:t xml:space="preserve">higher </w:t>
      </w:r>
      <w:r w:rsidR="003A4656">
        <w:rPr>
          <w:sz w:val="22"/>
          <w:szCs w:val="22"/>
          <w:lang w:val="en-GB"/>
        </w:rPr>
        <w:t xml:space="preserve">than </w:t>
      </w:r>
      <w:r w:rsidR="00A21342" w:rsidRPr="003A4656">
        <w:rPr>
          <w:sz w:val="22"/>
          <w:szCs w:val="22"/>
          <w:lang w:val="en-GB"/>
        </w:rPr>
        <w:t>that of the general population (Antoniou A et al., 200</w:t>
      </w:r>
      <w:r w:rsidR="0087281F" w:rsidRPr="003A4656">
        <w:rPr>
          <w:sz w:val="22"/>
          <w:szCs w:val="22"/>
          <w:lang w:val="en-GB"/>
        </w:rPr>
        <w:t>8</w:t>
      </w:r>
      <w:r w:rsidR="00A21342" w:rsidRPr="003A4656">
        <w:rPr>
          <w:sz w:val="22"/>
          <w:szCs w:val="22"/>
          <w:lang w:val="en-GB"/>
        </w:rPr>
        <w:t>).</w:t>
      </w:r>
    </w:p>
    <w:p w:rsidR="00A21342" w:rsidRPr="003A4656" w:rsidRDefault="009A734D" w:rsidP="0005572B">
      <w:pPr>
        <w:pStyle w:val="Paragrafoelenco1"/>
        <w:ind w:left="0" w:right="0"/>
        <w:jc w:val="both"/>
        <w:rPr>
          <w:rFonts w:ascii="Times New Roman" w:hAnsi="Times New Roman"/>
          <w:lang w:val="en-GB"/>
        </w:rPr>
      </w:pPr>
      <w:r w:rsidRPr="003A4656">
        <w:rPr>
          <w:rFonts w:ascii="Times New Roman" w:hAnsi="Times New Roman"/>
          <w:lang w:val="en-GB"/>
        </w:rPr>
        <w:t>H</w:t>
      </w:r>
      <w:r w:rsidR="00A21342" w:rsidRPr="003A4656">
        <w:rPr>
          <w:rFonts w:ascii="Times New Roman" w:hAnsi="Times New Roman"/>
          <w:lang w:val="en-GB"/>
        </w:rPr>
        <w:t xml:space="preserve">ereditary retinoblastoma has been the paradigmatic syndrome for </w:t>
      </w:r>
      <w:r w:rsidRPr="003A4656">
        <w:rPr>
          <w:rFonts w:ascii="Times New Roman" w:hAnsi="Times New Roman"/>
          <w:lang w:val="en-GB"/>
        </w:rPr>
        <w:t xml:space="preserve">the definition of the molecular mechanisms underlying </w:t>
      </w:r>
      <w:r w:rsidR="00A21342" w:rsidRPr="003A4656">
        <w:rPr>
          <w:rFonts w:ascii="Times New Roman" w:hAnsi="Times New Roman"/>
          <w:lang w:val="en-GB"/>
        </w:rPr>
        <w:t xml:space="preserve">hereditary cancer susceptibility. </w:t>
      </w:r>
      <w:r w:rsidRPr="003A4656">
        <w:rPr>
          <w:rFonts w:ascii="Times New Roman" w:hAnsi="Times New Roman"/>
          <w:lang w:val="en-GB"/>
        </w:rPr>
        <w:t>Indeed, based on the observation of an earlier age of onset in her</w:t>
      </w:r>
      <w:r w:rsidR="003A4656">
        <w:rPr>
          <w:rFonts w:ascii="Times New Roman" w:hAnsi="Times New Roman"/>
          <w:lang w:val="en-GB"/>
        </w:rPr>
        <w:t>editary</w:t>
      </w:r>
      <w:r w:rsidRPr="003A4656">
        <w:rPr>
          <w:rFonts w:ascii="Times New Roman" w:hAnsi="Times New Roman"/>
          <w:lang w:val="en-GB"/>
        </w:rPr>
        <w:t xml:space="preserve"> compared to sporadic retinoblastomas, Knudson derived the “two-hit” model of tumorigenesis (Knudson A.G., 1996). </w:t>
      </w:r>
      <w:r w:rsidR="00A21342" w:rsidRPr="003A4656">
        <w:rPr>
          <w:rFonts w:ascii="Times New Roman" w:hAnsi="Times New Roman"/>
          <w:lang w:val="en-GB"/>
        </w:rPr>
        <w:t xml:space="preserve">The </w:t>
      </w:r>
      <w:r w:rsidRPr="003A4656">
        <w:rPr>
          <w:rFonts w:ascii="Times New Roman" w:hAnsi="Times New Roman"/>
          <w:lang w:val="en-GB"/>
        </w:rPr>
        <w:t xml:space="preserve">retinoblastioma associated </w:t>
      </w:r>
      <w:r w:rsidR="00A21342" w:rsidRPr="003A4656">
        <w:rPr>
          <w:rFonts w:ascii="Times New Roman" w:hAnsi="Times New Roman"/>
          <w:lang w:val="en-GB"/>
        </w:rPr>
        <w:t xml:space="preserve">gene </w:t>
      </w:r>
      <w:r w:rsidRPr="003A4656">
        <w:rPr>
          <w:rFonts w:ascii="Times New Roman" w:hAnsi="Times New Roman"/>
          <w:lang w:val="en-GB"/>
        </w:rPr>
        <w:t>(</w:t>
      </w:r>
      <w:r w:rsidRPr="003A4656">
        <w:rPr>
          <w:rFonts w:ascii="Times New Roman" w:hAnsi="Times New Roman"/>
          <w:i/>
          <w:iCs/>
          <w:lang w:val="en-GB"/>
        </w:rPr>
        <w:t>RB1</w:t>
      </w:r>
      <w:r w:rsidRPr="003A4656">
        <w:rPr>
          <w:rFonts w:ascii="Times New Roman" w:hAnsi="Times New Roman"/>
          <w:iCs/>
          <w:lang w:val="en-GB"/>
        </w:rPr>
        <w:t>)</w:t>
      </w:r>
      <w:r w:rsidRPr="003A4656">
        <w:rPr>
          <w:rFonts w:ascii="Times New Roman" w:hAnsi="Times New Roman"/>
          <w:i/>
          <w:iCs/>
          <w:lang w:val="en-GB"/>
        </w:rPr>
        <w:t xml:space="preserve"> </w:t>
      </w:r>
      <w:r w:rsidR="00A21342" w:rsidRPr="003A4656">
        <w:rPr>
          <w:rFonts w:ascii="Times New Roman" w:hAnsi="Times New Roman"/>
          <w:lang w:val="en-GB"/>
        </w:rPr>
        <w:t xml:space="preserve">was the first cancer susceptibility gene </w:t>
      </w:r>
      <w:r w:rsidRPr="003A4656">
        <w:rPr>
          <w:rFonts w:ascii="Times New Roman" w:hAnsi="Times New Roman"/>
          <w:lang w:val="en-GB"/>
        </w:rPr>
        <w:t xml:space="preserve">to be </w:t>
      </w:r>
      <w:r w:rsidR="00A21342" w:rsidRPr="003A4656">
        <w:rPr>
          <w:rFonts w:ascii="Times New Roman" w:hAnsi="Times New Roman"/>
          <w:lang w:val="en-GB"/>
        </w:rPr>
        <w:t>cloned (</w:t>
      </w:r>
      <w:r w:rsidR="00A21342" w:rsidRPr="003A4656">
        <w:rPr>
          <w:rFonts w:ascii="Times New Roman" w:eastAsia="TimesNewRomanPS" w:hAnsi="Times New Roman"/>
          <w:lang w:val="en-GB"/>
        </w:rPr>
        <w:t>Friend S</w:t>
      </w:r>
      <w:r w:rsidR="008C3528" w:rsidRPr="003A4656">
        <w:rPr>
          <w:rFonts w:ascii="Times New Roman" w:eastAsia="TimesNewRomanPS" w:hAnsi="Times New Roman"/>
          <w:lang w:val="en-GB"/>
        </w:rPr>
        <w:t>.</w:t>
      </w:r>
      <w:r w:rsidR="00A21342" w:rsidRPr="003A4656">
        <w:rPr>
          <w:rFonts w:ascii="Times New Roman" w:eastAsia="TimesNewRomanPS" w:hAnsi="Times New Roman"/>
          <w:lang w:val="en-GB"/>
        </w:rPr>
        <w:t>H</w:t>
      </w:r>
      <w:r w:rsidR="008C3528" w:rsidRPr="003A4656">
        <w:rPr>
          <w:rFonts w:ascii="Times New Roman" w:eastAsia="TimesNewRomanPS" w:hAnsi="Times New Roman"/>
          <w:lang w:val="en-GB"/>
        </w:rPr>
        <w:t>.</w:t>
      </w:r>
      <w:r w:rsidR="00A21342" w:rsidRPr="003A4656">
        <w:rPr>
          <w:rFonts w:ascii="Times New Roman" w:eastAsia="TimesNewRomanPS" w:hAnsi="Times New Roman"/>
          <w:lang w:val="en-GB"/>
        </w:rPr>
        <w:t xml:space="preserve"> et al., 1986</w:t>
      </w:r>
      <w:r w:rsidRPr="003A4656">
        <w:rPr>
          <w:rFonts w:ascii="Times New Roman" w:hAnsi="Times New Roman"/>
          <w:lang w:val="en-GB"/>
        </w:rPr>
        <w:t xml:space="preserve">). </w:t>
      </w:r>
      <w:r w:rsidR="00A21342" w:rsidRPr="003A4656">
        <w:rPr>
          <w:rFonts w:ascii="Times New Roman" w:hAnsi="Times New Roman"/>
          <w:lang w:val="en-GB"/>
        </w:rPr>
        <w:t>Although it is the most common primary malignant tumo</w:t>
      </w:r>
      <w:r w:rsidR="00F15F64" w:rsidRPr="003A4656">
        <w:rPr>
          <w:rFonts w:ascii="Times New Roman" w:hAnsi="Times New Roman"/>
          <w:lang w:val="en-GB"/>
        </w:rPr>
        <w:t>u</w:t>
      </w:r>
      <w:r w:rsidR="00A21342" w:rsidRPr="003A4656">
        <w:rPr>
          <w:rFonts w:ascii="Times New Roman" w:hAnsi="Times New Roman"/>
          <w:lang w:val="en-GB"/>
        </w:rPr>
        <w:t xml:space="preserve">r of the eye in children, retinoblastoma accounts for only 1% of </w:t>
      </w:r>
      <w:r w:rsidRPr="003A4656">
        <w:rPr>
          <w:rFonts w:ascii="Times New Roman" w:hAnsi="Times New Roman"/>
          <w:lang w:val="en-GB"/>
        </w:rPr>
        <w:t xml:space="preserve">all </w:t>
      </w:r>
      <w:r w:rsidR="00A21342" w:rsidRPr="003A4656">
        <w:rPr>
          <w:rFonts w:ascii="Times New Roman" w:hAnsi="Times New Roman"/>
          <w:lang w:val="en-GB"/>
        </w:rPr>
        <w:t>pediatric malignancies. There are about 200 cases diagnosed</w:t>
      </w:r>
      <w:r w:rsidRPr="003A4656">
        <w:rPr>
          <w:rFonts w:ascii="Times New Roman" w:hAnsi="Times New Roman"/>
          <w:lang w:val="en-GB"/>
        </w:rPr>
        <w:t xml:space="preserve"> each year in the United States. O</w:t>
      </w:r>
      <w:r w:rsidR="00A21342" w:rsidRPr="003A4656">
        <w:rPr>
          <w:rFonts w:ascii="Times New Roman" w:hAnsi="Times New Roman"/>
          <w:lang w:val="en-GB"/>
        </w:rPr>
        <w:t xml:space="preserve">f these, fewer than 100 </w:t>
      </w:r>
      <w:r w:rsidRPr="003A4656">
        <w:rPr>
          <w:rFonts w:ascii="Times New Roman" w:hAnsi="Times New Roman"/>
          <w:lang w:val="en-GB"/>
        </w:rPr>
        <w:t>are</w:t>
      </w:r>
      <w:r w:rsidR="00A21342" w:rsidRPr="003A4656">
        <w:rPr>
          <w:rFonts w:ascii="Times New Roman" w:hAnsi="Times New Roman"/>
          <w:lang w:val="en-GB"/>
        </w:rPr>
        <w:t xml:space="preserve"> linked t</w:t>
      </w:r>
      <w:r w:rsidR="0011669D" w:rsidRPr="003A4656">
        <w:rPr>
          <w:rFonts w:ascii="Times New Roman" w:hAnsi="Times New Roman"/>
          <w:lang w:val="en-GB"/>
        </w:rPr>
        <w:t>o hereditary factors (</w:t>
      </w:r>
      <w:r w:rsidR="00A21342" w:rsidRPr="003A4656">
        <w:rPr>
          <w:rFonts w:ascii="Times New Roman" w:hAnsi="Times New Roman"/>
          <w:lang w:val="en-GB"/>
        </w:rPr>
        <w:t>Garber</w:t>
      </w:r>
      <w:r w:rsidR="0011669D" w:rsidRPr="003A4656">
        <w:rPr>
          <w:rFonts w:ascii="Times New Roman" w:hAnsi="Times New Roman"/>
          <w:lang w:val="en-GB"/>
        </w:rPr>
        <w:t xml:space="preserve"> J.E.</w:t>
      </w:r>
      <w:r w:rsidR="00A21342" w:rsidRPr="003A4656">
        <w:rPr>
          <w:rFonts w:ascii="Times New Roman" w:hAnsi="Times New Roman"/>
          <w:lang w:val="en-GB"/>
        </w:rPr>
        <w:t xml:space="preserve"> and Offit</w:t>
      </w:r>
      <w:r w:rsidR="0011669D" w:rsidRPr="003A4656">
        <w:rPr>
          <w:rFonts w:ascii="Times New Roman" w:hAnsi="Times New Roman"/>
          <w:lang w:val="en-GB"/>
        </w:rPr>
        <w:t xml:space="preserve"> K.</w:t>
      </w:r>
      <w:r w:rsidR="00A21342" w:rsidRPr="003A4656">
        <w:rPr>
          <w:rFonts w:ascii="Times New Roman" w:hAnsi="Times New Roman"/>
          <w:lang w:val="en-GB"/>
        </w:rPr>
        <w:t>, 2005)</w:t>
      </w:r>
      <w:r w:rsidR="0011669D" w:rsidRPr="003A4656">
        <w:rPr>
          <w:rFonts w:ascii="Times New Roman" w:hAnsi="Times New Roman"/>
          <w:lang w:val="en-GB"/>
        </w:rPr>
        <w:t>.</w:t>
      </w:r>
    </w:p>
    <w:p w:rsidR="00A21342" w:rsidRPr="003A4656" w:rsidRDefault="00A21342" w:rsidP="0005572B">
      <w:pPr>
        <w:pStyle w:val="Paragrafoelenco1"/>
        <w:ind w:left="0" w:right="0"/>
        <w:jc w:val="both"/>
        <w:rPr>
          <w:rFonts w:ascii="Times New Roman" w:hAnsi="Times New Roman"/>
          <w:lang w:val="en-GB"/>
        </w:rPr>
      </w:pPr>
      <w:r w:rsidRPr="003A4656">
        <w:rPr>
          <w:rFonts w:ascii="Times New Roman" w:hAnsi="Times New Roman"/>
          <w:lang w:val="en-GB"/>
        </w:rPr>
        <w:t>The Hereditary NonPolyposis Colorectal Cancer (HNPCC) or Lynch syndrome is a constellation of colon and endometrial cancers (</w:t>
      </w:r>
      <w:r w:rsidRPr="003A4656">
        <w:rPr>
          <w:rFonts w:ascii="Times New Roman" w:eastAsia="TimesNewRomanPS" w:hAnsi="Times New Roman"/>
          <w:lang w:val="en-GB"/>
        </w:rPr>
        <w:t>Lynch H</w:t>
      </w:r>
      <w:r w:rsidR="0011669D" w:rsidRPr="003A4656">
        <w:rPr>
          <w:rFonts w:ascii="Times New Roman" w:eastAsia="TimesNewRomanPS" w:hAnsi="Times New Roman"/>
          <w:lang w:val="en-GB"/>
        </w:rPr>
        <w:t>.</w:t>
      </w:r>
      <w:r w:rsidRPr="003A4656">
        <w:rPr>
          <w:rFonts w:ascii="Times New Roman" w:eastAsia="TimesNewRomanPS" w:hAnsi="Times New Roman"/>
          <w:lang w:val="en-GB"/>
        </w:rPr>
        <w:t>T</w:t>
      </w:r>
      <w:r w:rsidR="0011669D" w:rsidRPr="003A4656">
        <w:rPr>
          <w:rFonts w:ascii="Times New Roman" w:eastAsia="TimesNewRomanPS" w:hAnsi="Times New Roman"/>
          <w:lang w:val="en-GB"/>
        </w:rPr>
        <w:t>.</w:t>
      </w:r>
      <w:r w:rsidRPr="003A4656">
        <w:rPr>
          <w:rFonts w:ascii="Times New Roman" w:eastAsia="TimesNewRomanPS" w:hAnsi="Times New Roman"/>
          <w:lang w:val="en-GB"/>
        </w:rPr>
        <w:t xml:space="preserve"> and de la Chappelle A</w:t>
      </w:r>
      <w:r w:rsidR="0011669D" w:rsidRPr="003A4656">
        <w:rPr>
          <w:rFonts w:ascii="Times New Roman" w:eastAsia="TimesNewRomanPS" w:hAnsi="Times New Roman"/>
          <w:lang w:val="en-GB"/>
        </w:rPr>
        <w:t>.</w:t>
      </w:r>
      <w:r w:rsidRPr="003A4656">
        <w:rPr>
          <w:rFonts w:ascii="Times New Roman" w:eastAsia="TimesNewRomanPS" w:hAnsi="Times New Roman"/>
          <w:lang w:val="en-GB"/>
        </w:rPr>
        <w:t>, 2003</w:t>
      </w:r>
      <w:r w:rsidRPr="003A4656">
        <w:rPr>
          <w:rFonts w:ascii="Times New Roman" w:hAnsi="Times New Roman"/>
          <w:lang w:val="en-GB"/>
        </w:rPr>
        <w:t xml:space="preserve">). About 45% to 70% of HNPCC families are associated with germline mutations in one of </w:t>
      </w:r>
      <w:r w:rsidR="009A734D" w:rsidRPr="003A4656">
        <w:rPr>
          <w:rFonts w:ascii="Times New Roman" w:hAnsi="Times New Roman"/>
          <w:lang w:val="en-GB"/>
        </w:rPr>
        <w:t>four</w:t>
      </w:r>
      <w:r w:rsidRPr="003A4656">
        <w:rPr>
          <w:rFonts w:ascii="Times New Roman" w:hAnsi="Times New Roman"/>
          <w:lang w:val="en-GB"/>
        </w:rPr>
        <w:t xml:space="preserve"> known genes: </w:t>
      </w:r>
      <w:r w:rsidRPr="003A4656">
        <w:rPr>
          <w:rFonts w:ascii="Times New Roman" w:hAnsi="Times New Roman"/>
          <w:i/>
          <w:lang w:val="en-GB"/>
        </w:rPr>
        <w:t>MSH2</w:t>
      </w:r>
      <w:r w:rsidRPr="003A4656">
        <w:rPr>
          <w:rFonts w:ascii="Times New Roman" w:hAnsi="Times New Roman"/>
          <w:lang w:val="en-GB"/>
        </w:rPr>
        <w:t xml:space="preserve">, </w:t>
      </w:r>
      <w:r w:rsidRPr="003A4656">
        <w:rPr>
          <w:rFonts w:ascii="Times New Roman" w:hAnsi="Times New Roman"/>
          <w:i/>
          <w:lang w:val="en-GB"/>
        </w:rPr>
        <w:t>MLH1</w:t>
      </w:r>
      <w:r w:rsidRPr="003A4656">
        <w:rPr>
          <w:rFonts w:ascii="Times New Roman" w:hAnsi="Times New Roman"/>
          <w:lang w:val="en-GB"/>
        </w:rPr>
        <w:t xml:space="preserve">, </w:t>
      </w:r>
      <w:r w:rsidRPr="003A4656">
        <w:rPr>
          <w:rFonts w:ascii="Times New Roman" w:hAnsi="Times New Roman"/>
          <w:i/>
          <w:lang w:val="en-GB"/>
        </w:rPr>
        <w:t xml:space="preserve">MSH6 </w:t>
      </w:r>
      <w:r w:rsidR="009A734D" w:rsidRPr="003A4656">
        <w:rPr>
          <w:rFonts w:ascii="Times New Roman" w:hAnsi="Times New Roman"/>
          <w:lang w:val="en-GB"/>
        </w:rPr>
        <w:t>and</w:t>
      </w:r>
      <w:r w:rsidR="009A734D" w:rsidRPr="003A4656">
        <w:rPr>
          <w:rFonts w:ascii="Times New Roman" w:hAnsi="Times New Roman"/>
          <w:i/>
          <w:lang w:val="en-GB"/>
        </w:rPr>
        <w:t xml:space="preserve"> PMS2 </w:t>
      </w:r>
      <w:r w:rsidRPr="003A4656">
        <w:rPr>
          <w:rFonts w:ascii="Times New Roman" w:hAnsi="Times New Roman"/>
          <w:lang w:val="en-GB"/>
        </w:rPr>
        <w:t>(</w:t>
      </w:r>
      <w:r w:rsidRPr="003A4656">
        <w:rPr>
          <w:rFonts w:ascii="Times New Roman" w:eastAsia="TimesNewRomanPS" w:hAnsi="Times New Roman"/>
          <w:lang w:val="en-GB"/>
        </w:rPr>
        <w:t xml:space="preserve">Liu </w:t>
      </w:r>
      <w:r w:rsidR="008C3528" w:rsidRPr="003A4656">
        <w:rPr>
          <w:rFonts w:ascii="Times New Roman" w:eastAsia="TimesNewRomanPS" w:hAnsi="Times New Roman"/>
          <w:lang w:val="en-GB"/>
        </w:rPr>
        <w:t>B</w:t>
      </w:r>
      <w:r w:rsidRPr="003A4656">
        <w:rPr>
          <w:rFonts w:ascii="Times New Roman" w:eastAsia="TimesNewRomanPS" w:hAnsi="Times New Roman"/>
          <w:lang w:val="en-GB"/>
        </w:rPr>
        <w:t>. et al., 1996</w:t>
      </w:r>
      <w:r w:rsidRPr="003A4656">
        <w:rPr>
          <w:rFonts w:ascii="Times New Roman" w:hAnsi="Times New Roman"/>
          <w:lang w:val="en-GB"/>
        </w:rPr>
        <w:t>)</w:t>
      </w:r>
      <w:r w:rsidRPr="003A4656">
        <w:rPr>
          <w:rFonts w:ascii="Times New Roman" w:hAnsi="Times New Roman"/>
          <w:i/>
          <w:lang w:val="en-GB"/>
        </w:rPr>
        <w:t xml:space="preserve">. </w:t>
      </w:r>
    </w:p>
    <w:p w:rsidR="009A734D" w:rsidRPr="003A4656" w:rsidRDefault="009A734D" w:rsidP="0005572B">
      <w:pPr>
        <w:pStyle w:val="Paragrafoelenco1"/>
        <w:ind w:left="0" w:right="0"/>
        <w:jc w:val="both"/>
        <w:rPr>
          <w:rFonts w:ascii="Times New Roman" w:hAnsi="Times New Roman"/>
          <w:lang w:val="en-GB"/>
        </w:rPr>
      </w:pPr>
      <w:r w:rsidRPr="003A4656">
        <w:rPr>
          <w:rFonts w:ascii="Times New Roman" w:hAnsi="Times New Roman"/>
          <w:lang w:val="en-GB"/>
        </w:rPr>
        <w:t>Familial Adenomatous Polyposis (</w:t>
      </w:r>
      <w:r w:rsidR="00A21342" w:rsidRPr="003A4656">
        <w:rPr>
          <w:rFonts w:ascii="Times New Roman" w:hAnsi="Times New Roman"/>
          <w:lang w:val="en-GB"/>
        </w:rPr>
        <w:t>FAP</w:t>
      </w:r>
      <w:r w:rsidRPr="003A4656">
        <w:rPr>
          <w:rFonts w:ascii="Times New Roman" w:hAnsi="Times New Roman"/>
          <w:lang w:val="en-GB"/>
        </w:rPr>
        <w:t>)</w:t>
      </w:r>
      <w:r w:rsidR="00A21342" w:rsidRPr="003A4656">
        <w:rPr>
          <w:rFonts w:ascii="Times New Roman" w:hAnsi="Times New Roman"/>
          <w:lang w:val="en-GB"/>
        </w:rPr>
        <w:t xml:space="preserve"> is one </w:t>
      </w:r>
      <w:r w:rsidRPr="003A4656">
        <w:rPr>
          <w:rFonts w:ascii="Times New Roman" w:hAnsi="Times New Roman"/>
          <w:lang w:val="en-GB"/>
        </w:rPr>
        <w:t>another type</w:t>
      </w:r>
      <w:r w:rsidR="00A21342" w:rsidRPr="003A4656">
        <w:rPr>
          <w:rFonts w:ascii="Times New Roman" w:hAnsi="Times New Roman"/>
          <w:lang w:val="en-GB"/>
        </w:rPr>
        <w:t xml:space="preserve"> of hereditary </w:t>
      </w:r>
      <w:r w:rsidRPr="003A4656">
        <w:rPr>
          <w:rFonts w:ascii="Times New Roman" w:hAnsi="Times New Roman"/>
          <w:lang w:val="en-GB"/>
        </w:rPr>
        <w:t>colorectal cancer (CRC)</w:t>
      </w:r>
      <w:r w:rsidR="00A21342" w:rsidRPr="003A4656">
        <w:rPr>
          <w:rFonts w:ascii="Times New Roman" w:hAnsi="Times New Roman"/>
          <w:lang w:val="en-GB"/>
        </w:rPr>
        <w:t xml:space="preserve">. </w:t>
      </w:r>
      <w:r w:rsidR="003A4656">
        <w:rPr>
          <w:rFonts w:ascii="Times New Roman" w:hAnsi="Times New Roman"/>
          <w:lang w:val="en-GB"/>
        </w:rPr>
        <w:t xml:space="preserve">Germline mutations in the tumor </w:t>
      </w:r>
      <w:r w:rsidR="00A21342" w:rsidRPr="003A4656">
        <w:rPr>
          <w:rFonts w:ascii="Times New Roman" w:hAnsi="Times New Roman"/>
          <w:lang w:val="en-GB"/>
        </w:rPr>
        <w:t xml:space="preserve">suppressor </w:t>
      </w:r>
      <w:r w:rsidR="00A21342" w:rsidRPr="003A4656">
        <w:rPr>
          <w:rFonts w:ascii="Times New Roman" w:hAnsi="Times New Roman"/>
          <w:i/>
          <w:lang w:val="en-GB"/>
        </w:rPr>
        <w:t>APC</w:t>
      </w:r>
      <w:r w:rsidR="00A21342" w:rsidRPr="003A4656">
        <w:rPr>
          <w:rFonts w:ascii="Times New Roman" w:hAnsi="Times New Roman"/>
          <w:lang w:val="en-GB"/>
        </w:rPr>
        <w:t xml:space="preserve"> gene are the genetic c</w:t>
      </w:r>
      <w:r w:rsidR="003A4656">
        <w:rPr>
          <w:rFonts w:ascii="Times New Roman" w:hAnsi="Times New Roman"/>
          <w:lang w:val="en-GB"/>
        </w:rPr>
        <w:t xml:space="preserve">ause of FAP syndrome. These FAP </w:t>
      </w:r>
      <w:r w:rsidR="00A21342" w:rsidRPr="003A4656">
        <w:rPr>
          <w:rFonts w:ascii="Times New Roman" w:hAnsi="Times New Roman"/>
          <w:lang w:val="en-GB"/>
        </w:rPr>
        <w:t>causing mutations result i</w:t>
      </w:r>
      <w:r w:rsidR="003A4656">
        <w:rPr>
          <w:rFonts w:ascii="Times New Roman" w:hAnsi="Times New Roman"/>
          <w:lang w:val="en-GB"/>
        </w:rPr>
        <w:t xml:space="preserve">n truncated and, therefore, non </w:t>
      </w:r>
      <w:r w:rsidR="00A21342" w:rsidRPr="003A4656">
        <w:rPr>
          <w:rFonts w:ascii="Times New Roman" w:hAnsi="Times New Roman"/>
          <w:lang w:val="en-GB"/>
        </w:rPr>
        <w:t>functional APC protein (Chen S. et al.;</w:t>
      </w:r>
      <w:r w:rsidR="005428EB" w:rsidRPr="003A4656">
        <w:rPr>
          <w:rFonts w:ascii="Times New Roman" w:hAnsi="Times New Roman"/>
          <w:lang w:val="en-GB"/>
        </w:rPr>
        <w:t xml:space="preserve"> </w:t>
      </w:r>
      <w:r w:rsidR="00A21342" w:rsidRPr="003A4656">
        <w:rPr>
          <w:rFonts w:ascii="Times New Roman" w:hAnsi="Times New Roman"/>
          <w:lang w:val="en-GB"/>
        </w:rPr>
        <w:t xml:space="preserve">2006). </w:t>
      </w:r>
      <w:r w:rsidR="00A21342" w:rsidRPr="003A4656">
        <w:rPr>
          <w:rFonts w:ascii="Times New Roman" w:hAnsi="Times New Roman"/>
          <w:i/>
          <w:lang w:val="en-GB"/>
        </w:rPr>
        <w:t>APC</w:t>
      </w:r>
      <w:r w:rsidR="00A21342" w:rsidRPr="003A4656">
        <w:rPr>
          <w:rFonts w:ascii="Times New Roman" w:hAnsi="Times New Roman"/>
          <w:lang w:val="en-GB"/>
        </w:rPr>
        <w:t xml:space="preserve"> mutations are inherited in an autosomal dominant manner and achieve almost 100% penetrance. The phenotypic hallmark of FAP is the development of hundreds to thousands adenomatous polyps in the colon and rectum</w:t>
      </w:r>
      <w:r w:rsidRPr="003A4656">
        <w:rPr>
          <w:rFonts w:ascii="Times New Roman" w:hAnsi="Times New Roman"/>
          <w:lang w:val="en-GB"/>
        </w:rPr>
        <w:t>, generally</w:t>
      </w:r>
      <w:r w:rsidR="00A21342" w:rsidRPr="003A4656">
        <w:rPr>
          <w:rFonts w:ascii="Times New Roman" w:hAnsi="Times New Roman"/>
          <w:lang w:val="en-GB"/>
        </w:rPr>
        <w:t xml:space="preserve"> diagnosed before the third decade of life.</w:t>
      </w:r>
      <w:r w:rsidR="005428EB" w:rsidRPr="003A4656">
        <w:rPr>
          <w:rFonts w:ascii="Times New Roman" w:hAnsi="Times New Roman"/>
          <w:lang w:val="en-GB"/>
        </w:rPr>
        <w:t xml:space="preserve"> </w:t>
      </w:r>
    </w:p>
    <w:p w:rsidR="00F15F64" w:rsidRPr="003A4656" w:rsidRDefault="00A21342"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The table below gives examples of some hereditary cancer syndromes, the types of associated </w:t>
      </w:r>
      <w:r w:rsidR="009A734D" w:rsidRPr="003A4656">
        <w:rPr>
          <w:rFonts w:ascii="Times New Roman" w:hAnsi="Times New Roman"/>
          <w:lang w:val="en-GB"/>
        </w:rPr>
        <w:t xml:space="preserve">cancers </w:t>
      </w:r>
      <w:r w:rsidRPr="003A4656">
        <w:rPr>
          <w:rFonts w:ascii="Times New Roman" w:hAnsi="Times New Roman"/>
          <w:lang w:val="en-GB"/>
        </w:rPr>
        <w:t xml:space="preserve">and the </w:t>
      </w:r>
      <w:r w:rsidR="00F41A22">
        <w:rPr>
          <w:rFonts w:ascii="Times New Roman" w:hAnsi="Times New Roman"/>
          <w:lang w:val="en-GB"/>
        </w:rPr>
        <w:t>inherent</w:t>
      </w:r>
      <w:r w:rsidR="00081BFB" w:rsidRPr="003A4656">
        <w:rPr>
          <w:rFonts w:ascii="Times New Roman" w:hAnsi="Times New Roman"/>
          <w:lang w:val="en-GB"/>
        </w:rPr>
        <w:t xml:space="preserve"> </w:t>
      </w:r>
      <w:r w:rsidR="005428EB" w:rsidRPr="003A4656">
        <w:rPr>
          <w:rFonts w:ascii="Times New Roman" w:hAnsi="Times New Roman"/>
          <w:lang w:val="en-GB"/>
        </w:rPr>
        <w:t xml:space="preserve">genes </w:t>
      </w:r>
      <w:r w:rsidR="00F15F64" w:rsidRPr="003A4656">
        <w:rPr>
          <w:rFonts w:ascii="Times New Roman" w:hAnsi="Times New Roman"/>
          <w:lang w:val="en-GB"/>
        </w:rPr>
        <w:t xml:space="preserve">(National Cancer Institute </w:t>
      </w:r>
      <w:hyperlink r:id="rId11" w:history="1">
        <w:r w:rsidR="00B835EB" w:rsidRPr="003A4656">
          <w:rPr>
            <w:rStyle w:val="Hyperlink"/>
            <w:rFonts w:ascii="Times New Roman" w:hAnsi="Times New Roman"/>
            <w:lang w:val="en-GB"/>
          </w:rPr>
          <w:t>http://www.cancer.gov/cancertopics/pdq/genetics/breast-and-ovarian</w:t>
        </w:r>
      </w:hyperlink>
      <w:r w:rsidRPr="003A4656">
        <w:rPr>
          <w:rFonts w:ascii="Times New Roman" w:hAnsi="Times New Roman"/>
          <w:lang w:val="en-GB"/>
        </w:rPr>
        <w:t>)</w:t>
      </w:r>
      <w:r w:rsidR="005428EB" w:rsidRPr="003A4656">
        <w:rPr>
          <w:rFonts w:ascii="Times New Roman" w:hAnsi="Times New Roman"/>
          <w:lang w:val="en-GB"/>
        </w:rPr>
        <w:t>.</w:t>
      </w:r>
    </w:p>
    <w:p w:rsidR="00F15F64" w:rsidRPr="003A4656" w:rsidRDefault="00F15F64" w:rsidP="0005572B">
      <w:pPr>
        <w:pStyle w:val="Paragrafoelenco1"/>
        <w:ind w:left="0" w:right="0"/>
        <w:jc w:val="both"/>
        <w:rPr>
          <w:rFonts w:ascii="Times New Roman" w:hAnsi="Times New Roman"/>
          <w:lang w:val="en-GB"/>
        </w:rPr>
      </w:pPr>
    </w:p>
    <w:p w:rsidR="00EF71D4" w:rsidRPr="003A4656" w:rsidRDefault="007E6586" w:rsidP="00101298">
      <w:pPr>
        <w:pStyle w:val="Paragrafoelenco1"/>
        <w:ind w:left="0" w:right="0"/>
        <w:jc w:val="center"/>
        <w:rPr>
          <w:rFonts w:ascii="Times New Roman" w:hAnsi="Times New Roman"/>
          <w:lang w:val="en-GB"/>
        </w:rPr>
      </w:pPr>
      <w:proofErr w:type="gramStart"/>
      <w:r w:rsidRPr="003A4656">
        <w:rPr>
          <w:rFonts w:ascii="Times New Roman" w:hAnsi="Times New Roman"/>
          <w:lang w:val="en-GB"/>
        </w:rPr>
        <w:t>Table 1.</w:t>
      </w:r>
      <w:proofErr w:type="gramEnd"/>
      <w:r w:rsidRPr="003A4656">
        <w:rPr>
          <w:rFonts w:ascii="Times New Roman" w:hAnsi="Times New Roman"/>
          <w:lang w:val="en-GB"/>
        </w:rPr>
        <w:t xml:space="preserve"> Hereditary cancer syndromes</w:t>
      </w:r>
    </w:p>
    <w:tbl>
      <w:tblPr>
        <w:tblStyle w:val="Sfondochiaro1"/>
        <w:tblW w:w="8136" w:type="dxa"/>
        <w:jc w:val="center"/>
        <w:tblInd w:w="738" w:type="dxa"/>
        <w:tblLook w:val="04A0"/>
      </w:tblPr>
      <w:tblGrid>
        <w:gridCol w:w="2832"/>
        <w:gridCol w:w="2780"/>
        <w:gridCol w:w="2524"/>
      </w:tblGrid>
      <w:tr w:rsidR="00A21342" w:rsidRPr="003A4656" w:rsidTr="00B835EB">
        <w:trPr>
          <w:cnfStyle w:val="100000000000"/>
          <w:trHeight w:val="420"/>
          <w:jc w:val="center"/>
        </w:trPr>
        <w:tc>
          <w:tcPr>
            <w:cnfStyle w:val="001000000000"/>
            <w:tcW w:w="2832" w:type="dxa"/>
          </w:tcPr>
          <w:p w:rsidR="00A21342" w:rsidRPr="003A4656" w:rsidRDefault="00A21342" w:rsidP="0005572B">
            <w:pPr>
              <w:pStyle w:val="Paragrafoelenco1"/>
              <w:ind w:left="0" w:right="0"/>
              <w:jc w:val="both"/>
              <w:rPr>
                <w:rFonts w:ascii="Times New Roman" w:hAnsi="Times New Roman"/>
                <w:sz w:val="20"/>
                <w:szCs w:val="20"/>
                <w:lang w:val="en-GB"/>
              </w:rPr>
            </w:pPr>
            <w:r w:rsidRPr="003A4656">
              <w:rPr>
                <w:rFonts w:ascii="Times New Roman" w:hAnsi="Times New Roman"/>
                <w:sz w:val="20"/>
                <w:szCs w:val="20"/>
                <w:lang w:val="en-GB"/>
              </w:rPr>
              <w:t>Syndrome</w:t>
            </w:r>
          </w:p>
        </w:tc>
        <w:tc>
          <w:tcPr>
            <w:tcW w:w="2780" w:type="dxa"/>
          </w:tcPr>
          <w:p w:rsidR="00A21342" w:rsidRPr="003A4656" w:rsidRDefault="00A21342" w:rsidP="0005572B">
            <w:pPr>
              <w:pStyle w:val="Paragrafoelenco1"/>
              <w:ind w:left="0" w:right="0"/>
              <w:jc w:val="both"/>
              <w:cnfStyle w:val="100000000000"/>
              <w:rPr>
                <w:rFonts w:ascii="Times New Roman" w:hAnsi="Times New Roman"/>
                <w:bCs w:val="0"/>
                <w:iCs/>
                <w:sz w:val="20"/>
                <w:szCs w:val="20"/>
                <w:lang w:val="en-GB"/>
              </w:rPr>
            </w:pPr>
            <w:r w:rsidRPr="003A4656">
              <w:rPr>
                <w:rFonts w:ascii="Times New Roman" w:hAnsi="Times New Roman"/>
                <w:sz w:val="20"/>
                <w:szCs w:val="20"/>
                <w:lang w:val="en-GB"/>
              </w:rPr>
              <w:t>Related cancer types</w:t>
            </w:r>
          </w:p>
        </w:tc>
        <w:tc>
          <w:tcPr>
            <w:tcW w:w="2524" w:type="dxa"/>
          </w:tcPr>
          <w:p w:rsidR="00A21342" w:rsidRPr="003A4656" w:rsidRDefault="00A21342" w:rsidP="0005572B">
            <w:pPr>
              <w:pStyle w:val="Paragrafoelenco1"/>
              <w:ind w:left="0" w:right="0"/>
              <w:jc w:val="both"/>
              <w:cnfStyle w:val="100000000000"/>
              <w:rPr>
                <w:rFonts w:ascii="Times New Roman" w:hAnsi="Times New Roman"/>
                <w:sz w:val="20"/>
                <w:szCs w:val="20"/>
                <w:lang w:val="en-GB"/>
              </w:rPr>
            </w:pPr>
            <w:r w:rsidRPr="003A4656">
              <w:rPr>
                <w:rFonts w:ascii="Times New Roman" w:hAnsi="Times New Roman"/>
                <w:sz w:val="20"/>
                <w:szCs w:val="20"/>
                <w:lang w:val="en-GB"/>
              </w:rPr>
              <w:t>Gene</w:t>
            </w:r>
          </w:p>
        </w:tc>
      </w:tr>
      <w:tr w:rsidR="00A21342" w:rsidRPr="003A4656" w:rsidTr="00B835EB">
        <w:trPr>
          <w:cnfStyle w:val="000000100000"/>
          <w:trHeight w:val="1490"/>
          <w:jc w:val="center"/>
        </w:trPr>
        <w:tc>
          <w:tcPr>
            <w:cnfStyle w:val="001000000000"/>
            <w:tcW w:w="2832" w:type="dxa"/>
          </w:tcPr>
          <w:p w:rsidR="00A21342" w:rsidRPr="003A4656" w:rsidRDefault="00785CBF" w:rsidP="0005572B">
            <w:pPr>
              <w:spacing w:line="276" w:lineRule="auto"/>
              <w:ind w:left="0" w:right="0"/>
              <w:rPr>
                <w:color w:val="auto"/>
              </w:rPr>
            </w:pPr>
            <w:hyperlink r:id="rId12" w:history="1">
              <w:r w:rsidR="00A21342" w:rsidRPr="003A4656">
                <w:rPr>
                  <w:color w:val="auto"/>
                </w:rPr>
                <w:t>Li-Fraumeni syndrome</w:t>
              </w:r>
            </w:hyperlink>
          </w:p>
          <w:p w:rsidR="00A21342" w:rsidRPr="003A4656" w:rsidRDefault="00A21342" w:rsidP="0005572B">
            <w:pPr>
              <w:pStyle w:val="Paragrafoelenco1"/>
              <w:ind w:left="0" w:right="0"/>
              <w:jc w:val="both"/>
              <w:rPr>
                <w:rFonts w:ascii="Times New Roman" w:hAnsi="Times New Roman"/>
                <w:sz w:val="18"/>
                <w:szCs w:val="18"/>
                <w:lang w:val="en-GB"/>
              </w:rPr>
            </w:pPr>
          </w:p>
        </w:tc>
        <w:tc>
          <w:tcPr>
            <w:tcW w:w="2780" w:type="dxa"/>
          </w:tcPr>
          <w:p w:rsidR="00A21342" w:rsidRPr="003A4656" w:rsidRDefault="00A21342" w:rsidP="0005572B">
            <w:pPr>
              <w:pStyle w:val="Paragrafoelenco1"/>
              <w:ind w:left="0" w:right="0"/>
              <w:jc w:val="both"/>
              <w:cnfStyle w:val="000000100000"/>
              <w:rPr>
                <w:rFonts w:ascii="Times New Roman" w:hAnsi="Times New Roman"/>
                <w:bCs/>
                <w:iCs/>
                <w:sz w:val="18"/>
                <w:szCs w:val="18"/>
                <w:lang w:val="en-GB"/>
              </w:rPr>
            </w:pPr>
            <w:r w:rsidRPr="003A4656">
              <w:rPr>
                <w:rFonts w:ascii="Times New Roman" w:hAnsi="Times New Roman"/>
                <w:sz w:val="18"/>
                <w:szCs w:val="18"/>
                <w:lang w:val="en-GB"/>
              </w:rPr>
              <w:t>Breast cancer, soft tissue sarcoma, osteosarcoma (bone cancer), leukemia, brain tumo</w:t>
            </w:r>
            <w:r w:rsidR="00F15F64" w:rsidRPr="003A4656">
              <w:rPr>
                <w:rFonts w:ascii="Times New Roman" w:hAnsi="Times New Roman"/>
                <w:sz w:val="18"/>
                <w:szCs w:val="18"/>
                <w:lang w:val="en-GB"/>
              </w:rPr>
              <w:t>u</w:t>
            </w:r>
            <w:r w:rsidRPr="003A4656">
              <w:rPr>
                <w:rFonts w:ascii="Times New Roman" w:hAnsi="Times New Roman"/>
                <w:sz w:val="18"/>
                <w:szCs w:val="18"/>
                <w:lang w:val="en-GB"/>
              </w:rPr>
              <w:t xml:space="preserve">rs, adrenocortical carcinoma (cancer of the </w:t>
            </w:r>
            <w:hyperlink r:id="rId13" w:history="1">
              <w:r w:rsidRPr="003A4656">
                <w:rPr>
                  <w:rFonts w:ascii="Times New Roman" w:hAnsi="Times New Roman"/>
                  <w:sz w:val="18"/>
                  <w:szCs w:val="18"/>
                  <w:lang w:val="en-GB"/>
                </w:rPr>
                <w:t>adrenal glands</w:t>
              </w:r>
            </w:hyperlink>
            <w:r w:rsidRPr="003A4656">
              <w:rPr>
                <w:rFonts w:ascii="Times New Roman" w:hAnsi="Times New Roman"/>
                <w:sz w:val="18"/>
                <w:szCs w:val="18"/>
                <w:lang w:val="en-GB"/>
              </w:rPr>
              <w:t>), and other cancers</w:t>
            </w:r>
          </w:p>
        </w:tc>
        <w:tc>
          <w:tcPr>
            <w:tcW w:w="2524" w:type="dxa"/>
          </w:tcPr>
          <w:p w:rsidR="00A21342" w:rsidRPr="003A4656" w:rsidRDefault="00A21342" w:rsidP="0005572B">
            <w:pPr>
              <w:pStyle w:val="Paragrafoelenco1"/>
              <w:ind w:left="0" w:right="0"/>
              <w:jc w:val="both"/>
              <w:cnfStyle w:val="000000100000"/>
              <w:rPr>
                <w:rFonts w:ascii="Times New Roman" w:hAnsi="Times New Roman"/>
                <w:bCs/>
                <w:i/>
                <w:sz w:val="18"/>
                <w:szCs w:val="18"/>
                <w:lang w:val="en-GB"/>
              </w:rPr>
            </w:pPr>
            <w:r w:rsidRPr="003A4656">
              <w:rPr>
                <w:rFonts w:ascii="Times New Roman" w:hAnsi="Times New Roman"/>
                <w:i/>
                <w:sz w:val="18"/>
                <w:szCs w:val="18"/>
                <w:lang w:val="en-GB"/>
              </w:rPr>
              <w:t>TP53</w:t>
            </w:r>
          </w:p>
        </w:tc>
      </w:tr>
      <w:tr w:rsidR="00A21342" w:rsidRPr="003A4656" w:rsidTr="00B835EB">
        <w:trPr>
          <w:trHeight w:val="853"/>
          <w:jc w:val="center"/>
        </w:trPr>
        <w:tc>
          <w:tcPr>
            <w:cnfStyle w:val="001000000000"/>
            <w:tcW w:w="2832" w:type="dxa"/>
          </w:tcPr>
          <w:p w:rsidR="00A21342" w:rsidRPr="003A4656" w:rsidRDefault="00785CBF" w:rsidP="0005572B">
            <w:pPr>
              <w:pStyle w:val="Paragrafoelenco1"/>
              <w:ind w:left="0" w:right="0"/>
              <w:jc w:val="both"/>
              <w:rPr>
                <w:rFonts w:ascii="Times New Roman" w:hAnsi="Times New Roman"/>
                <w:bCs w:val="0"/>
                <w:iCs/>
                <w:color w:val="auto"/>
                <w:sz w:val="18"/>
                <w:szCs w:val="18"/>
                <w:lang w:val="en-GB"/>
              </w:rPr>
            </w:pPr>
            <w:hyperlink r:id="rId14" w:history="1">
              <w:r w:rsidR="00A21342" w:rsidRPr="003A4656">
                <w:rPr>
                  <w:rFonts w:ascii="Times New Roman" w:eastAsia="Times New Roman" w:hAnsi="Times New Roman"/>
                  <w:color w:val="auto"/>
                  <w:sz w:val="18"/>
                  <w:szCs w:val="18"/>
                  <w:lang w:val="en-GB"/>
                </w:rPr>
                <w:t>Lynch syndrome</w:t>
              </w:r>
            </w:hyperlink>
          </w:p>
        </w:tc>
        <w:tc>
          <w:tcPr>
            <w:tcW w:w="2780" w:type="dxa"/>
          </w:tcPr>
          <w:p w:rsidR="00A21342" w:rsidRPr="003A4656" w:rsidRDefault="00A21342" w:rsidP="0005572B">
            <w:pPr>
              <w:spacing w:line="276" w:lineRule="auto"/>
              <w:ind w:left="0" w:right="0"/>
              <w:cnfStyle w:val="000000000000"/>
              <w:rPr>
                <w:bCs/>
                <w:iCs/>
                <w:color w:val="auto"/>
              </w:rPr>
            </w:pPr>
            <w:r w:rsidRPr="003A4656">
              <w:rPr>
                <w:color w:val="auto"/>
              </w:rPr>
              <w:t xml:space="preserve">Colorectal, endometrial, ovarian, </w:t>
            </w:r>
            <w:hyperlink r:id="rId15" w:history="1">
              <w:r w:rsidRPr="003A4656">
                <w:rPr>
                  <w:color w:val="auto"/>
                </w:rPr>
                <w:t>renal pelvis</w:t>
              </w:r>
            </w:hyperlink>
            <w:r w:rsidRPr="003A4656">
              <w:rPr>
                <w:color w:val="auto"/>
              </w:rPr>
              <w:t xml:space="preserve">, pancreatic, small intestine, liver and </w:t>
            </w:r>
            <w:hyperlink r:id="rId16" w:history="1">
              <w:r w:rsidRPr="003A4656">
                <w:rPr>
                  <w:color w:val="auto"/>
                </w:rPr>
                <w:t>biliary tract</w:t>
              </w:r>
            </w:hyperlink>
            <w:r w:rsidRPr="003A4656">
              <w:rPr>
                <w:color w:val="auto"/>
              </w:rPr>
              <w:t>, stomach, brain, and breast cancers</w:t>
            </w:r>
          </w:p>
        </w:tc>
        <w:tc>
          <w:tcPr>
            <w:tcW w:w="2524" w:type="dxa"/>
          </w:tcPr>
          <w:p w:rsidR="00A21342" w:rsidRPr="003A4656" w:rsidRDefault="00A21342" w:rsidP="0005572B">
            <w:pPr>
              <w:pStyle w:val="Paragrafoelenco1"/>
              <w:ind w:left="0" w:right="0"/>
              <w:jc w:val="both"/>
              <w:cnfStyle w:val="000000000000"/>
              <w:rPr>
                <w:rFonts w:ascii="Times New Roman" w:hAnsi="Times New Roman"/>
                <w:bCs/>
                <w:i/>
                <w:sz w:val="18"/>
                <w:szCs w:val="18"/>
                <w:lang w:val="en-GB"/>
              </w:rPr>
            </w:pPr>
            <w:r w:rsidRPr="003A4656">
              <w:rPr>
                <w:rFonts w:ascii="Times New Roman" w:hAnsi="Times New Roman"/>
                <w:i/>
                <w:sz w:val="18"/>
                <w:szCs w:val="18"/>
                <w:lang w:val="en-GB"/>
              </w:rPr>
              <w:t>MSH2, MLH1, MSH6, PMS2, EPCAM</w:t>
            </w:r>
          </w:p>
        </w:tc>
      </w:tr>
      <w:tr w:rsidR="00A21342" w:rsidRPr="003A4656" w:rsidTr="00B835EB">
        <w:trPr>
          <w:cnfStyle w:val="000000100000"/>
          <w:trHeight w:val="917"/>
          <w:jc w:val="center"/>
        </w:trPr>
        <w:tc>
          <w:tcPr>
            <w:cnfStyle w:val="001000000000"/>
            <w:tcW w:w="2832" w:type="dxa"/>
          </w:tcPr>
          <w:p w:rsidR="00A21342" w:rsidRPr="003A4656" w:rsidRDefault="00785CBF" w:rsidP="0005572B">
            <w:pPr>
              <w:spacing w:line="276" w:lineRule="auto"/>
              <w:ind w:left="0" w:right="0"/>
              <w:rPr>
                <w:color w:val="auto"/>
              </w:rPr>
            </w:pPr>
            <w:hyperlink r:id="rId17" w:history="1">
              <w:r w:rsidR="00A21342" w:rsidRPr="003A4656">
                <w:rPr>
                  <w:color w:val="auto"/>
                </w:rPr>
                <w:t>Familial adenomatous polyposis</w:t>
              </w:r>
            </w:hyperlink>
            <w:r w:rsidR="00A21342" w:rsidRPr="003A4656">
              <w:rPr>
                <w:color w:val="auto"/>
              </w:rPr>
              <w:t xml:space="preserve"> (FAP)</w:t>
            </w:r>
          </w:p>
          <w:p w:rsidR="00A21342" w:rsidRPr="003A4656" w:rsidRDefault="00A21342" w:rsidP="0005572B">
            <w:pPr>
              <w:pStyle w:val="Paragrafoelenco1"/>
              <w:ind w:left="0" w:right="0"/>
              <w:jc w:val="both"/>
              <w:rPr>
                <w:rFonts w:ascii="Times New Roman" w:hAnsi="Times New Roman"/>
                <w:sz w:val="18"/>
                <w:szCs w:val="18"/>
                <w:lang w:val="en-GB"/>
              </w:rPr>
            </w:pPr>
          </w:p>
        </w:tc>
        <w:tc>
          <w:tcPr>
            <w:tcW w:w="2780" w:type="dxa"/>
          </w:tcPr>
          <w:p w:rsidR="00A21342" w:rsidRPr="003A4656" w:rsidRDefault="00A21342" w:rsidP="0005572B">
            <w:pPr>
              <w:pStyle w:val="Paragrafoelenco1"/>
              <w:ind w:left="0" w:right="0"/>
              <w:jc w:val="both"/>
              <w:cnfStyle w:val="000000100000"/>
              <w:rPr>
                <w:rFonts w:ascii="Times New Roman" w:hAnsi="Times New Roman"/>
                <w:bCs/>
                <w:iCs/>
                <w:sz w:val="18"/>
                <w:szCs w:val="18"/>
                <w:lang w:val="en-GB"/>
              </w:rPr>
            </w:pPr>
            <w:r w:rsidRPr="003A4656">
              <w:rPr>
                <w:rFonts w:ascii="Times New Roman" w:hAnsi="Times New Roman"/>
                <w:sz w:val="18"/>
                <w:szCs w:val="18"/>
                <w:lang w:val="en-GB"/>
              </w:rPr>
              <w:t>Colorectal cancer, multiple non-malignant colon polyps, and both non-cancerous (benign) and cancerous tumo</w:t>
            </w:r>
            <w:r w:rsidR="00F15F64" w:rsidRPr="003A4656">
              <w:rPr>
                <w:rFonts w:ascii="Times New Roman" w:hAnsi="Times New Roman"/>
                <w:sz w:val="18"/>
                <w:szCs w:val="18"/>
                <w:lang w:val="en-GB"/>
              </w:rPr>
              <w:t>u</w:t>
            </w:r>
            <w:r w:rsidRPr="003A4656">
              <w:rPr>
                <w:rFonts w:ascii="Times New Roman" w:hAnsi="Times New Roman"/>
                <w:sz w:val="18"/>
                <w:szCs w:val="18"/>
                <w:lang w:val="en-GB"/>
              </w:rPr>
              <w:t>rs in the small intestine, brain, stomach, bone, skin, and other tissues</w:t>
            </w:r>
          </w:p>
        </w:tc>
        <w:tc>
          <w:tcPr>
            <w:tcW w:w="2524" w:type="dxa"/>
          </w:tcPr>
          <w:p w:rsidR="00A21342" w:rsidRPr="003A4656" w:rsidRDefault="00A21342" w:rsidP="0005572B">
            <w:pPr>
              <w:pStyle w:val="Paragrafoelenco1"/>
              <w:ind w:left="0" w:right="0"/>
              <w:jc w:val="both"/>
              <w:cnfStyle w:val="000000100000"/>
              <w:rPr>
                <w:rFonts w:ascii="Times New Roman" w:hAnsi="Times New Roman"/>
                <w:bCs/>
                <w:i/>
                <w:sz w:val="18"/>
                <w:szCs w:val="18"/>
                <w:lang w:val="en-GB"/>
              </w:rPr>
            </w:pPr>
            <w:r w:rsidRPr="003A4656">
              <w:rPr>
                <w:rFonts w:ascii="Times New Roman" w:hAnsi="Times New Roman"/>
                <w:i/>
                <w:sz w:val="18"/>
                <w:szCs w:val="18"/>
                <w:lang w:val="en-GB"/>
              </w:rPr>
              <w:t>APC</w:t>
            </w:r>
          </w:p>
        </w:tc>
      </w:tr>
      <w:tr w:rsidR="00A21342" w:rsidRPr="003A4656" w:rsidTr="00B835EB">
        <w:trPr>
          <w:trHeight w:val="993"/>
          <w:jc w:val="center"/>
        </w:trPr>
        <w:tc>
          <w:tcPr>
            <w:cnfStyle w:val="001000000000"/>
            <w:tcW w:w="2832" w:type="dxa"/>
          </w:tcPr>
          <w:p w:rsidR="00A21342" w:rsidRPr="003A4656" w:rsidRDefault="00785CBF" w:rsidP="0005572B">
            <w:pPr>
              <w:spacing w:line="276" w:lineRule="auto"/>
              <w:ind w:left="0" w:right="0"/>
              <w:rPr>
                <w:color w:val="auto"/>
              </w:rPr>
            </w:pPr>
            <w:hyperlink r:id="rId18" w:history="1">
              <w:r w:rsidR="00A21342" w:rsidRPr="003A4656">
                <w:rPr>
                  <w:color w:val="auto"/>
                </w:rPr>
                <w:t>Retinoblastoma</w:t>
              </w:r>
            </w:hyperlink>
          </w:p>
          <w:p w:rsidR="00A21342" w:rsidRPr="003A4656" w:rsidRDefault="00A21342" w:rsidP="0005572B">
            <w:pPr>
              <w:pStyle w:val="Paragrafoelenco1"/>
              <w:ind w:left="0" w:right="0"/>
              <w:jc w:val="both"/>
              <w:rPr>
                <w:rFonts w:ascii="Times New Roman" w:hAnsi="Times New Roman"/>
                <w:sz w:val="18"/>
                <w:szCs w:val="18"/>
                <w:lang w:val="en-GB"/>
              </w:rPr>
            </w:pPr>
          </w:p>
        </w:tc>
        <w:tc>
          <w:tcPr>
            <w:tcW w:w="2780" w:type="dxa"/>
          </w:tcPr>
          <w:p w:rsidR="00A21342" w:rsidRPr="003A4656" w:rsidRDefault="00A21342" w:rsidP="0005572B">
            <w:pPr>
              <w:pStyle w:val="Paragrafoelenco1"/>
              <w:ind w:left="0" w:right="0"/>
              <w:jc w:val="both"/>
              <w:cnfStyle w:val="000000000000"/>
              <w:rPr>
                <w:rFonts w:ascii="Times New Roman" w:hAnsi="Times New Roman"/>
                <w:bCs/>
                <w:iCs/>
                <w:color w:val="auto"/>
                <w:sz w:val="18"/>
                <w:szCs w:val="18"/>
                <w:lang w:val="en-GB"/>
              </w:rPr>
            </w:pPr>
            <w:r w:rsidRPr="003A4656">
              <w:rPr>
                <w:rFonts w:ascii="Times New Roman" w:eastAsia="Times New Roman" w:hAnsi="Times New Roman"/>
                <w:color w:val="auto"/>
                <w:sz w:val="18"/>
                <w:szCs w:val="18"/>
                <w:lang w:val="en-GB"/>
              </w:rPr>
              <w:t xml:space="preserve">Eye cancer (cancer of the </w:t>
            </w:r>
            <w:hyperlink r:id="rId19" w:history="1">
              <w:r w:rsidRPr="003A4656">
                <w:rPr>
                  <w:rFonts w:ascii="Times New Roman" w:eastAsia="Times New Roman" w:hAnsi="Times New Roman"/>
                  <w:color w:val="auto"/>
                  <w:sz w:val="18"/>
                  <w:szCs w:val="18"/>
                  <w:lang w:val="en-GB"/>
                </w:rPr>
                <w:t>retina</w:t>
              </w:r>
            </w:hyperlink>
            <w:r w:rsidRPr="003A4656">
              <w:rPr>
                <w:rFonts w:ascii="Times New Roman" w:eastAsia="Times New Roman" w:hAnsi="Times New Roman"/>
                <w:color w:val="auto"/>
                <w:sz w:val="18"/>
                <w:szCs w:val="18"/>
                <w:lang w:val="en-GB"/>
              </w:rPr>
              <w:t xml:space="preserve">), </w:t>
            </w:r>
            <w:hyperlink r:id="rId20" w:history="1">
              <w:r w:rsidRPr="003A4656">
                <w:rPr>
                  <w:rFonts w:ascii="Times New Roman" w:eastAsia="Times New Roman" w:hAnsi="Times New Roman"/>
                  <w:color w:val="auto"/>
                  <w:sz w:val="18"/>
                  <w:szCs w:val="18"/>
                  <w:lang w:val="en-GB"/>
                </w:rPr>
                <w:t>pinealoma</w:t>
              </w:r>
            </w:hyperlink>
            <w:r w:rsidRPr="003A4656">
              <w:rPr>
                <w:rFonts w:ascii="Times New Roman" w:eastAsia="Times New Roman" w:hAnsi="Times New Roman"/>
                <w:color w:val="auto"/>
                <w:sz w:val="18"/>
                <w:szCs w:val="18"/>
                <w:lang w:val="en-GB"/>
              </w:rPr>
              <w:t xml:space="preserve"> (cancer of the </w:t>
            </w:r>
            <w:hyperlink r:id="rId21" w:history="1">
              <w:r w:rsidRPr="003A4656">
                <w:rPr>
                  <w:rFonts w:ascii="Times New Roman" w:eastAsia="Times New Roman" w:hAnsi="Times New Roman"/>
                  <w:color w:val="auto"/>
                  <w:sz w:val="18"/>
                  <w:szCs w:val="18"/>
                  <w:lang w:val="en-GB"/>
                </w:rPr>
                <w:t>pineal gland</w:t>
              </w:r>
            </w:hyperlink>
            <w:r w:rsidRPr="003A4656">
              <w:rPr>
                <w:rFonts w:ascii="Times New Roman" w:eastAsia="Times New Roman" w:hAnsi="Times New Roman"/>
                <w:color w:val="auto"/>
                <w:sz w:val="18"/>
                <w:szCs w:val="18"/>
                <w:lang w:val="en-GB"/>
              </w:rPr>
              <w:t>), osteosarcoma, melanoma, and soft tissue sarcoma</w:t>
            </w:r>
          </w:p>
        </w:tc>
        <w:tc>
          <w:tcPr>
            <w:tcW w:w="2524" w:type="dxa"/>
          </w:tcPr>
          <w:p w:rsidR="00A21342" w:rsidRPr="003A4656" w:rsidRDefault="00A21342" w:rsidP="0005572B">
            <w:pPr>
              <w:pStyle w:val="Paragrafoelenco1"/>
              <w:ind w:left="0" w:right="0"/>
              <w:jc w:val="both"/>
              <w:cnfStyle w:val="000000000000"/>
              <w:rPr>
                <w:rFonts w:ascii="Times New Roman" w:hAnsi="Times New Roman"/>
                <w:bCs/>
                <w:i/>
                <w:sz w:val="18"/>
                <w:szCs w:val="18"/>
                <w:lang w:val="en-GB"/>
              </w:rPr>
            </w:pPr>
            <w:r w:rsidRPr="003A4656">
              <w:rPr>
                <w:rFonts w:ascii="Times New Roman" w:hAnsi="Times New Roman"/>
                <w:i/>
                <w:sz w:val="18"/>
                <w:szCs w:val="18"/>
                <w:lang w:val="en-GB"/>
              </w:rPr>
              <w:t>RB1</w:t>
            </w:r>
          </w:p>
        </w:tc>
      </w:tr>
      <w:tr w:rsidR="00A21342" w:rsidRPr="003A4656" w:rsidTr="00B835EB">
        <w:trPr>
          <w:cnfStyle w:val="000000100000"/>
          <w:trHeight w:val="879"/>
          <w:jc w:val="center"/>
        </w:trPr>
        <w:tc>
          <w:tcPr>
            <w:cnfStyle w:val="001000000000"/>
            <w:tcW w:w="2832" w:type="dxa"/>
          </w:tcPr>
          <w:p w:rsidR="00A21342" w:rsidRPr="003A4656" w:rsidRDefault="00785CBF" w:rsidP="0005572B">
            <w:pPr>
              <w:pStyle w:val="Paragrafoelenco1"/>
              <w:ind w:left="0" w:right="0"/>
              <w:jc w:val="both"/>
              <w:rPr>
                <w:rFonts w:ascii="Times New Roman" w:hAnsi="Times New Roman"/>
                <w:bCs w:val="0"/>
                <w:iCs/>
                <w:color w:val="auto"/>
                <w:sz w:val="18"/>
                <w:szCs w:val="18"/>
                <w:lang w:val="en-GB"/>
              </w:rPr>
            </w:pPr>
            <w:hyperlink r:id="rId22" w:history="1">
              <w:r w:rsidR="00A21342" w:rsidRPr="003A4656">
                <w:rPr>
                  <w:rFonts w:ascii="Times New Roman" w:eastAsia="Times New Roman" w:hAnsi="Times New Roman"/>
                  <w:color w:val="auto"/>
                  <w:sz w:val="18"/>
                  <w:szCs w:val="18"/>
                  <w:lang w:val="en-GB"/>
                </w:rPr>
                <w:t>Cowden syndrome</w:t>
              </w:r>
            </w:hyperlink>
          </w:p>
        </w:tc>
        <w:tc>
          <w:tcPr>
            <w:tcW w:w="2780" w:type="dxa"/>
          </w:tcPr>
          <w:p w:rsidR="00A21342" w:rsidRPr="003A4656" w:rsidRDefault="00A21342" w:rsidP="0005572B">
            <w:pPr>
              <w:pStyle w:val="Paragrafoelenco1"/>
              <w:ind w:left="0" w:right="0"/>
              <w:jc w:val="both"/>
              <w:cnfStyle w:val="000000100000"/>
              <w:rPr>
                <w:rFonts w:ascii="Times New Roman" w:hAnsi="Times New Roman"/>
                <w:bCs/>
                <w:iCs/>
                <w:sz w:val="18"/>
                <w:szCs w:val="18"/>
                <w:lang w:val="en-GB"/>
              </w:rPr>
            </w:pPr>
            <w:r w:rsidRPr="003A4656">
              <w:rPr>
                <w:rFonts w:ascii="Times New Roman" w:hAnsi="Times New Roman"/>
                <w:sz w:val="18"/>
                <w:szCs w:val="18"/>
                <w:lang w:val="en-GB"/>
              </w:rPr>
              <w:t>Breast, thyroid, endometrial (uterine lining), and other cancers</w:t>
            </w:r>
          </w:p>
        </w:tc>
        <w:tc>
          <w:tcPr>
            <w:tcW w:w="2524" w:type="dxa"/>
          </w:tcPr>
          <w:p w:rsidR="00A21342" w:rsidRPr="003A4656" w:rsidRDefault="00A21342" w:rsidP="0005572B">
            <w:pPr>
              <w:spacing w:line="276" w:lineRule="auto"/>
              <w:ind w:left="0" w:right="0"/>
              <w:cnfStyle w:val="000000100000"/>
              <w:rPr>
                <w:bCs/>
                <w:i/>
              </w:rPr>
            </w:pPr>
            <w:r w:rsidRPr="003A4656">
              <w:rPr>
                <w:i/>
              </w:rPr>
              <w:t>PTEN</w:t>
            </w:r>
          </w:p>
        </w:tc>
      </w:tr>
      <w:tr w:rsidR="00A21342" w:rsidRPr="003A4656" w:rsidTr="00B835EB">
        <w:trPr>
          <w:trHeight w:val="1083"/>
          <w:jc w:val="center"/>
        </w:trPr>
        <w:tc>
          <w:tcPr>
            <w:cnfStyle w:val="001000000000"/>
            <w:tcW w:w="2832" w:type="dxa"/>
          </w:tcPr>
          <w:p w:rsidR="00A21342" w:rsidRPr="003A4656" w:rsidRDefault="00785CBF" w:rsidP="0005572B">
            <w:pPr>
              <w:spacing w:line="276" w:lineRule="auto"/>
              <w:ind w:left="0" w:right="0"/>
              <w:rPr>
                <w:bCs w:val="0"/>
                <w:iCs/>
                <w:color w:val="auto"/>
              </w:rPr>
            </w:pPr>
            <w:hyperlink r:id="rId23" w:history="1">
              <w:r w:rsidR="00A21342" w:rsidRPr="003A4656">
                <w:rPr>
                  <w:color w:val="auto"/>
                </w:rPr>
                <w:t>Multiple endocrine neoplasia type 2</w:t>
              </w:r>
            </w:hyperlink>
          </w:p>
        </w:tc>
        <w:tc>
          <w:tcPr>
            <w:tcW w:w="2780" w:type="dxa"/>
          </w:tcPr>
          <w:p w:rsidR="00A21342" w:rsidRPr="003A4656" w:rsidRDefault="00785CBF" w:rsidP="0005572B">
            <w:pPr>
              <w:spacing w:line="276" w:lineRule="auto"/>
              <w:ind w:left="0" w:right="0"/>
              <w:cnfStyle w:val="000000000000"/>
              <w:rPr>
                <w:bCs/>
                <w:iCs/>
                <w:color w:val="auto"/>
              </w:rPr>
            </w:pPr>
            <w:hyperlink r:id="rId24" w:history="1">
              <w:r w:rsidR="00A21342" w:rsidRPr="003A4656">
                <w:rPr>
                  <w:color w:val="auto"/>
                </w:rPr>
                <w:t>Medullary thyroid cancer</w:t>
              </w:r>
            </w:hyperlink>
            <w:r w:rsidR="00A21342" w:rsidRPr="003A4656">
              <w:rPr>
                <w:color w:val="auto"/>
              </w:rPr>
              <w:t xml:space="preserve"> and </w:t>
            </w:r>
            <w:hyperlink r:id="rId25" w:history="1">
              <w:r w:rsidR="00A21342" w:rsidRPr="003A4656">
                <w:rPr>
                  <w:color w:val="auto"/>
                </w:rPr>
                <w:t>pheochromocytoma</w:t>
              </w:r>
            </w:hyperlink>
            <w:r w:rsidR="00A21342" w:rsidRPr="003A4656">
              <w:rPr>
                <w:color w:val="auto"/>
              </w:rPr>
              <w:t xml:space="preserve"> (benign </w:t>
            </w:r>
            <w:hyperlink r:id="rId26" w:history="1">
              <w:r w:rsidR="00A21342" w:rsidRPr="003A4656">
                <w:rPr>
                  <w:color w:val="auto"/>
                </w:rPr>
                <w:t>adrenal gland</w:t>
              </w:r>
            </w:hyperlink>
            <w:r w:rsidR="00A21342" w:rsidRPr="003A4656">
              <w:rPr>
                <w:color w:val="auto"/>
              </w:rPr>
              <w:t xml:space="preserve"> tumo</w:t>
            </w:r>
            <w:r w:rsidR="00F15F64" w:rsidRPr="003A4656">
              <w:rPr>
                <w:color w:val="auto"/>
              </w:rPr>
              <w:t>u</w:t>
            </w:r>
            <w:r w:rsidR="00A21342" w:rsidRPr="003A4656">
              <w:rPr>
                <w:color w:val="auto"/>
              </w:rPr>
              <w:t>r</w:t>
            </w:r>
            <w:r w:rsidR="00F15F64" w:rsidRPr="003A4656">
              <w:rPr>
                <w:color w:val="auto"/>
              </w:rPr>
              <w:t>)</w:t>
            </w:r>
          </w:p>
        </w:tc>
        <w:tc>
          <w:tcPr>
            <w:tcW w:w="2524" w:type="dxa"/>
          </w:tcPr>
          <w:p w:rsidR="00A21342" w:rsidRPr="003A4656" w:rsidRDefault="00A21342" w:rsidP="0005572B">
            <w:pPr>
              <w:spacing w:line="276" w:lineRule="auto"/>
              <w:ind w:left="0" w:right="0"/>
              <w:cnfStyle w:val="000000000000"/>
              <w:rPr>
                <w:i/>
              </w:rPr>
            </w:pPr>
            <w:r w:rsidRPr="003A4656">
              <w:rPr>
                <w:i/>
              </w:rPr>
              <w:t>RET</w:t>
            </w:r>
          </w:p>
        </w:tc>
      </w:tr>
    </w:tbl>
    <w:p w:rsidR="004A354A" w:rsidRPr="003A4656" w:rsidRDefault="004A354A" w:rsidP="0005572B">
      <w:pPr>
        <w:pStyle w:val="Paragrafoelenco1"/>
        <w:ind w:left="0" w:right="0"/>
        <w:jc w:val="both"/>
        <w:rPr>
          <w:rFonts w:ascii="Times New Roman" w:hAnsi="Times New Roman"/>
          <w:lang w:val="en-GB"/>
        </w:rPr>
      </w:pPr>
    </w:p>
    <w:p w:rsidR="004D767D" w:rsidRPr="003A4656" w:rsidRDefault="004D767D" w:rsidP="00101298">
      <w:pPr>
        <w:pStyle w:val="Paragrafoelenco1"/>
        <w:ind w:left="0" w:right="0" w:firstLine="720"/>
        <w:jc w:val="both"/>
        <w:rPr>
          <w:rFonts w:ascii="Times New Roman" w:hAnsi="Times New Roman"/>
          <w:b/>
          <w:lang w:val="en-GB"/>
        </w:rPr>
      </w:pPr>
    </w:p>
    <w:p w:rsidR="004A354A" w:rsidRPr="003A4656" w:rsidRDefault="004A354A" w:rsidP="00101298">
      <w:pPr>
        <w:pStyle w:val="Paragrafoelenco1"/>
        <w:ind w:left="0" w:right="0" w:firstLine="720"/>
        <w:jc w:val="both"/>
        <w:rPr>
          <w:rFonts w:ascii="Times New Roman" w:hAnsi="Times New Roman"/>
          <w:b/>
          <w:lang w:val="en-GB"/>
        </w:rPr>
      </w:pPr>
      <w:r w:rsidRPr="003A4656">
        <w:rPr>
          <w:rFonts w:ascii="Times New Roman" w:hAnsi="Times New Roman"/>
          <w:b/>
          <w:lang w:val="en-GB"/>
        </w:rPr>
        <w:t>1.3 Cancer risks in genetically predisposed individuals</w:t>
      </w:r>
    </w:p>
    <w:p w:rsidR="004A354A" w:rsidRPr="003A4656" w:rsidRDefault="004A354A" w:rsidP="0005572B">
      <w:pPr>
        <w:pStyle w:val="Paragrafoelenco1"/>
        <w:ind w:left="0" w:right="0"/>
        <w:jc w:val="both"/>
        <w:rPr>
          <w:rFonts w:ascii="Times New Roman" w:hAnsi="Times New Roman"/>
          <w:lang w:val="en-GB"/>
        </w:rPr>
      </w:pPr>
    </w:p>
    <w:p w:rsidR="004A354A" w:rsidRPr="003A4656" w:rsidRDefault="004A354A"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Cancer risks in mutation carriers differ depending upon the syndrome, the specific mutation being carried in the family, age, and sometimes, gender. Cancer risk assessment involves the process of identifying individuals at risk for hereditary cancer. Pedigree analysis is used in conjunction with available risk assessment models to determine whether a family is suspected of having hereditary cancer. This helps in quantifying risks </w:t>
      </w:r>
      <w:r w:rsidR="00ED3B3F" w:rsidRPr="003A4656">
        <w:rPr>
          <w:rFonts w:ascii="Times New Roman" w:hAnsi="Times New Roman"/>
          <w:lang w:val="en-GB"/>
        </w:rPr>
        <w:t>of</w:t>
      </w:r>
      <w:r w:rsidRPr="003A4656">
        <w:rPr>
          <w:rFonts w:ascii="Times New Roman" w:hAnsi="Times New Roman"/>
          <w:lang w:val="en-GB"/>
        </w:rPr>
        <w:t xml:space="preserve"> individual family members and developing a plan for cancer screening, prevention, risk reduction</w:t>
      </w:r>
      <w:r w:rsidR="00ED3B3F" w:rsidRPr="003A4656">
        <w:rPr>
          <w:rFonts w:ascii="Times New Roman" w:hAnsi="Times New Roman"/>
          <w:lang w:val="en-GB"/>
        </w:rPr>
        <w:t xml:space="preserve">, psychological </w:t>
      </w:r>
      <w:r w:rsidRPr="003A4656">
        <w:rPr>
          <w:rFonts w:ascii="Times New Roman" w:hAnsi="Times New Roman"/>
          <w:lang w:val="en-GB"/>
        </w:rPr>
        <w:t xml:space="preserve">support and </w:t>
      </w:r>
      <w:r w:rsidR="00F41A22" w:rsidRPr="003A4656">
        <w:rPr>
          <w:rFonts w:ascii="Times New Roman" w:hAnsi="Times New Roman"/>
          <w:lang w:val="en-GB"/>
        </w:rPr>
        <w:t>counselling</w:t>
      </w:r>
      <w:r w:rsidRPr="003A4656">
        <w:rPr>
          <w:rFonts w:ascii="Times New Roman" w:hAnsi="Times New Roman"/>
          <w:lang w:val="en-GB"/>
        </w:rPr>
        <w:t>. Further</w:t>
      </w:r>
      <w:r w:rsidR="00ED3B3F" w:rsidRPr="003A4656">
        <w:rPr>
          <w:rFonts w:ascii="Times New Roman" w:hAnsi="Times New Roman"/>
          <w:lang w:val="en-GB"/>
        </w:rPr>
        <w:t>more</w:t>
      </w:r>
      <w:r w:rsidRPr="003A4656">
        <w:rPr>
          <w:rFonts w:ascii="Times New Roman" w:hAnsi="Times New Roman"/>
          <w:lang w:val="en-GB"/>
        </w:rPr>
        <w:t xml:space="preserve">, </w:t>
      </w:r>
      <w:r w:rsidR="00ED3B3F" w:rsidRPr="003A4656">
        <w:rPr>
          <w:rFonts w:ascii="Times New Roman" w:hAnsi="Times New Roman"/>
          <w:lang w:val="en-GB"/>
        </w:rPr>
        <w:t>it</w:t>
      </w:r>
      <w:r w:rsidRPr="003A4656">
        <w:rPr>
          <w:rFonts w:ascii="Times New Roman" w:hAnsi="Times New Roman"/>
          <w:lang w:val="en-GB"/>
        </w:rPr>
        <w:t xml:space="preserve"> helps in the determination of whether genetic testing is appropriate for the family, and</w:t>
      </w:r>
      <w:r w:rsidR="001F2A42" w:rsidRPr="003A4656">
        <w:rPr>
          <w:rFonts w:ascii="Times New Roman" w:hAnsi="Times New Roman"/>
          <w:lang w:val="en-GB"/>
        </w:rPr>
        <w:t>,</w:t>
      </w:r>
      <w:r w:rsidRPr="003A4656">
        <w:rPr>
          <w:rFonts w:ascii="Times New Roman" w:hAnsi="Times New Roman"/>
          <w:lang w:val="en-GB"/>
        </w:rPr>
        <w:t xml:space="preserve"> if so, which relative(s) </w:t>
      </w:r>
      <w:r w:rsidR="001F2A42" w:rsidRPr="003A4656">
        <w:rPr>
          <w:rFonts w:ascii="Times New Roman" w:hAnsi="Times New Roman"/>
          <w:lang w:val="en-GB"/>
        </w:rPr>
        <w:t>are</w:t>
      </w:r>
      <w:r w:rsidRPr="003A4656">
        <w:rPr>
          <w:rFonts w:ascii="Times New Roman" w:hAnsi="Times New Roman"/>
          <w:lang w:val="en-GB"/>
        </w:rPr>
        <w:t xml:space="preserve"> the appropria</w:t>
      </w:r>
      <w:r w:rsidR="0011669D" w:rsidRPr="003A4656">
        <w:rPr>
          <w:rFonts w:ascii="Times New Roman" w:hAnsi="Times New Roman"/>
          <w:lang w:val="en-GB"/>
        </w:rPr>
        <w:t>te individual(s) to test (Trepa</w:t>
      </w:r>
      <w:r w:rsidRPr="003A4656">
        <w:rPr>
          <w:rFonts w:ascii="Times New Roman" w:hAnsi="Times New Roman"/>
          <w:lang w:val="en-GB"/>
        </w:rPr>
        <w:t>n</w:t>
      </w:r>
      <w:r w:rsidR="0011669D" w:rsidRPr="003A4656">
        <w:rPr>
          <w:rFonts w:ascii="Times New Roman" w:hAnsi="Times New Roman"/>
          <w:lang w:val="en-GB"/>
        </w:rPr>
        <w:t>i</w:t>
      </w:r>
      <w:r w:rsidRPr="003A4656">
        <w:rPr>
          <w:rFonts w:ascii="Times New Roman" w:hAnsi="Times New Roman"/>
          <w:lang w:val="en-GB"/>
        </w:rPr>
        <w:t xml:space="preserve">er </w:t>
      </w:r>
      <w:r w:rsidR="0048560E" w:rsidRPr="003A4656">
        <w:rPr>
          <w:rFonts w:ascii="Times New Roman" w:hAnsi="Times New Roman"/>
          <w:lang w:val="en-GB"/>
        </w:rPr>
        <w:t>A</w:t>
      </w:r>
      <w:r w:rsidRPr="003A4656">
        <w:rPr>
          <w:rFonts w:ascii="Times New Roman" w:hAnsi="Times New Roman"/>
          <w:lang w:val="en-GB"/>
        </w:rPr>
        <w:t xml:space="preserve">. et al., 2004). </w:t>
      </w:r>
    </w:p>
    <w:p w:rsidR="004A354A" w:rsidRPr="003A4656" w:rsidRDefault="004A354A"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The features of hereditary cancer are summarized </w:t>
      </w:r>
      <w:r w:rsidR="00ED3B3F" w:rsidRPr="003A4656">
        <w:rPr>
          <w:rFonts w:ascii="Times New Roman" w:hAnsi="Times New Roman"/>
          <w:lang w:val="en-GB"/>
        </w:rPr>
        <w:t>as follows</w:t>
      </w:r>
      <w:r w:rsidRPr="003A4656">
        <w:rPr>
          <w:rFonts w:ascii="Times New Roman" w:hAnsi="Times New Roman"/>
          <w:lang w:val="en-GB"/>
        </w:rPr>
        <w:t xml:space="preserve">: </w:t>
      </w:r>
      <w:r w:rsidR="00ED3B3F" w:rsidRPr="003A4656">
        <w:rPr>
          <w:rFonts w:ascii="Times New Roman" w:hAnsi="Times New Roman"/>
          <w:lang w:val="en-GB"/>
        </w:rPr>
        <w:t xml:space="preserve">early </w:t>
      </w:r>
      <w:r w:rsidRPr="003A4656">
        <w:rPr>
          <w:rFonts w:ascii="Times New Roman" w:hAnsi="Times New Roman"/>
          <w:lang w:val="en-GB"/>
        </w:rPr>
        <w:t xml:space="preserve">age of onset of cancers, multiple primary cancers in an individual, clustering of rare cancers, </w:t>
      </w:r>
      <w:r w:rsidR="00ED3B3F" w:rsidRPr="003A4656">
        <w:rPr>
          <w:rFonts w:ascii="Times New Roman" w:hAnsi="Times New Roman"/>
          <w:lang w:val="en-GB"/>
        </w:rPr>
        <w:t>bilateral or multifocal cancers. F</w:t>
      </w:r>
      <w:r w:rsidRPr="003A4656">
        <w:rPr>
          <w:rFonts w:ascii="Times New Roman" w:hAnsi="Times New Roman"/>
          <w:lang w:val="en-GB"/>
        </w:rPr>
        <w:t>irst degree relatives of mutation carriers are at 50% risk to have the same muta</w:t>
      </w:r>
      <w:r w:rsidR="00ED3B3F" w:rsidRPr="003A4656">
        <w:rPr>
          <w:rFonts w:ascii="Times New Roman" w:hAnsi="Times New Roman"/>
          <w:lang w:val="en-GB"/>
        </w:rPr>
        <w:t>tion. However,</w:t>
      </w:r>
      <w:r w:rsidRPr="003A4656">
        <w:rPr>
          <w:rFonts w:ascii="Times New Roman" w:hAnsi="Times New Roman"/>
          <w:lang w:val="en-GB"/>
        </w:rPr>
        <w:t xml:space="preserve"> incomplete penetrance and variable expressivity</w:t>
      </w:r>
      <w:r w:rsidR="00ED3B3F" w:rsidRPr="003A4656">
        <w:rPr>
          <w:rFonts w:ascii="Times New Roman" w:hAnsi="Times New Roman"/>
          <w:lang w:val="en-GB"/>
        </w:rPr>
        <w:t xml:space="preserve"> are often observed</w:t>
      </w:r>
      <w:r w:rsidRPr="003A4656">
        <w:rPr>
          <w:rFonts w:ascii="Times New Roman" w:hAnsi="Times New Roman"/>
          <w:lang w:val="en-GB"/>
        </w:rPr>
        <w:t xml:space="preserve">, such that obligate carriers may be cancer-free and the age of diagnosis of cancer among </w:t>
      </w:r>
      <w:r w:rsidR="001F2A42" w:rsidRPr="003A4656">
        <w:rPr>
          <w:rFonts w:ascii="Times New Roman" w:hAnsi="Times New Roman"/>
          <w:lang w:val="en-GB"/>
        </w:rPr>
        <w:t>affected carriers may vary</w:t>
      </w:r>
      <w:r w:rsidRPr="003A4656">
        <w:rPr>
          <w:rFonts w:ascii="Times New Roman" w:hAnsi="Times New Roman"/>
          <w:lang w:val="en-GB"/>
        </w:rPr>
        <w:t xml:space="preserve"> (Berliner J.L. et al., 2007). </w:t>
      </w:r>
    </w:p>
    <w:p w:rsidR="004A354A" w:rsidRPr="003A4656" w:rsidRDefault="004A354A" w:rsidP="0005572B">
      <w:pPr>
        <w:pStyle w:val="Paragrafoelenco1"/>
        <w:ind w:left="0" w:right="0"/>
        <w:jc w:val="both"/>
        <w:rPr>
          <w:rFonts w:ascii="Times New Roman" w:hAnsi="Times New Roman"/>
          <w:lang w:val="en-GB"/>
        </w:rPr>
      </w:pPr>
    </w:p>
    <w:p w:rsidR="00C941EF" w:rsidRPr="003A4656" w:rsidRDefault="00C941EF" w:rsidP="00101298">
      <w:pPr>
        <w:pStyle w:val="Paragrafoelenco1"/>
        <w:numPr>
          <w:ilvl w:val="0"/>
          <w:numId w:val="22"/>
        </w:numPr>
        <w:ind w:right="0"/>
        <w:jc w:val="both"/>
        <w:rPr>
          <w:rFonts w:ascii="Times New Roman" w:hAnsi="Times New Roman"/>
          <w:b/>
          <w:lang w:val="en-GB"/>
        </w:rPr>
      </w:pPr>
      <w:r w:rsidRPr="003A4656">
        <w:rPr>
          <w:rFonts w:ascii="Times New Roman" w:hAnsi="Times New Roman"/>
          <w:b/>
          <w:lang w:val="en-GB"/>
        </w:rPr>
        <w:t xml:space="preserve">Hereditary breast and ovarian cancer </w:t>
      </w:r>
      <w:r w:rsidR="008D2DD9" w:rsidRPr="003A4656">
        <w:rPr>
          <w:rFonts w:ascii="Times New Roman" w:hAnsi="Times New Roman"/>
          <w:b/>
          <w:lang w:val="en-GB"/>
        </w:rPr>
        <w:t xml:space="preserve">(HBOC) </w:t>
      </w:r>
      <w:r w:rsidRPr="003A4656">
        <w:rPr>
          <w:rFonts w:ascii="Times New Roman" w:hAnsi="Times New Roman"/>
          <w:b/>
          <w:lang w:val="en-GB"/>
        </w:rPr>
        <w:t xml:space="preserve">syndrome </w:t>
      </w:r>
    </w:p>
    <w:p w:rsidR="00C941EF" w:rsidRPr="003A4656" w:rsidRDefault="00C941EF" w:rsidP="0005572B">
      <w:pPr>
        <w:pStyle w:val="Paragrafoelenco1"/>
        <w:ind w:left="0" w:right="0"/>
        <w:jc w:val="both"/>
        <w:rPr>
          <w:rFonts w:ascii="Times New Roman" w:hAnsi="Times New Roman"/>
          <w:lang w:val="en-GB"/>
        </w:rPr>
      </w:pPr>
    </w:p>
    <w:p w:rsidR="00C941EF"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Even prior to the identification of specific genetic mutations associated with an increased risk of cancer, physicians and scientists identified families with a hereditary predisposition to breast and ovarian cancer. </w:t>
      </w:r>
    </w:p>
    <w:p w:rsidR="006448B1"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color w:val="141314"/>
          <w:lang w:val="en-GB"/>
        </w:rPr>
        <w:t xml:space="preserve">Hereditary breast and ovarian cancer </w:t>
      </w:r>
      <w:r w:rsidR="00BC7F07" w:rsidRPr="003A4656">
        <w:rPr>
          <w:rFonts w:ascii="Times New Roman" w:hAnsi="Times New Roman"/>
          <w:color w:val="141314"/>
          <w:lang w:val="en-GB"/>
        </w:rPr>
        <w:t>(HBOC)</w:t>
      </w:r>
      <w:r w:rsidR="00BC7F07" w:rsidRPr="003A4656">
        <w:rPr>
          <w:rFonts w:ascii="Times New Roman" w:hAnsi="Times New Roman"/>
          <w:lang w:val="en-GB"/>
        </w:rPr>
        <w:t xml:space="preserve"> </w:t>
      </w:r>
      <w:r w:rsidRPr="003A4656">
        <w:rPr>
          <w:rFonts w:ascii="Times New Roman" w:hAnsi="Times New Roman"/>
          <w:color w:val="141314"/>
          <w:lang w:val="en-GB"/>
        </w:rPr>
        <w:t xml:space="preserve">syndrome </w:t>
      </w:r>
      <w:r w:rsidRPr="003A4656">
        <w:rPr>
          <w:rFonts w:ascii="Times New Roman" w:hAnsi="Times New Roman"/>
          <w:lang w:val="en-GB"/>
        </w:rPr>
        <w:t xml:space="preserve">is a highly penetrant autosomal dominant disorder in which mutations can be inherited from either the maternal or paternal side of the family. Therefore, </w:t>
      </w:r>
      <w:r w:rsidR="00F15F64" w:rsidRPr="003A4656">
        <w:rPr>
          <w:rFonts w:ascii="Times New Roman" w:hAnsi="Times New Roman"/>
          <w:lang w:val="en-GB"/>
        </w:rPr>
        <w:t xml:space="preserve">genetic </w:t>
      </w:r>
      <w:r w:rsidR="001F2A42" w:rsidRPr="003A4656">
        <w:rPr>
          <w:rFonts w:ascii="Times New Roman" w:hAnsi="Times New Roman"/>
          <w:lang w:val="en-GB"/>
        </w:rPr>
        <w:t>counselors</w:t>
      </w:r>
      <w:r w:rsidR="00F15F64" w:rsidRPr="003A4656">
        <w:rPr>
          <w:rFonts w:ascii="Times New Roman" w:hAnsi="Times New Roman"/>
          <w:lang w:val="en-GB"/>
        </w:rPr>
        <w:t xml:space="preserve"> </w:t>
      </w:r>
      <w:r w:rsidRPr="003A4656">
        <w:rPr>
          <w:rFonts w:ascii="Times New Roman" w:hAnsi="Times New Roman"/>
          <w:lang w:val="en-GB"/>
        </w:rPr>
        <w:t xml:space="preserve">must </w:t>
      </w:r>
      <w:r w:rsidR="001F2A42" w:rsidRPr="003A4656">
        <w:rPr>
          <w:rFonts w:ascii="Times New Roman" w:hAnsi="Times New Roman"/>
          <w:lang w:val="en-GB"/>
        </w:rPr>
        <w:t xml:space="preserve">verify </w:t>
      </w:r>
      <w:r w:rsidRPr="003A4656">
        <w:rPr>
          <w:rFonts w:ascii="Times New Roman" w:hAnsi="Times New Roman"/>
          <w:lang w:val="en-GB"/>
        </w:rPr>
        <w:t>both the maternal and paternal family history when assessing cancer risks (</w:t>
      </w:r>
      <w:r w:rsidRPr="003A4656">
        <w:rPr>
          <w:rFonts w:ascii="Times New Roman" w:eastAsia="TimesNewRomanPS" w:hAnsi="Times New Roman"/>
          <w:lang w:val="en-GB"/>
        </w:rPr>
        <w:t>Kobayashi H. et al., 2013</w:t>
      </w:r>
      <w:r w:rsidRPr="003A4656">
        <w:rPr>
          <w:rFonts w:ascii="Times New Roman" w:hAnsi="Times New Roman"/>
          <w:lang w:val="en-GB"/>
        </w:rPr>
        <w:t xml:space="preserve">).  </w:t>
      </w:r>
    </w:p>
    <w:p w:rsidR="00D71EBD"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lang w:val="en-GB"/>
        </w:rPr>
        <w:t>As with all autosomal dominant conditions, each child or sibling of a carrier has a 50% cha</w:t>
      </w:r>
      <w:r w:rsidR="006448B1" w:rsidRPr="003A4656">
        <w:rPr>
          <w:rFonts w:ascii="Times New Roman" w:hAnsi="Times New Roman"/>
          <w:lang w:val="en-GB"/>
        </w:rPr>
        <w:t xml:space="preserve">nce of being a mutation carrier </w:t>
      </w:r>
      <w:r w:rsidRPr="003A4656">
        <w:rPr>
          <w:rFonts w:ascii="Times New Roman" w:hAnsi="Times New Roman"/>
          <w:lang w:val="en-GB"/>
        </w:rPr>
        <w:t>(</w:t>
      </w:r>
      <w:r w:rsidR="00111396" w:rsidRPr="003A4656">
        <w:rPr>
          <w:rFonts w:ascii="Times New Roman" w:hAnsi="Times New Roman"/>
          <w:lang w:val="en-GB"/>
        </w:rPr>
        <w:t>National Cancer Institute,</w:t>
      </w:r>
      <w:r w:rsidR="006448B1" w:rsidRPr="003A4656">
        <w:rPr>
          <w:rFonts w:ascii="Times New Roman" w:hAnsi="Times New Roman"/>
          <w:lang w:val="en-GB"/>
        </w:rPr>
        <w:t xml:space="preserve"> </w:t>
      </w:r>
      <w:hyperlink r:id="rId27" w:history="1">
        <w:r w:rsidR="006448B1" w:rsidRPr="003A4656">
          <w:rPr>
            <w:rStyle w:val="Hyperlink"/>
            <w:rFonts w:ascii="Times New Roman" w:hAnsi="Times New Roman"/>
            <w:lang w:val="en-GB"/>
          </w:rPr>
          <w:t>http://www.cancer.gov/cancertopics/pdq/genetics/breast-and-ovarian</w:t>
        </w:r>
      </w:hyperlink>
      <w:r w:rsidR="006448B1" w:rsidRPr="003A4656">
        <w:rPr>
          <w:rFonts w:ascii="Times New Roman" w:hAnsi="Times New Roman"/>
          <w:lang w:val="en-GB"/>
        </w:rPr>
        <w:t>).</w:t>
      </w:r>
    </w:p>
    <w:p w:rsidR="00575852"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bCs/>
          <w:iCs/>
          <w:lang w:val="en-GB"/>
        </w:rPr>
        <w:t>HBOC accounts for approximately 2% to 7% of all breast cancers, and 10% to 15% of all ovarian cancers (</w:t>
      </w:r>
      <w:r w:rsidRPr="003A4656">
        <w:rPr>
          <w:rFonts w:ascii="Times New Roman" w:eastAsia="TimesNewRomanPS" w:hAnsi="Times New Roman"/>
          <w:lang w:val="en-GB"/>
        </w:rPr>
        <w:t>Risch H</w:t>
      </w:r>
      <w:r w:rsidR="00363EF6" w:rsidRPr="003A4656">
        <w:rPr>
          <w:rFonts w:ascii="Times New Roman" w:eastAsia="TimesNewRomanPS" w:hAnsi="Times New Roman"/>
          <w:lang w:val="en-GB"/>
        </w:rPr>
        <w:t>.</w:t>
      </w:r>
      <w:r w:rsidRPr="003A4656">
        <w:rPr>
          <w:rFonts w:ascii="Times New Roman" w:eastAsia="TimesNewRomanPS" w:hAnsi="Times New Roman"/>
          <w:lang w:val="en-GB"/>
        </w:rPr>
        <w:t>A</w:t>
      </w:r>
      <w:r w:rsidR="00363EF6" w:rsidRPr="003A4656">
        <w:rPr>
          <w:rFonts w:ascii="Times New Roman" w:eastAsia="TimesNewRomanPS" w:hAnsi="Times New Roman"/>
          <w:lang w:val="en-GB"/>
        </w:rPr>
        <w:t>.</w:t>
      </w:r>
      <w:r w:rsidRPr="003A4656">
        <w:rPr>
          <w:rFonts w:ascii="Times New Roman" w:eastAsia="TimesNewRomanPS" w:hAnsi="Times New Roman"/>
          <w:lang w:val="en-GB"/>
        </w:rPr>
        <w:t xml:space="preserve"> et al., 2006</w:t>
      </w:r>
      <w:r w:rsidRPr="003A4656">
        <w:rPr>
          <w:rFonts w:ascii="Times New Roman" w:hAnsi="Times New Roman"/>
          <w:bCs/>
          <w:iCs/>
          <w:lang w:val="en-GB"/>
        </w:rPr>
        <w:t xml:space="preserve">). </w:t>
      </w:r>
      <w:r w:rsidR="00BC7F07" w:rsidRPr="003A4656">
        <w:rPr>
          <w:rFonts w:ascii="Times New Roman" w:hAnsi="Times New Roman"/>
          <w:lang w:val="en-GB"/>
        </w:rPr>
        <w:t>Other cancers known to be associated with this syndrome include melanoma, pancreatic cancer, and prostate cancer (</w:t>
      </w:r>
      <w:r w:rsidR="00BC7F07" w:rsidRPr="003A4656">
        <w:rPr>
          <w:rFonts w:ascii="Times New Roman" w:eastAsia="TimesNewRomanPS" w:hAnsi="Times New Roman"/>
          <w:lang w:val="en-GB"/>
        </w:rPr>
        <w:t>Nelson H</w:t>
      </w:r>
      <w:r w:rsidR="00363EF6" w:rsidRPr="003A4656">
        <w:rPr>
          <w:rFonts w:ascii="Times New Roman" w:eastAsia="TimesNewRomanPS" w:hAnsi="Times New Roman"/>
          <w:lang w:val="en-GB"/>
        </w:rPr>
        <w:t>.</w:t>
      </w:r>
      <w:r w:rsidR="00BC7F07" w:rsidRPr="003A4656">
        <w:rPr>
          <w:rFonts w:ascii="Times New Roman" w:eastAsia="TimesNewRomanPS" w:hAnsi="Times New Roman"/>
          <w:lang w:val="en-GB"/>
        </w:rPr>
        <w:t>D</w:t>
      </w:r>
      <w:r w:rsidR="00363EF6" w:rsidRPr="003A4656">
        <w:rPr>
          <w:rFonts w:ascii="Times New Roman" w:eastAsia="TimesNewRomanPS" w:hAnsi="Times New Roman"/>
          <w:lang w:val="en-GB"/>
        </w:rPr>
        <w:t>.</w:t>
      </w:r>
      <w:r w:rsidR="00BC7F07" w:rsidRPr="003A4656">
        <w:rPr>
          <w:rFonts w:ascii="Times New Roman" w:eastAsia="TimesNewRomanPS" w:hAnsi="Times New Roman"/>
          <w:lang w:val="en-GB"/>
        </w:rPr>
        <w:t xml:space="preserve"> et al., 2005; Roa B</w:t>
      </w:r>
      <w:r w:rsidR="00363EF6" w:rsidRPr="003A4656">
        <w:rPr>
          <w:rFonts w:ascii="Times New Roman" w:eastAsia="TimesNewRomanPS" w:hAnsi="Times New Roman"/>
          <w:lang w:val="en-GB"/>
        </w:rPr>
        <w:t>.</w:t>
      </w:r>
      <w:r w:rsidR="00BC7F07" w:rsidRPr="003A4656">
        <w:rPr>
          <w:rFonts w:ascii="Times New Roman" w:eastAsia="TimesNewRomanPS" w:hAnsi="Times New Roman"/>
          <w:lang w:val="en-GB"/>
        </w:rPr>
        <w:t>B</w:t>
      </w:r>
      <w:r w:rsidR="00363EF6" w:rsidRPr="003A4656">
        <w:rPr>
          <w:rFonts w:ascii="Times New Roman" w:eastAsia="TimesNewRomanPS" w:hAnsi="Times New Roman"/>
          <w:lang w:val="en-GB"/>
        </w:rPr>
        <w:t>.</w:t>
      </w:r>
      <w:r w:rsidR="00BC7F07" w:rsidRPr="003A4656">
        <w:rPr>
          <w:rFonts w:ascii="Times New Roman" w:eastAsia="TimesNewRomanPS" w:hAnsi="Times New Roman"/>
          <w:lang w:val="en-GB"/>
        </w:rPr>
        <w:t xml:space="preserve"> et al., 1996</w:t>
      </w:r>
      <w:r w:rsidR="00BC7F07" w:rsidRPr="003A4656">
        <w:rPr>
          <w:rFonts w:ascii="Times New Roman" w:hAnsi="Times New Roman"/>
          <w:lang w:val="en-GB"/>
        </w:rPr>
        <w:t xml:space="preserve">). </w:t>
      </w:r>
    </w:p>
    <w:p w:rsidR="00575852" w:rsidRPr="003A4656" w:rsidRDefault="00BC7F07" w:rsidP="0005572B">
      <w:pPr>
        <w:pStyle w:val="Paragrafoelenco1"/>
        <w:ind w:left="0" w:right="0"/>
        <w:jc w:val="both"/>
        <w:rPr>
          <w:rFonts w:ascii="Times New Roman" w:eastAsia="TimesNewRomanPS" w:hAnsi="Times New Roman"/>
          <w:lang w:val="en-GB"/>
        </w:rPr>
      </w:pPr>
      <w:r w:rsidRPr="003A4656">
        <w:rPr>
          <w:rFonts w:ascii="Times New Roman" w:hAnsi="Times New Roman"/>
          <w:bCs/>
          <w:iCs/>
          <w:lang w:val="en-GB"/>
        </w:rPr>
        <w:t xml:space="preserve">The main genes responsible for HBOC </w:t>
      </w:r>
      <w:r w:rsidRPr="003A4656">
        <w:rPr>
          <w:rFonts w:ascii="Times New Roman" w:hAnsi="Times New Roman"/>
          <w:lang w:val="en-GB"/>
        </w:rPr>
        <w:t xml:space="preserve">are </w:t>
      </w:r>
      <w:r w:rsidR="00C941EF" w:rsidRPr="003A4656">
        <w:rPr>
          <w:rFonts w:ascii="Times New Roman" w:hAnsi="Times New Roman"/>
          <w:i/>
          <w:iCs/>
          <w:lang w:val="en-GB"/>
        </w:rPr>
        <w:t xml:space="preserve">BRCA1 </w:t>
      </w:r>
      <w:r w:rsidR="00C941EF" w:rsidRPr="003A4656">
        <w:rPr>
          <w:rFonts w:ascii="Times New Roman" w:hAnsi="Times New Roman"/>
          <w:iCs/>
          <w:lang w:val="en-GB"/>
        </w:rPr>
        <w:t xml:space="preserve">and </w:t>
      </w:r>
      <w:r w:rsidR="00C941EF" w:rsidRPr="003A4656">
        <w:rPr>
          <w:rFonts w:ascii="Times New Roman" w:hAnsi="Times New Roman"/>
          <w:i/>
          <w:iCs/>
          <w:lang w:val="en-GB"/>
        </w:rPr>
        <w:t>BRCA2 (</w:t>
      </w:r>
      <w:r w:rsidR="00C941EF" w:rsidRPr="003A4656">
        <w:rPr>
          <w:rFonts w:ascii="Times New Roman" w:eastAsia="TimesNewRomanPS" w:hAnsi="Times New Roman"/>
          <w:lang w:val="en-GB"/>
        </w:rPr>
        <w:t>Miki Y. et al., 1994; Wooster R. et al., 1995</w:t>
      </w:r>
      <w:r w:rsidR="00D71EBD" w:rsidRPr="003A4656">
        <w:rPr>
          <w:rFonts w:ascii="Times New Roman" w:hAnsi="Times New Roman"/>
          <w:i/>
          <w:iCs/>
          <w:lang w:val="en-GB"/>
        </w:rPr>
        <w:t>)</w:t>
      </w:r>
      <w:r w:rsidR="00D71EBD" w:rsidRPr="003A4656">
        <w:rPr>
          <w:rFonts w:ascii="Times New Roman" w:hAnsi="Times New Roman"/>
          <w:lang w:val="en-GB"/>
        </w:rPr>
        <w:t xml:space="preserve">. Both </w:t>
      </w:r>
      <w:r w:rsidR="00D71EBD" w:rsidRPr="003A4656">
        <w:rPr>
          <w:rFonts w:ascii="Times New Roman" w:hAnsi="Times New Roman"/>
          <w:i/>
          <w:iCs/>
          <w:lang w:val="en-GB"/>
        </w:rPr>
        <w:t xml:space="preserve">BRCA1 </w:t>
      </w:r>
      <w:r w:rsidR="00D71EBD" w:rsidRPr="003A4656">
        <w:rPr>
          <w:rFonts w:ascii="Times New Roman" w:hAnsi="Times New Roman"/>
          <w:lang w:val="en-GB"/>
        </w:rPr>
        <w:t xml:space="preserve">and </w:t>
      </w:r>
      <w:r w:rsidR="00D71EBD" w:rsidRPr="003A4656">
        <w:rPr>
          <w:rFonts w:ascii="Times New Roman" w:hAnsi="Times New Roman"/>
          <w:i/>
          <w:iCs/>
          <w:lang w:val="en-GB"/>
        </w:rPr>
        <w:t xml:space="preserve">BRCA2 </w:t>
      </w:r>
      <w:r w:rsidR="00D71EBD" w:rsidRPr="003A4656">
        <w:rPr>
          <w:rFonts w:ascii="Times New Roman" w:hAnsi="Times New Roman"/>
          <w:lang w:val="en-GB"/>
        </w:rPr>
        <w:t xml:space="preserve">are considered “caretaker genes”, as they are sensors of DNA damage and participate in the repair process. Their inactivation followed by additional mutations in other genes leads to genetic instability. </w:t>
      </w:r>
      <w:r w:rsidR="00C941EF" w:rsidRPr="003A4656">
        <w:rPr>
          <w:rFonts w:ascii="Times New Roman" w:hAnsi="Times New Roman"/>
          <w:bCs/>
          <w:iCs/>
          <w:lang w:val="en-GB"/>
        </w:rPr>
        <w:t>Approximately 1 in 400 individuals in the general population, and 1 in 40 individuals of Ashkenazi Jewish descent, carry a mutation in one of these genes.</w:t>
      </w:r>
      <w:r w:rsidR="00C941EF" w:rsidRPr="003A4656">
        <w:rPr>
          <w:rFonts w:ascii="Times New Roman" w:hAnsi="Times New Roman"/>
          <w:lang w:val="en-GB"/>
        </w:rPr>
        <w:t xml:space="preserve"> </w:t>
      </w:r>
      <w:r w:rsidR="00575852" w:rsidRPr="003A4656">
        <w:rPr>
          <w:rFonts w:ascii="Times New Roman" w:hAnsi="Times New Roman"/>
          <w:lang w:val="en-GB"/>
        </w:rPr>
        <w:t xml:space="preserve">Interestingly, somatic mutations of both </w:t>
      </w:r>
      <w:r w:rsidR="00575852" w:rsidRPr="003A4656">
        <w:rPr>
          <w:rFonts w:ascii="Times New Roman" w:hAnsi="Times New Roman"/>
          <w:i/>
          <w:lang w:val="en-GB"/>
        </w:rPr>
        <w:t>BRCA1</w:t>
      </w:r>
      <w:r w:rsidR="00575852" w:rsidRPr="003A4656">
        <w:rPr>
          <w:rFonts w:ascii="Times New Roman" w:hAnsi="Times New Roman"/>
          <w:lang w:val="en-GB"/>
        </w:rPr>
        <w:t xml:space="preserve"> and </w:t>
      </w:r>
      <w:r w:rsidR="00575852" w:rsidRPr="003A4656">
        <w:rPr>
          <w:rFonts w:ascii="Times New Roman" w:hAnsi="Times New Roman"/>
          <w:i/>
          <w:lang w:val="en-GB"/>
        </w:rPr>
        <w:t>BRCA2</w:t>
      </w:r>
      <w:r w:rsidR="00575852" w:rsidRPr="003A4656">
        <w:rPr>
          <w:rFonts w:ascii="Times New Roman" w:hAnsi="Times New Roman"/>
          <w:lang w:val="en-GB"/>
        </w:rPr>
        <w:t xml:space="preserve"> have been identified in sporadic breast or ovarian cancers (</w:t>
      </w:r>
      <w:r w:rsidR="00ED218A" w:rsidRPr="003A4656">
        <w:rPr>
          <w:rFonts w:ascii="Times New Roman" w:eastAsia="TimesNewRomanPS" w:hAnsi="Times New Roman"/>
          <w:lang w:val="en-GB"/>
        </w:rPr>
        <w:t>Merajver S.D. et al, 1995</w:t>
      </w:r>
      <w:r w:rsidR="000C00A7" w:rsidRPr="003A4656">
        <w:rPr>
          <w:rFonts w:ascii="Times New Roman" w:eastAsia="TimesNewRomanPS" w:hAnsi="Times New Roman"/>
          <w:lang w:val="en-GB"/>
        </w:rPr>
        <w:t xml:space="preserve">; Janatova M. et al, 2005; Welcsh P.L. </w:t>
      </w:r>
      <w:r w:rsidR="001F2A42" w:rsidRPr="003A4656">
        <w:rPr>
          <w:rFonts w:ascii="Times New Roman" w:eastAsia="TimesNewRomanPS" w:hAnsi="Times New Roman"/>
          <w:lang w:val="en-GB"/>
        </w:rPr>
        <w:t>and King M.C</w:t>
      </w:r>
      <w:r w:rsidR="002D3B8F" w:rsidRPr="003A4656">
        <w:rPr>
          <w:rFonts w:ascii="Times New Roman" w:eastAsia="TimesNewRomanPS" w:hAnsi="Times New Roman"/>
          <w:lang w:val="en-GB"/>
        </w:rPr>
        <w:t>.</w:t>
      </w:r>
      <w:r w:rsidR="000C00A7" w:rsidRPr="003A4656">
        <w:rPr>
          <w:rFonts w:ascii="Times New Roman" w:eastAsia="TimesNewRomanPS" w:hAnsi="Times New Roman"/>
          <w:lang w:val="en-GB"/>
        </w:rPr>
        <w:t>, 2001; Hennessy B.T. et al, 2010</w:t>
      </w:r>
      <w:r w:rsidR="00575852" w:rsidRPr="003A4656">
        <w:rPr>
          <w:rFonts w:ascii="Times New Roman" w:eastAsia="TimesNewRomanPS" w:hAnsi="Times New Roman"/>
          <w:lang w:val="en-GB"/>
        </w:rPr>
        <w:t>).</w:t>
      </w:r>
    </w:p>
    <w:p w:rsidR="00BC7F07" w:rsidRPr="003A4656" w:rsidRDefault="00D71EBD"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In addition to </w:t>
      </w:r>
      <w:r w:rsidRPr="003A4656">
        <w:rPr>
          <w:rFonts w:ascii="Times New Roman" w:hAnsi="Times New Roman"/>
          <w:i/>
          <w:lang w:val="en-GB"/>
        </w:rPr>
        <w:t xml:space="preserve">BRCA1 </w:t>
      </w:r>
      <w:r w:rsidRPr="003A4656">
        <w:rPr>
          <w:rFonts w:ascii="Times New Roman" w:hAnsi="Times New Roman"/>
          <w:lang w:val="en-GB"/>
        </w:rPr>
        <w:t>and</w:t>
      </w:r>
      <w:r w:rsidRPr="003A4656">
        <w:rPr>
          <w:rFonts w:ascii="Times New Roman" w:hAnsi="Times New Roman"/>
          <w:i/>
          <w:lang w:val="en-GB"/>
        </w:rPr>
        <w:t xml:space="preserve"> BRCA2,</w:t>
      </w:r>
      <w:r w:rsidRPr="003A4656">
        <w:rPr>
          <w:rFonts w:ascii="Times New Roman" w:hAnsi="Times New Roman"/>
          <w:lang w:val="en-GB"/>
        </w:rPr>
        <w:t xml:space="preserve"> other genes or low penetrance alleles have been found to be associated with the HBOC phenotype</w:t>
      </w:r>
      <w:r w:rsidRPr="003A4656">
        <w:rPr>
          <w:rFonts w:ascii="Times New Roman" w:hAnsi="Times New Roman"/>
          <w:lang w:val="en-GB" w:eastAsia="it-IT"/>
        </w:rPr>
        <w:t xml:space="preserve"> (Walsh T</w:t>
      </w:r>
      <w:r w:rsidR="00893C60" w:rsidRPr="003A4656">
        <w:rPr>
          <w:rFonts w:ascii="Times New Roman" w:hAnsi="Times New Roman"/>
          <w:lang w:val="en-GB" w:eastAsia="it-IT"/>
        </w:rPr>
        <w:t>.</w:t>
      </w:r>
      <w:r w:rsidRPr="003A4656">
        <w:rPr>
          <w:rFonts w:ascii="Times New Roman" w:hAnsi="Times New Roman"/>
          <w:lang w:val="en-GB" w:eastAsia="it-IT"/>
        </w:rPr>
        <w:t xml:space="preserve"> and King M</w:t>
      </w:r>
      <w:r w:rsidR="00893C60" w:rsidRPr="003A4656">
        <w:rPr>
          <w:rFonts w:ascii="Times New Roman" w:hAnsi="Times New Roman"/>
          <w:lang w:val="en-GB" w:eastAsia="it-IT"/>
        </w:rPr>
        <w:t>.</w:t>
      </w:r>
      <w:r w:rsidRPr="003A4656">
        <w:rPr>
          <w:rFonts w:ascii="Times New Roman" w:hAnsi="Times New Roman"/>
          <w:lang w:val="en-GB" w:eastAsia="it-IT"/>
        </w:rPr>
        <w:t>C</w:t>
      </w:r>
      <w:r w:rsidR="00893C60" w:rsidRPr="003A4656">
        <w:rPr>
          <w:rFonts w:ascii="Times New Roman" w:hAnsi="Times New Roman"/>
          <w:lang w:val="en-GB" w:eastAsia="it-IT"/>
        </w:rPr>
        <w:t>.</w:t>
      </w:r>
      <w:r w:rsidRPr="003A4656">
        <w:rPr>
          <w:rFonts w:ascii="Times New Roman" w:hAnsi="Times New Roman"/>
          <w:lang w:val="en-GB" w:eastAsia="it-IT"/>
        </w:rPr>
        <w:t>, 2007).</w:t>
      </w:r>
    </w:p>
    <w:p w:rsidR="00D71EBD" w:rsidRPr="003A4656" w:rsidRDefault="00D71EBD" w:rsidP="0005572B">
      <w:pPr>
        <w:pStyle w:val="Paragrafoelenco1"/>
        <w:ind w:left="0" w:right="0"/>
        <w:jc w:val="both"/>
        <w:rPr>
          <w:rFonts w:ascii="Times New Roman" w:hAnsi="Times New Roman"/>
          <w:lang w:val="en-GB"/>
        </w:rPr>
      </w:pPr>
    </w:p>
    <w:p w:rsidR="00C941EF" w:rsidRPr="003A4656" w:rsidRDefault="00C941EF" w:rsidP="00101298">
      <w:pPr>
        <w:pStyle w:val="Paragrafoelenco1"/>
        <w:ind w:left="0" w:right="0" w:firstLine="720"/>
        <w:jc w:val="both"/>
        <w:rPr>
          <w:rFonts w:ascii="Times New Roman" w:hAnsi="Times New Roman"/>
          <w:b/>
          <w:lang w:val="en-GB"/>
        </w:rPr>
      </w:pPr>
      <w:r w:rsidRPr="003A4656">
        <w:rPr>
          <w:rFonts w:ascii="Times New Roman" w:hAnsi="Times New Roman"/>
          <w:b/>
          <w:lang w:val="en-GB"/>
        </w:rPr>
        <w:t xml:space="preserve">2.1 HBOC </w:t>
      </w:r>
      <w:r w:rsidR="0048560E" w:rsidRPr="003A4656">
        <w:rPr>
          <w:rFonts w:ascii="Times New Roman" w:hAnsi="Times New Roman"/>
          <w:b/>
          <w:lang w:val="en-GB"/>
        </w:rPr>
        <w:t>Assessment</w:t>
      </w:r>
      <w:r w:rsidRPr="003A4656">
        <w:rPr>
          <w:rFonts w:ascii="Times New Roman" w:hAnsi="Times New Roman"/>
          <w:b/>
          <w:lang w:val="en-GB"/>
        </w:rPr>
        <w:t xml:space="preserve"> </w:t>
      </w:r>
    </w:p>
    <w:p w:rsidR="00C941EF" w:rsidRPr="003A4656" w:rsidRDefault="00C941EF" w:rsidP="0005572B">
      <w:pPr>
        <w:pStyle w:val="Paragrafoelenco1"/>
        <w:ind w:left="0" w:right="0"/>
        <w:jc w:val="both"/>
        <w:rPr>
          <w:rFonts w:ascii="Times New Roman" w:hAnsi="Times New Roman"/>
          <w:lang w:val="en-GB"/>
        </w:rPr>
      </w:pPr>
    </w:p>
    <w:p w:rsidR="00C941EF" w:rsidRPr="003A4656" w:rsidRDefault="0048560E" w:rsidP="0005572B">
      <w:pPr>
        <w:pStyle w:val="Paragrafoelenco1"/>
        <w:ind w:left="0" w:right="0"/>
        <w:jc w:val="both"/>
        <w:rPr>
          <w:rFonts w:ascii="Times New Roman" w:hAnsi="Times New Roman"/>
          <w:lang w:val="en-GB"/>
        </w:rPr>
      </w:pPr>
      <w:r w:rsidRPr="003A4656">
        <w:rPr>
          <w:rFonts w:ascii="Times New Roman" w:hAnsi="Times New Roman"/>
          <w:lang w:val="en-GB"/>
        </w:rPr>
        <w:t>Different scientific societies and clinical boards have edited</w:t>
      </w:r>
      <w:r w:rsidR="00C941EF" w:rsidRPr="003A4656">
        <w:rPr>
          <w:rFonts w:ascii="Times New Roman" w:hAnsi="Times New Roman"/>
          <w:lang w:val="en-GB"/>
        </w:rPr>
        <w:t xml:space="preserve"> publications, policy statements, and recommenda</w:t>
      </w:r>
      <w:r w:rsidR="00D71EBD" w:rsidRPr="003A4656">
        <w:rPr>
          <w:rFonts w:ascii="Times New Roman" w:hAnsi="Times New Roman"/>
          <w:lang w:val="en-GB"/>
        </w:rPr>
        <w:t>tions that propose criteria for</w:t>
      </w:r>
      <w:r w:rsidRPr="003A4656">
        <w:rPr>
          <w:rFonts w:ascii="Times New Roman" w:hAnsi="Times New Roman"/>
          <w:lang w:val="en-GB"/>
        </w:rPr>
        <w:t xml:space="preserve"> referring individuals to</w:t>
      </w:r>
      <w:r w:rsidR="00C941EF" w:rsidRPr="003A4656">
        <w:rPr>
          <w:rFonts w:ascii="Times New Roman" w:hAnsi="Times New Roman"/>
          <w:lang w:val="en-GB"/>
        </w:rPr>
        <w:t xml:space="preserve"> genetic </w:t>
      </w:r>
      <w:r w:rsidR="0008367A" w:rsidRPr="003A4656">
        <w:rPr>
          <w:rFonts w:ascii="Times New Roman" w:hAnsi="Times New Roman"/>
          <w:lang w:val="en-GB"/>
        </w:rPr>
        <w:t>counselling</w:t>
      </w:r>
      <w:r w:rsidR="00C941EF" w:rsidRPr="003A4656">
        <w:rPr>
          <w:rFonts w:ascii="Times New Roman" w:hAnsi="Times New Roman"/>
          <w:lang w:val="en-GB"/>
        </w:rPr>
        <w:t xml:space="preserve"> </w:t>
      </w:r>
      <w:r w:rsidRPr="003A4656">
        <w:rPr>
          <w:rFonts w:ascii="Times New Roman" w:hAnsi="Times New Roman"/>
          <w:lang w:val="en-GB"/>
        </w:rPr>
        <w:t>for</w:t>
      </w:r>
      <w:r w:rsidR="00C941EF" w:rsidRPr="003A4656">
        <w:rPr>
          <w:rFonts w:ascii="Times New Roman" w:hAnsi="Times New Roman"/>
          <w:lang w:val="en-GB"/>
        </w:rPr>
        <w:t xml:space="preserve"> hereditary risk </w:t>
      </w:r>
      <w:r w:rsidRPr="003A4656">
        <w:rPr>
          <w:rFonts w:ascii="Times New Roman" w:hAnsi="Times New Roman"/>
          <w:lang w:val="en-GB"/>
        </w:rPr>
        <w:t xml:space="preserve">of breast and/or ovarian cancer. These include </w:t>
      </w:r>
      <w:r w:rsidR="00C941EF" w:rsidRPr="003A4656">
        <w:rPr>
          <w:rFonts w:ascii="Times New Roman" w:hAnsi="Times New Roman"/>
          <w:lang w:val="en-GB"/>
        </w:rPr>
        <w:t>the American Society of Clinical Oncology (ASCO), the National Comprehensive Cancer Network (NCCN), the U.S. Preventive Services Task Force (USPSTF) (1995, 2005), and the American College of Medical Genetics (ACMG) (</w:t>
      </w:r>
      <w:r w:rsidR="00C941EF" w:rsidRPr="003A4656">
        <w:rPr>
          <w:rFonts w:ascii="Times New Roman" w:eastAsia="TimesNewRomanPS" w:hAnsi="Times New Roman"/>
          <w:lang w:val="en-GB"/>
        </w:rPr>
        <w:t>Robson M</w:t>
      </w:r>
      <w:r w:rsidR="00363EF6" w:rsidRPr="003A4656">
        <w:rPr>
          <w:rFonts w:ascii="Times New Roman" w:eastAsia="TimesNewRomanPS" w:hAnsi="Times New Roman"/>
          <w:lang w:val="en-GB"/>
        </w:rPr>
        <w:t>.</w:t>
      </w:r>
      <w:r w:rsidR="00C941EF" w:rsidRPr="003A4656">
        <w:rPr>
          <w:rFonts w:ascii="Times New Roman" w:eastAsia="TimesNewRomanPS" w:hAnsi="Times New Roman"/>
          <w:lang w:val="en-GB"/>
        </w:rPr>
        <w:t>E</w:t>
      </w:r>
      <w:r w:rsidR="00363EF6" w:rsidRPr="003A4656">
        <w:rPr>
          <w:rFonts w:ascii="Times New Roman" w:eastAsia="TimesNewRomanPS" w:hAnsi="Times New Roman"/>
          <w:lang w:val="en-GB"/>
        </w:rPr>
        <w:t xml:space="preserve">. et al., 2010; </w:t>
      </w:r>
      <w:r w:rsidR="00C941EF" w:rsidRPr="003A4656">
        <w:rPr>
          <w:rFonts w:ascii="Times New Roman" w:eastAsia="TimesNewRomanPS" w:hAnsi="Times New Roman"/>
          <w:lang w:val="en-GB"/>
        </w:rPr>
        <w:t>Trepanier A</w:t>
      </w:r>
      <w:r w:rsidR="002D3B8F" w:rsidRPr="003A4656">
        <w:rPr>
          <w:rFonts w:ascii="Times New Roman" w:eastAsia="TimesNewRomanPS" w:hAnsi="Times New Roman"/>
          <w:lang w:val="en-GB"/>
        </w:rPr>
        <w:t>.</w:t>
      </w:r>
      <w:r w:rsidR="00C941EF" w:rsidRPr="003A4656">
        <w:rPr>
          <w:rFonts w:ascii="Times New Roman" w:hAnsi="Times New Roman"/>
          <w:lang w:val="en-GB"/>
        </w:rPr>
        <w:t xml:space="preserve"> et al., 2004).</w:t>
      </w:r>
    </w:p>
    <w:p w:rsidR="00B835EB" w:rsidRPr="003A4656" w:rsidRDefault="00C941EF" w:rsidP="0005572B">
      <w:pPr>
        <w:pStyle w:val="Paragrafoelenco1"/>
        <w:ind w:left="0" w:right="0"/>
        <w:jc w:val="both"/>
        <w:rPr>
          <w:rFonts w:ascii="Times New Roman" w:hAnsi="Times New Roman"/>
          <w:lang w:val="en-GB"/>
        </w:rPr>
      </w:pPr>
      <w:r w:rsidRPr="003A4656">
        <w:rPr>
          <w:rFonts w:ascii="Times New Roman" w:hAnsi="Times New Roman"/>
          <w:lang w:val="en-GB"/>
        </w:rPr>
        <w:t xml:space="preserve">Although the specific criteria for genetic </w:t>
      </w:r>
      <w:r w:rsidR="0008367A" w:rsidRPr="003A4656">
        <w:rPr>
          <w:rFonts w:ascii="Times New Roman" w:hAnsi="Times New Roman"/>
          <w:lang w:val="en-GB"/>
        </w:rPr>
        <w:t>counselling</w:t>
      </w:r>
      <w:r w:rsidRPr="003A4656">
        <w:rPr>
          <w:rFonts w:ascii="Times New Roman" w:hAnsi="Times New Roman"/>
          <w:lang w:val="en-GB"/>
        </w:rPr>
        <w:t xml:space="preserve"> referral vary among organizations, they are consistently based on the recognition of clinical features that increase the likelihood of hereditary susceptibility to breast and/or ovarian cancer (</w:t>
      </w:r>
      <w:r w:rsidRPr="003A4656">
        <w:rPr>
          <w:rFonts w:ascii="Times New Roman" w:eastAsia="TimesNewRomanPS" w:hAnsi="Times New Roman"/>
          <w:lang w:val="en-GB"/>
        </w:rPr>
        <w:t>NCCN Clinical Practice Guidelines in Oncology v.1.2012; Myriad Genetic Laboratories</w:t>
      </w:r>
      <w:r w:rsidR="00D71EBD" w:rsidRPr="003A4656">
        <w:rPr>
          <w:rFonts w:ascii="Times New Roman" w:hAnsi="Times New Roman"/>
          <w:lang w:val="en-GB"/>
        </w:rPr>
        <w:t xml:space="preserve">). </w:t>
      </w:r>
      <w:r w:rsidR="00B835EB" w:rsidRPr="003A4656">
        <w:rPr>
          <w:rFonts w:ascii="Times New Roman" w:hAnsi="Times New Roman"/>
          <w:lang w:val="en-GB"/>
        </w:rPr>
        <w:t xml:space="preserve"> </w:t>
      </w:r>
    </w:p>
    <w:p w:rsidR="00C941EF" w:rsidRPr="003A4656" w:rsidRDefault="00D71EBD" w:rsidP="0005572B">
      <w:pPr>
        <w:pStyle w:val="Paragrafoelenco1"/>
        <w:ind w:left="0" w:right="0"/>
        <w:jc w:val="both"/>
        <w:rPr>
          <w:rFonts w:ascii="Times New Roman" w:hAnsi="Times New Roman"/>
          <w:lang w:val="en-GB"/>
        </w:rPr>
      </w:pPr>
      <w:r w:rsidRPr="003A4656">
        <w:rPr>
          <w:rFonts w:ascii="Times New Roman" w:hAnsi="Times New Roman"/>
          <w:lang w:val="en-GB"/>
        </w:rPr>
        <w:t>Such criteria include:</w:t>
      </w:r>
      <w:r w:rsidR="00C941EF" w:rsidRPr="003A4656">
        <w:rPr>
          <w:rFonts w:ascii="Times New Roman" w:hAnsi="Times New Roman"/>
          <w:lang w:val="en-GB"/>
        </w:rPr>
        <w:t xml:space="preserve"> </w:t>
      </w:r>
    </w:p>
    <w:p w:rsidR="00C941EF" w:rsidRPr="003A4656" w:rsidRDefault="00C941EF"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early-onset breast cancer, usually defined as before age 50</w:t>
      </w:r>
      <w:r w:rsidR="001F2A42" w:rsidRPr="003A4656">
        <w:rPr>
          <w:rFonts w:ascii="Times New Roman" w:hAnsi="Times New Roman"/>
          <w:lang w:val="en-GB"/>
        </w:rPr>
        <w:t>;</w:t>
      </w:r>
    </w:p>
    <w:p w:rsidR="00C941EF" w:rsidRPr="003A4656" w:rsidRDefault="00C941EF"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ovarian cancer</w:t>
      </w:r>
      <w:r w:rsidR="001F2A42" w:rsidRPr="003A4656">
        <w:rPr>
          <w:rFonts w:ascii="Times New Roman" w:hAnsi="Times New Roman"/>
          <w:lang w:val="en-GB"/>
        </w:rPr>
        <w:t>;</w:t>
      </w:r>
    </w:p>
    <w:p w:rsidR="00C941EF" w:rsidRPr="003A4656" w:rsidRDefault="00C941EF"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individuals with two or more primary breast cancers, or breast and ovarian cancer in the same individual</w:t>
      </w:r>
      <w:r w:rsidR="001F2A42" w:rsidRPr="003A4656">
        <w:rPr>
          <w:rFonts w:ascii="Times New Roman" w:hAnsi="Times New Roman"/>
          <w:lang w:val="en-GB"/>
        </w:rPr>
        <w:t>;</w:t>
      </w:r>
    </w:p>
    <w:p w:rsidR="00C941EF" w:rsidRPr="003A4656" w:rsidRDefault="001F2A42"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male breast cancer;</w:t>
      </w:r>
    </w:p>
    <w:p w:rsidR="00C941EF" w:rsidRPr="003A4656" w:rsidRDefault="00C941EF"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two or more individuals in the family with breast and/or ovarian cancer</w:t>
      </w:r>
      <w:r w:rsidR="001F2A42" w:rsidRPr="003A4656">
        <w:rPr>
          <w:rFonts w:ascii="Times New Roman" w:hAnsi="Times New Roman"/>
          <w:lang w:val="en-GB"/>
        </w:rPr>
        <w:t>;</w:t>
      </w:r>
    </w:p>
    <w:p w:rsidR="00C941EF" w:rsidRPr="003A4656" w:rsidRDefault="00C941EF" w:rsidP="00101298">
      <w:pPr>
        <w:pStyle w:val="Paragrafoelenco1"/>
        <w:numPr>
          <w:ilvl w:val="0"/>
          <w:numId w:val="16"/>
        </w:numPr>
        <w:ind w:left="540" w:right="0" w:firstLine="0"/>
        <w:jc w:val="both"/>
        <w:rPr>
          <w:rFonts w:ascii="Times New Roman" w:hAnsi="Times New Roman"/>
          <w:lang w:val="en-GB"/>
        </w:rPr>
      </w:pPr>
      <w:r w:rsidRPr="003A4656">
        <w:rPr>
          <w:rFonts w:ascii="Times New Roman" w:hAnsi="Times New Roman"/>
          <w:lang w:val="en-GB"/>
        </w:rPr>
        <w:t xml:space="preserve">Ashkenazi Jewish ancestry and a previously identified </w:t>
      </w:r>
      <w:r w:rsidRPr="003A4656">
        <w:rPr>
          <w:rFonts w:ascii="Times New Roman" w:hAnsi="Times New Roman"/>
          <w:i/>
          <w:lang w:val="en-GB"/>
        </w:rPr>
        <w:t>BRCA</w:t>
      </w:r>
      <w:r w:rsidRPr="003A4656">
        <w:rPr>
          <w:rFonts w:ascii="Times New Roman" w:hAnsi="Times New Roman"/>
          <w:lang w:val="en-GB"/>
        </w:rPr>
        <w:t xml:space="preserve"> </w:t>
      </w:r>
      <w:r w:rsidR="001F2A42" w:rsidRPr="003A4656">
        <w:rPr>
          <w:rFonts w:ascii="Times New Roman" w:hAnsi="Times New Roman"/>
          <w:lang w:val="en-GB"/>
        </w:rPr>
        <w:t xml:space="preserve">gene </w:t>
      </w:r>
      <w:r w:rsidRPr="003A4656">
        <w:rPr>
          <w:rFonts w:ascii="Times New Roman" w:hAnsi="Times New Roman"/>
          <w:lang w:val="en-GB"/>
        </w:rPr>
        <w:t>mutation in the family</w:t>
      </w:r>
      <w:r w:rsidR="001F2A42" w:rsidRPr="003A4656">
        <w:rPr>
          <w:rFonts w:ascii="Times New Roman" w:hAnsi="Times New Roman"/>
          <w:lang w:val="en-GB"/>
        </w:rPr>
        <w:t>;</w:t>
      </w:r>
    </w:p>
    <w:p w:rsidR="00C941EF" w:rsidRPr="003A4656" w:rsidRDefault="00C941EF" w:rsidP="00101298">
      <w:pPr>
        <w:ind w:left="0" w:right="0" w:firstLine="360"/>
        <w:rPr>
          <w:b/>
          <w:i/>
          <w:sz w:val="22"/>
          <w:szCs w:val="22"/>
        </w:rPr>
      </w:pPr>
      <w:r w:rsidRPr="003A4656">
        <w:rPr>
          <w:b/>
          <w:sz w:val="22"/>
          <w:szCs w:val="22"/>
        </w:rPr>
        <w:t xml:space="preserve">2.2 Breast and Ovarian Cancer susceptibility genes </w:t>
      </w:r>
      <w:r w:rsidRPr="003A4656">
        <w:rPr>
          <w:b/>
          <w:i/>
          <w:sz w:val="22"/>
          <w:szCs w:val="22"/>
        </w:rPr>
        <w:t>BRCA1</w:t>
      </w:r>
      <w:r w:rsidRPr="003A4656">
        <w:rPr>
          <w:b/>
          <w:sz w:val="22"/>
          <w:szCs w:val="22"/>
        </w:rPr>
        <w:t xml:space="preserve"> and </w:t>
      </w:r>
      <w:r w:rsidRPr="003A4656">
        <w:rPr>
          <w:b/>
          <w:i/>
          <w:sz w:val="22"/>
          <w:szCs w:val="22"/>
        </w:rPr>
        <w:t>BRCA2</w:t>
      </w:r>
    </w:p>
    <w:p w:rsidR="00C941EF" w:rsidRPr="003A4656" w:rsidRDefault="00C941EF" w:rsidP="0005572B">
      <w:pPr>
        <w:pStyle w:val="Default"/>
        <w:spacing w:line="276" w:lineRule="auto"/>
        <w:jc w:val="both"/>
        <w:rPr>
          <w:rFonts w:ascii="Times New Roman" w:hAnsi="Times New Roman" w:cs="Times New Roman"/>
          <w:sz w:val="22"/>
          <w:szCs w:val="22"/>
          <w:lang w:val="en-GB"/>
        </w:rPr>
      </w:pPr>
    </w:p>
    <w:p w:rsidR="00C941EF" w:rsidRPr="003A4656" w:rsidRDefault="00C941EF" w:rsidP="0005572B">
      <w:pPr>
        <w:ind w:left="0" w:right="0" w:firstLine="360"/>
        <w:rPr>
          <w:b/>
          <w:sz w:val="22"/>
          <w:szCs w:val="22"/>
        </w:rPr>
      </w:pPr>
      <w:r w:rsidRPr="003A4656">
        <w:rPr>
          <w:b/>
          <w:sz w:val="22"/>
          <w:szCs w:val="22"/>
        </w:rPr>
        <w:t xml:space="preserve">2.2.1 Identification, structure and expression </w:t>
      </w:r>
    </w:p>
    <w:p w:rsidR="00C941EF" w:rsidRPr="003A4656" w:rsidRDefault="00C941EF" w:rsidP="0005572B">
      <w:pPr>
        <w:ind w:left="0" w:right="0"/>
        <w:rPr>
          <w:b/>
          <w:sz w:val="22"/>
          <w:szCs w:val="22"/>
        </w:rPr>
      </w:pPr>
    </w:p>
    <w:p w:rsidR="0008367A" w:rsidRPr="003A4656" w:rsidRDefault="00C941EF" w:rsidP="0005572B">
      <w:pPr>
        <w:ind w:left="0" w:right="0"/>
        <w:rPr>
          <w:sz w:val="22"/>
          <w:szCs w:val="22"/>
        </w:rPr>
      </w:pPr>
      <w:r w:rsidRPr="003A4656">
        <w:rPr>
          <w:sz w:val="22"/>
          <w:szCs w:val="22"/>
        </w:rPr>
        <w:t xml:space="preserve">The breast and ovarian cancer susceptibility gene 1 </w:t>
      </w:r>
      <w:r w:rsidRPr="003A4656">
        <w:rPr>
          <w:i/>
          <w:iCs/>
          <w:sz w:val="22"/>
          <w:szCs w:val="22"/>
        </w:rPr>
        <w:t xml:space="preserve">(BRCA1) </w:t>
      </w:r>
      <w:r w:rsidRPr="003A4656">
        <w:rPr>
          <w:sz w:val="22"/>
          <w:szCs w:val="22"/>
        </w:rPr>
        <w:t>on chromosome 17q21 was identified a</w:t>
      </w:r>
      <w:r w:rsidR="0008367A" w:rsidRPr="003A4656">
        <w:rPr>
          <w:sz w:val="22"/>
          <w:szCs w:val="22"/>
        </w:rPr>
        <w:t xml:space="preserve">nd cloned in 1994 by Miki et al. </w:t>
      </w:r>
      <w:r w:rsidRPr="003A4656">
        <w:rPr>
          <w:sz w:val="22"/>
          <w:szCs w:val="22"/>
        </w:rPr>
        <w:t xml:space="preserve">(Miki </w:t>
      </w:r>
      <w:r w:rsidR="00646072" w:rsidRPr="003A4656">
        <w:rPr>
          <w:sz w:val="22"/>
          <w:szCs w:val="22"/>
        </w:rPr>
        <w:t xml:space="preserve">Y. </w:t>
      </w:r>
      <w:r w:rsidRPr="003A4656">
        <w:rPr>
          <w:sz w:val="22"/>
          <w:szCs w:val="22"/>
        </w:rPr>
        <w:t xml:space="preserve">et al., 1994), one year before the reported cloning of a second breast cancer susceptibility gene </w:t>
      </w:r>
      <w:r w:rsidRPr="003A4656">
        <w:rPr>
          <w:i/>
          <w:iCs/>
          <w:sz w:val="22"/>
          <w:szCs w:val="22"/>
        </w:rPr>
        <w:t xml:space="preserve">(BRCA2) </w:t>
      </w:r>
      <w:r w:rsidRPr="003A4656">
        <w:rPr>
          <w:sz w:val="22"/>
          <w:szCs w:val="22"/>
        </w:rPr>
        <w:t>on chromosome 13q12-13 by Wooster et al.</w:t>
      </w:r>
      <w:r w:rsidR="00363EF6" w:rsidRPr="003A4656">
        <w:rPr>
          <w:sz w:val="22"/>
          <w:szCs w:val="22"/>
        </w:rPr>
        <w:t xml:space="preserve"> </w:t>
      </w:r>
      <w:r w:rsidRPr="003A4656">
        <w:rPr>
          <w:sz w:val="22"/>
          <w:szCs w:val="22"/>
        </w:rPr>
        <w:t xml:space="preserve">(Wooster </w:t>
      </w:r>
      <w:r w:rsidR="00893C60" w:rsidRPr="003A4656">
        <w:rPr>
          <w:sz w:val="22"/>
          <w:szCs w:val="22"/>
        </w:rPr>
        <w:t xml:space="preserve">R. </w:t>
      </w:r>
      <w:r w:rsidRPr="003A4656">
        <w:rPr>
          <w:sz w:val="22"/>
          <w:szCs w:val="22"/>
        </w:rPr>
        <w:t>et al</w:t>
      </w:r>
      <w:r w:rsidR="00893C60" w:rsidRPr="003A4656">
        <w:rPr>
          <w:sz w:val="22"/>
          <w:szCs w:val="22"/>
        </w:rPr>
        <w:t>.</w:t>
      </w:r>
      <w:r w:rsidRPr="003A4656">
        <w:rPr>
          <w:sz w:val="22"/>
          <w:szCs w:val="22"/>
        </w:rPr>
        <w:t xml:space="preserve">,1995). </w:t>
      </w:r>
    </w:p>
    <w:p w:rsidR="00C941EF" w:rsidRPr="003A4656" w:rsidRDefault="00C941EF" w:rsidP="0005572B">
      <w:pPr>
        <w:ind w:left="0" w:right="0"/>
        <w:rPr>
          <w:sz w:val="22"/>
          <w:szCs w:val="22"/>
        </w:rPr>
      </w:pPr>
      <w:r w:rsidRPr="003A4656">
        <w:rPr>
          <w:sz w:val="22"/>
          <w:szCs w:val="22"/>
        </w:rPr>
        <w:t xml:space="preserve">The </w:t>
      </w:r>
      <w:r w:rsidRPr="003A4656">
        <w:rPr>
          <w:i/>
          <w:iCs/>
          <w:sz w:val="22"/>
          <w:szCs w:val="22"/>
        </w:rPr>
        <w:t xml:space="preserve">BRCA1 </w:t>
      </w:r>
      <w:r w:rsidR="001F2A42" w:rsidRPr="003A4656">
        <w:rPr>
          <w:sz w:val="22"/>
          <w:szCs w:val="22"/>
        </w:rPr>
        <w:t>gene fits the classical Knudso</w:t>
      </w:r>
      <w:r w:rsidRPr="003A4656">
        <w:rPr>
          <w:sz w:val="22"/>
          <w:szCs w:val="22"/>
        </w:rPr>
        <w:t xml:space="preserve">n “two hit” model of a tumor suppressor gene. </w:t>
      </w:r>
    </w:p>
    <w:p w:rsidR="00C941EF" w:rsidRPr="003A4656" w:rsidRDefault="00C941EF" w:rsidP="0005572B">
      <w:pPr>
        <w:ind w:left="0" w:right="0"/>
        <w:rPr>
          <w:sz w:val="22"/>
          <w:szCs w:val="22"/>
        </w:rPr>
      </w:pPr>
      <w:r w:rsidRPr="003A4656">
        <w:rPr>
          <w:sz w:val="22"/>
          <w:szCs w:val="22"/>
        </w:rPr>
        <w:t xml:space="preserve">The </w:t>
      </w:r>
      <w:r w:rsidRPr="003A4656">
        <w:rPr>
          <w:i/>
          <w:sz w:val="22"/>
          <w:szCs w:val="22"/>
        </w:rPr>
        <w:t>BRCA1</w:t>
      </w:r>
      <w:r w:rsidRPr="003A4656">
        <w:rPr>
          <w:sz w:val="22"/>
          <w:szCs w:val="22"/>
        </w:rPr>
        <w:t xml:space="preserve"> gene contains 24 exons, 2</w:t>
      </w:r>
      <w:r w:rsidR="00D71EBD" w:rsidRPr="003A4656">
        <w:rPr>
          <w:sz w:val="22"/>
          <w:szCs w:val="22"/>
        </w:rPr>
        <w:t xml:space="preserve">3 </w:t>
      </w:r>
      <w:r w:rsidRPr="003A4656">
        <w:rPr>
          <w:sz w:val="22"/>
          <w:szCs w:val="22"/>
        </w:rPr>
        <w:t xml:space="preserve">of which are coding (Miki </w:t>
      </w:r>
      <w:r w:rsidR="00646072" w:rsidRPr="003A4656">
        <w:rPr>
          <w:sz w:val="22"/>
          <w:szCs w:val="22"/>
        </w:rPr>
        <w:t>Y.</w:t>
      </w:r>
      <w:r w:rsidRPr="003A4656">
        <w:rPr>
          <w:sz w:val="22"/>
          <w:szCs w:val="22"/>
        </w:rPr>
        <w:t>et al., 1994)</w:t>
      </w:r>
      <w:r w:rsidR="00D71EBD" w:rsidRPr="003A4656">
        <w:rPr>
          <w:sz w:val="22"/>
          <w:szCs w:val="22"/>
        </w:rPr>
        <w:t>, subject to alternative s</w:t>
      </w:r>
      <w:r w:rsidR="006C23AB" w:rsidRPr="003A4656">
        <w:rPr>
          <w:sz w:val="22"/>
          <w:szCs w:val="22"/>
        </w:rPr>
        <w:t>plicing</w:t>
      </w:r>
      <w:r w:rsidRPr="003A4656">
        <w:rPr>
          <w:sz w:val="22"/>
          <w:szCs w:val="22"/>
        </w:rPr>
        <w:t xml:space="preserve">. Exon 11 is the largest exon and encodes about 60% of the protein. The BRCA1 protein consists of 1863 amino acids </w:t>
      </w:r>
      <w:r w:rsidR="005428EB" w:rsidRPr="003A4656">
        <w:rPr>
          <w:sz w:val="22"/>
          <w:szCs w:val="22"/>
        </w:rPr>
        <w:t>(</w:t>
      </w:r>
      <w:proofErr w:type="gramStart"/>
      <w:r w:rsidR="005428EB" w:rsidRPr="003A4656">
        <w:rPr>
          <w:sz w:val="22"/>
          <w:szCs w:val="22"/>
        </w:rPr>
        <w:t>aa</w:t>
      </w:r>
      <w:proofErr w:type="gramEnd"/>
      <w:r w:rsidR="005428EB" w:rsidRPr="003A4656">
        <w:rPr>
          <w:sz w:val="22"/>
          <w:szCs w:val="22"/>
        </w:rPr>
        <w:t xml:space="preserve">) </w:t>
      </w:r>
      <w:r w:rsidRPr="003A4656">
        <w:rPr>
          <w:sz w:val="22"/>
          <w:szCs w:val="22"/>
        </w:rPr>
        <w:t xml:space="preserve">and </w:t>
      </w:r>
      <w:r w:rsidR="006C23AB" w:rsidRPr="003A4656">
        <w:rPr>
          <w:sz w:val="22"/>
          <w:szCs w:val="22"/>
        </w:rPr>
        <w:t>contains</w:t>
      </w:r>
      <w:r w:rsidRPr="003A4656">
        <w:rPr>
          <w:sz w:val="22"/>
          <w:szCs w:val="22"/>
        </w:rPr>
        <w:t xml:space="preserve"> an N-terminal RING domain (</w:t>
      </w:r>
      <w:r w:rsidR="00C3458C" w:rsidRPr="003A4656">
        <w:rPr>
          <w:sz w:val="22"/>
          <w:szCs w:val="22"/>
        </w:rPr>
        <w:t>aa</w:t>
      </w:r>
      <w:r w:rsidRPr="003A4656">
        <w:rPr>
          <w:sz w:val="22"/>
          <w:szCs w:val="22"/>
        </w:rPr>
        <w:t xml:space="preserve"> 1-109) and a C-terminal acidic domain (TAD). </w:t>
      </w:r>
    </w:p>
    <w:p w:rsidR="00C941EF" w:rsidRPr="003A4656" w:rsidRDefault="00C941EF" w:rsidP="0005572B">
      <w:pPr>
        <w:ind w:left="0" w:right="0"/>
        <w:rPr>
          <w:sz w:val="22"/>
          <w:szCs w:val="22"/>
        </w:rPr>
      </w:pPr>
      <w:r w:rsidRPr="003A4656">
        <w:rPr>
          <w:sz w:val="22"/>
          <w:szCs w:val="22"/>
        </w:rPr>
        <w:t xml:space="preserve">The RING domain of </w:t>
      </w:r>
      <w:r w:rsidRPr="003A4656">
        <w:rPr>
          <w:i/>
          <w:sz w:val="22"/>
          <w:szCs w:val="22"/>
        </w:rPr>
        <w:t>BRCA1</w:t>
      </w:r>
      <w:r w:rsidRPr="003A4656">
        <w:rPr>
          <w:sz w:val="22"/>
          <w:szCs w:val="22"/>
        </w:rPr>
        <w:t xml:space="preserve"> consists of a RING finger and two flanking alpha helic</w:t>
      </w:r>
      <w:r w:rsidR="006C23AB" w:rsidRPr="003A4656">
        <w:rPr>
          <w:sz w:val="22"/>
          <w:szCs w:val="22"/>
        </w:rPr>
        <w:t>es</w:t>
      </w:r>
      <w:r w:rsidRPr="003A4656">
        <w:rPr>
          <w:sz w:val="22"/>
          <w:szCs w:val="22"/>
        </w:rPr>
        <w:t xml:space="preserve"> (Brzovic P</w:t>
      </w:r>
      <w:r w:rsidR="002D3B8F" w:rsidRPr="003A4656">
        <w:rPr>
          <w:sz w:val="22"/>
          <w:szCs w:val="22"/>
        </w:rPr>
        <w:t>.</w:t>
      </w:r>
      <w:r w:rsidRPr="003A4656">
        <w:rPr>
          <w:sz w:val="22"/>
          <w:szCs w:val="22"/>
        </w:rPr>
        <w:t>S</w:t>
      </w:r>
      <w:r w:rsidR="002D3B8F" w:rsidRPr="003A4656">
        <w:rPr>
          <w:sz w:val="22"/>
          <w:szCs w:val="22"/>
        </w:rPr>
        <w:t>.</w:t>
      </w:r>
      <w:r w:rsidRPr="003A4656">
        <w:rPr>
          <w:sz w:val="22"/>
          <w:szCs w:val="22"/>
        </w:rPr>
        <w:t xml:space="preserve"> et al. 2001).  Through seven conserved cysteine residues and one conserved histidine residue, the RING finger coordinates two Zn</w:t>
      </w:r>
      <w:r w:rsidRPr="003A4656">
        <w:rPr>
          <w:sz w:val="22"/>
          <w:szCs w:val="22"/>
          <w:vertAlign w:val="superscript"/>
        </w:rPr>
        <w:t>2+</w:t>
      </w:r>
      <w:r w:rsidRPr="003A4656">
        <w:rPr>
          <w:sz w:val="22"/>
          <w:szCs w:val="22"/>
        </w:rPr>
        <w:t xml:space="preserve"> atoms which stabilize the RING structure (</w:t>
      </w:r>
      <w:r w:rsidR="00363EF6" w:rsidRPr="003A4656">
        <w:rPr>
          <w:rFonts w:eastAsia="TimesNewRomanPS"/>
          <w:sz w:val="22"/>
          <w:szCs w:val="22"/>
        </w:rPr>
        <w:t>Lipkowitz S. and Weissman A.M.</w:t>
      </w:r>
      <w:r w:rsidRPr="003A4656">
        <w:rPr>
          <w:sz w:val="22"/>
          <w:szCs w:val="22"/>
        </w:rPr>
        <w:t xml:space="preserve">, 2011). </w:t>
      </w:r>
    </w:p>
    <w:p w:rsidR="005E6CB5" w:rsidRPr="003A4656" w:rsidRDefault="00C3458C" w:rsidP="0005572B">
      <w:pPr>
        <w:ind w:left="0" w:right="0"/>
        <w:rPr>
          <w:sz w:val="22"/>
          <w:szCs w:val="22"/>
        </w:rPr>
      </w:pPr>
      <w:r w:rsidRPr="003A4656">
        <w:rPr>
          <w:sz w:val="22"/>
          <w:szCs w:val="22"/>
        </w:rPr>
        <w:t>The RING f</w:t>
      </w:r>
      <w:r w:rsidR="00C941EF" w:rsidRPr="003A4656">
        <w:rPr>
          <w:sz w:val="22"/>
          <w:szCs w:val="22"/>
        </w:rPr>
        <w:t>inger is responsible for the E3-ubiquitin ligase activity of BRCA1 (Lorick K</w:t>
      </w:r>
      <w:r w:rsidR="00363EF6" w:rsidRPr="003A4656">
        <w:rPr>
          <w:sz w:val="22"/>
          <w:szCs w:val="22"/>
        </w:rPr>
        <w:t>.</w:t>
      </w:r>
      <w:r w:rsidR="00C941EF" w:rsidRPr="003A4656">
        <w:rPr>
          <w:sz w:val="22"/>
          <w:szCs w:val="22"/>
        </w:rPr>
        <w:t>L</w:t>
      </w:r>
      <w:r w:rsidR="00363EF6" w:rsidRPr="003A4656">
        <w:rPr>
          <w:sz w:val="22"/>
          <w:szCs w:val="22"/>
        </w:rPr>
        <w:t>.</w:t>
      </w:r>
      <w:r w:rsidR="00C941EF" w:rsidRPr="003A4656">
        <w:rPr>
          <w:sz w:val="22"/>
          <w:szCs w:val="22"/>
        </w:rPr>
        <w:t xml:space="preserve"> et al., 1999) and the N</w:t>
      </w:r>
      <w:r w:rsidR="005428EB" w:rsidRPr="003A4656">
        <w:rPr>
          <w:sz w:val="22"/>
          <w:szCs w:val="22"/>
        </w:rPr>
        <w:t>-</w:t>
      </w:r>
      <w:r w:rsidR="00C941EF" w:rsidRPr="003A4656">
        <w:rPr>
          <w:sz w:val="22"/>
          <w:szCs w:val="22"/>
        </w:rPr>
        <w:t xml:space="preserve"> and C-terminal helices are responsible for the interaction of BRCA1 with BARD1, a major BRCA1 binding partner that also contains a RING domain </w:t>
      </w:r>
      <w:r w:rsidRPr="003A4656">
        <w:rPr>
          <w:sz w:val="22"/>
          <w:szCs w:val="22"/>
        </w:rPr>
        <w:t xml:space="preserve">and α-helices </w:t>
      </w:r>
      <w:r w:rsidR="00C941EF" w:rsidRPr="003A4656">
        <w:rPr>
          <w:sz w:val="22"/>
          <w:szCs w:val="22"/>
        </w:rPr>
        <w:t>(Wu L</w:t>
      </w:r>
      <w:r w:rsidR="00363EF6" w:rsidRPr="003A4656">
        <w:rPr>
          <w:sz w:val="22"/>
          <w:szCs w:val="22"/>
        </w:rPr>
        <w:t>.</w:t>
      </w:r>
      <w:r w:rsidR="00C941EF" w:rsidRPr="003A4656">
        <w:rPr>
          <w:sz w:val="22"/>
          <w:szCs w:val="22"/>
        </w:rPr>
        <w:t>C</w:t>
      </w:r>
      <w:r w:rsidR="00363EF6" w:rsidRPr="003A4656">
        <w:rPr>
          <w:sz w:val="22"/>
          <w:szCs w:val="22"/>
        </w:rPr>
        <w:t>.</w:t>
      </w:r>
      <w:r w:rsidR="00C941EF" w:rsidRPr="003A4656">
        <w:rPr>
          <w:sz w:val="22"/>
          <w:szCs w:val="22"/>
        </w:rPr>
        <w:t xml:space="preserve"> et al, 1996). The ubiquitin ligase activity of BRCA1 is dramatically increased by </w:t>
      </w:r>
      <w:r w:rsidR="00720319" w:rsidRPr="003A4656">
        <w:rPr>
          <w:sz w:val="22"/>
          <w:szCs w:val="22"/>
        </w:rPr>
        <w:t xml:space="preserve">the </w:t>
      </w:r>
      <w:r w:rsidR="00C941EF" w:rsidRPr="003A4656">
        <w:rPr>
          <w:sz w:val="22"/>
          <w:szCs w:val="22"/>
        </w:rPr>
        <w:t xml:space="preserve">formation of the BRCA1/BARD1 heterodimer (Hashizume R. et al., 2001). The </w:t>
      </w:r>
      <w:r w:rsidRPr="003A4656">
        <w:rPr>
          <w:sz w:val="22"/>
          <w:szCs w:val="22"/>
        </w:rPr>
        <w:t>occurence</w:t>
      </w:r>
      <w:r w:rsidR="00C941EF" w:rsidRPr="003A4656">
        <w:rPr>
          <w:sz w:val="22"/>
          <w:szCs w:val="22"/>
        </w:rPr>
        <w:t xml:space="preserve"> of cancer predisposing mutations that affect the interaction of BRCA1/BARD1 as well as the RING E3 ligase function suggest that the ubiquitin ligase activity of BRCA1 is essential for its tumor sup</w:t>
      </w:r>
      <w:r w:rsidR="005E6CB5" w:rsidRPr="003A4656">
        <w:rPr>
          <w:sz w:val="22"/>
          <w:szCs w:val="22"/>
        </w:rPr>
        <w:t>pressor function (Greenberg R</w:t>
      </w:r>
      <w:r w:rsidR="00363EF6" w:rsidRPr="003A4656">
        <w:rPr>
          <w:sz w:val="22"/>
          <w:szCs w:val="22"/>
        </w:rPr>
        <w:t>.</w:t>
      </w:r>
      <w:r w:rsidR="005E6CB5" w:rsidRPr="003A4656">
        <w:rPr>
          <w:sz w:val="22"/>
          <w:szCs w:val="22"/>
        </w:rPr>
        <w:t>A</w:t>
      </w:r>
      <w:r w:rsidR="00363EF6" w:rsidRPr="003A4656">
        <w:rPr>
          <w:sz w:val="22"/>
          <w:szCs w:val="22"/>
        </w:rPr>
        <w:t>., 2011</w:t>
      </w:r>
      <w:r w:rsidR="005E6CB5" w:rsidRPr="003A4656">
        <w:rPr>
          <w:sz w:val="22"/>
          <w:szCs w:val="22"/>
        </w:rPr>
        <w:t>).</w:t>
      </w:r>
    </w:p>
    <w:p w:rsidR="00720319" w:rsidRPr="003A4656" w:rsidRDefault="00720319" w:rsidP="00720319">
      <w:pPr>
        <w:ind w:left="0" w:right="0"/>
        <w:rPr>
          <w:rFonts w:eastAsiaTheme="minorHAnsi"/>
          <w:sz w:val="22"/>
          <w:szCs w:val="22"/>
          <w:lang w:eastAsia="en-US"/>
        </w:rPr>
      </w:pPr>
      <w:r w:rsidRPr="003A4656">
        <w:rPr>
          <w:sz w:val="22"/>
          <w:szCs w:val="22"/>
        </w:rPr>
        <w:t xml:space="preserve">The C-terminal region of BRCA1 contains a tandem repeat of 95 aa </w:t>
      </w:r>
      <w:r w:rsidRPr="003A4656">
        <w:rPr>
          <w:rFonts w:eastAsiaTheme="minorHAnsi"/>
          <w:sz w:val="22"/>
          <w:szCs w:val="22"/>
          <w:lang w:eastAsia="en-US"/>
        </w:rPr>
        <w:t xml:space="preserve">(aa 1646–1736 and aa 1760–1855) </w:t>
      </w:r>
      <w:r w:rsidRPr="003A4656">
        <w:rPr>
          <w:sz w:val="22"/>
          <w:szCs w:val="22"/>
        </w:rPr>
        <w:t xml:space="preserve">called BRCA1-associated C-terminal (BRCT) domains that are homologous to similar domains found within various DNA repair and cell cycle check point proteins (Bork P. et al., 1997). </w:t>
      </w:r>
    </w:p>
    <w:p w:rsidR="005E6CB5" w:rsidRPr="003A4656" w:rsidRDefault="005E6CB5" w:rsidP="0005572B">
      <w:pPr>
        <w:ind w:left="0" w:right="0"/>
        <w:rPr>
          <w:sz w:val="22"/>
          <w:szCs w:val="22"/>
          <w:lang w:eastAsia="it-IT"/>
        </w:rPr>
      </w:pPr>
      <w:r w:rsidRPr="003A4656">
        <w:rPr>
          <w:sz w:val="22"/>
          <w:szCs w:val="22"/>
          <w:lang w:eastAsia="it-IT"/>
        </w:rPr>
        <w:t>A schematic representation of BRCA</w:t>
      </w:r>
      <w:r w:rsidR="004571AB" w:rsidRPr="003A4656">
        <w:rPr>
          <w:sz w:val="22"/>
          <w:szCs w:val="22"/>
          <w:lang w:eastAsia="it-IT"/>
        </w:rPr>
        <w:t>1</w:t>
      </w:r>
      <w:r w:rsidRPr="003A4656">
        <w:rPr>
          <w:sz w:val="22"/>
          <w:szCs w:val="22"/>
          <w:lang w:eastAsia="it-IT"/>
        </w:rPr>
        <w:t xml:space="preserve"> protein domain</w:t>
      </w:r>
      <w:r w:rsidR="004571AB" w:rsidRPr="003A4656">
        <w:rPr>
          <w:sz w:val="22"/>
          <w:szCs w:val="22"/>
          <w:lang w:eastAsia="it-IT"/>
        </w:rPr>
        <w:t>s</w:t>
      </w:r>
      <w:r w:rsidRPr="003A4656">
        <w:rPr>
          <w:sz w:val="22"/>
          <w:szCs w:val="22"/>
          <w:lang w:eastAsia="it-IT"/>
        </w:rPr>
        <w:t xml:space="preserve"> is depicted in Figure 2.</w:t>
      </w:r>
    </w:p>
    <w:p w:rsidR="00C941EF" w:rsidRPr="003A4656" w:rsidRDefault="00C941EF" w:rsidP="0005572B">
      <w:pPr>
        <w:ind w:left="0" w:right="0"/>
        <w:rPr>
          <w:sz w:val="22"/>
          <w:szCs w:val="22"/>
        </w:rPr>
      </w:pPr>
    </w:p>
    <w:p w:rsidR="00C941EF" w:rsidRPr="003A4656" w:rsidRDefault="00C941EF" w:rsidP="0005572B">
      <w:pPr>
        <w:ind w:left="0" w:right="0"/>
        <w:jc w:val="center"/>
        <w:rPr>
          <w:sz w:val="22"/>
          <w:szCs w:val="22"/>
        </w:rPr>
      </w:pPr>
      <w:r w:rsidRPr="003A4656">
        <w:rPr>
          <w:noProof/>
          <w:sz w:val="22"/>
          <w:szCs w:val="22"/>
          <w:lang w:val="en-US" w:eastAsia="en-US"/>
        </w:rPr>
        <w:drawing>
          <wp:inline distT="0" distB="0" distL="0" distR="0">
            <wp:extent cx="3203195" cy="914400"/>
            <wp:effectExtent l="6095" t="0" r="0" b="0"/>
            <wp:docPr id="3" name="Object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200400" cy="914400"/>
                      <a:chOff x="914400" y="457200"/>
                      <a:chExt cx="3200400" cy="914400"/>
                    </a:xfrm>
                  </a:grpSpPr>
                  <a:grpSp>
                    <a:nvGrpSpPr>
                      <a:cNvPr id="11" name="Group 10"/>
                      <a:cNvGrpSpPr/>
                    </a:nvGrpSpPr>
                    <a:grpSpPr>
                      <a:xfrm>
                        <a:off x="914400" y="457200"/>
                        <a:ext cx="3200400" cy="914400"/>
                        <a:chOff x="914400" y="457200"/>
                        <a:chExt cx="3200400" cy="914400"/>
                      </a:xfrm>
                    </a:grpSpPr>
                    <a:grpSp>
                      <a:nvGrpSpPr>
                        <a:cNvPr id="3" name="Group 8"/>
                        <a:cNvGrpSpPr/>
                      </a:nvGrpSpPr>
                      <a:grpSpPr>
                        <a:xfrm>
                          <a:off x="914400" y="457200"/>
                          <a:ext cx="3200400" cy="914400"/>
                          <a:chOff x="914400" y="457200"/>
                          <a:chExt cx="3200400" cy="914400"/>
                        </a:xfrm>
                      </a:grpSpPr>
                      <a:pic>
                        <a:nvPicPr>
                          <a:cNvPr id="1026" name="Picture 2"/>
                          <a:cNvPicPr>
                            <a:picLocks noChangeAspect="1" noChangeArrowheads="1"/>
                          </a:cNvPicPr>
                        </a:nvPicPr>
                        <a:blipFill>
                          <a:blip r:embed="rId28"/>
                          <a:srcRect r="28814" b="69568"/>
                          <a:stretch>
                            <a:fillRect/>
                          </a:stretch>
                        </a:blipFill>
                        <a:spPr bwMode="auto">
                          <a:xfrm>
                            <a:off x="914400" y="457200"/>
                            <a:ext cx="3200400" cy="914400"/>
                          </a:xfrm>
                          <a:prstGeom prst="rect">
                            <a:avLst/>
                          </a:prstGeom>
                          <a:noFill/>
                          <a:ln w="9525">
                            <a:noFill/>
                            <a:miter lim="800000"/>
                            <a:headEnd/>
                            <a:tailEnd/>
                          </a:ln>
                        </a:spPr>
                      </a:pic>
                      <a:sp>
                        <a:nvSpPr>
                          <a:cNvPr id="7" name="Rectangle 6"/>
                          <a:cNvSpPr/>
                        </a:nvSpPr>
                        <a:spPr>
                          <a:xfrm>
                            <a:off x="2667000" y="457200"/>
                            <a:ext cx="1066800" cy="533400"/>
                          </a:xfrm>
                          <a:prstGeom prst="rect">
                            <a:avLst/>
                          </a:prstGeom>
                          <a:solidFill>
                            <a:schemeClr val="bg1"/>
                          </a:solidFill>
                          <a:ln>
                            <a:solidFill>
                              <a:schemeClr val="bg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TextBox 7"/>
                          <a:cNvSpPr txBox="1"/>
                        </a:nvSpPr>
                        <a:spPr>
                          <a:xfrm>
                            <a:off x="2819400" y="533400"/>
                            <a:ext cx="990600" cy="461665"/>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800" b="1" dirty="0" smtClean="0"/>
                                <a:t>                    Abraxas</a:t>
                              </a:r>
                            </a:p>
                            <a:p>
                              <a:r>
                                <a:rPr lang="it-IT" sz="800" b="1" dirty="0" smtClean="0"/>
                                <a:t>                      BRIP1</a:t>
                              </a:r>
                            </a:p>
                            <a:p>
                              <a:r>
                                <a:rPr lang="it-IT" sz="800" b="1" dirty="0" smtClean="0"/>
                                <a:t>PALB2           CtIP     </a:t>
                              </a:r>
                              <a:endParaRPr lang="en-US" sz="800" b="1" dirty="0"/>
                            </a:p>
                          </a:txBody>
                          <a:useSpRect/>
                        </a:txSp>
                      </a:sp>
                    </a:grpSp>
                    <a:sp>
                      <a:nvSpPr>
                        <a:cNvPr id="10" name="Rectangle 9"/>
                        <a:cNvSpPr/>
                      </a:nvSpPr>
                      <a:spPr>
                        <a:xfrm rot="19982311" flipV="1">
                          <a:off x="2522719" y="1259812"/>
                          <a:ext cx="427162" cy="45719"/>
                        </a:xfrm>
                        <a:prstGeom prst="rect">
                          <a:avLst/>
                        </a:prstGeom>
                        <a:solidFill>
                          <a:schemeClr val="bg1"/>
                        </a:solidFill>
                        <a:ln>
                          <a:solidFill>
                            <a:schemeClr val="bg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C941EF" w:rsidRPr="003A4656" w:rsidRDefault="00C941EF" w:rsidP="0005572B">
      <w:pPr>
        <w:ind w:left="0" w:right="0"/>
        <w:jc w:val="center"/>
        <w:rPr>
          <w:i/>
        </w:rPr>
      </w:pPr>
      <w:proofErr w:type="gramStart"/>
      <w:r w:rsidRPr="003A4656">
        <w:rPr>
          <w:i/>
        </w:rPr>
        <w:t>Fig. 2.</w:t>
      </w:r>
      <w:proofErr w:type="gramEnd"/>
      <w:r w:rsidRPr="003A4656">
        <w:rPr>
          <w:i/>
        </w:rPr>
        <w:t xml:space="preserve"> BRCA1 structure</w:t>
      </w:r>
    </w:p>
    <w:p w:rsidR="00C3458C" w:rsidRPr="003A4656" w:rsidRDefault="00C3458C" w:rsidP="0005572B">
      <w:pPr>
        <w:ind w:left="0" w:right="0"/>
        <w:rPr>
          <w:i/>
        </w:rPr>
      </w:pPr>
    </w:p>
    <w:p w:rsidR="00C941EF" w:rsidRPr="003A4656" w:rsidRDefault="00C941EF" w:rsidP="0005572B">
      <w:pPr>
        <w:ind w:left="0" w:right="0"/>
        <w:rPr>
          <w:sz w:val="22"/>
          <w:szCs w:val="22"/>
        </w:rPr>
      </w:pPr>
      <w:r w:rsidRPr="003A4656">
        <w:rPr>
          <w:sz w:val="22"/>
          <w:szCs w:val="22"/>
        </w:rPr>
        <w:t xml:space="preserve">Human </w:t>
      </w:r>
      <w:r w:rsidRPr="003A4656">
        <w:rPr>
          <w:i/>
          <w:sz w:val="22"/>
          <w:szCs w:val="22"/>
        </w:rPr>
        <w:t>BRCA2</w:t>
      </w:r>
      <w:r w:rsidRPr="003A4656">
        <w:rPr>
          <w:sz w:val="22"/>
          <w:szCs w:val="22"/>
        </w:rPr>
        <w:t>, found in chromosome 13q12-q13, was cloned in 1995 (Wooster R</w:t>
      </w:r>
      <w:r w:rsidR="00646072" w:rsidRPr="003A4656">
        <w:rPr>
          <w:sz w:val="22"/>
          <w:szCs w:val="22"/>
        </w:rPr>
        <w:t>.</w:t>
      </w:r>
      <w:r w:rsidRPr="003A4656">
        <w:rPr>
          <w:sz w:val="22"/>
          <w:szCs w:val="22"/>
        </w:rPr>
        <w:t xml:space="preserve"> et al., 1995). It has 27 exons, 26 of which are coding. </w:t>
      </w:r>
      <w:proofErr w:type="gramStart"/>
      <w:r w:rsidR="00720319" w:rsidRPr="003A4656">
        <w:rPr>
          <w:sz w:val="22"/>
          <w:szCs w:val="22"/>
        </w:rPr>
        <w:t>As in the case of</w:t>
      </w:r>
      <w:r w:rsidRPr="003A4656">
        <w:rPr>
          <w:sz w:val="22"/>
          <w:szCs w:val="22"/>
        </w:rPr>
        <w:t xml:space="preserve"> </w:t>
      </w:r>
      <w:r w:rsidRPr="003A4656">
        <w:rPr>
          <w:i/>
          <w:sz w:val="22"/>
          <w:szCs w:val="22"/>
        </w:rPr>
        <w:t>BRCA1</w:t>
      </w:r>
      <w:r w:rsidR="00720319" w:rsidRPr="003A4656">
        <w:rPr>
          <w:sz w:val="22"/>
          <w:szCs w:val="22"/>
        </w:rPr>
        <w:t>, exon 11 takes most (&gt;</w:t>
      </w:r>
      <w:r w:rsidRPr="003A4656">
        <w:rPr>
          <w:sz w:val="22"/>
          <w:szCs w:val="22"/>
        </w:rPr>
        <w:t>50%</w:t>
      </w:r>
      <w:r w:rsidR="00720319" w:rsidRPr="003A4656">
        <w:rPr>
          <w:sz w:val="22"/>
          <w:szCs w:val="22"/>
        </w:rPr>
        <w:t>)</w:t>
      </w:r>
      <w:r w:rsidRPr="003A4656">
        <w:rPr>
          <w:sz w:val="22"/>
          <w:szCs w:val="22"/>
        </w:rPr>
        <w:t xml:space="preserve"> of the coding region</w:t>
      </w:r>
      <w:r w:rsidR="00B30DCC" w:rsidRPr="003A4656">
        <w:rPr>
          <w:sz w:val="22"/>
          <w:szCs w:val="22"/>
        </w:rPr>
        <w:t>.</w:t>
      </w:r>
      <w:proofErr w:type="gramEnd"/>
      <w:r w:rsidR="00B30DCC" w:rsidRPr="003A4656">
        <w:rPr>
          <w:sz w:val="22"/>
          <w:szCs w:val="22"/>
        </w:rPr>
        <w:t xml:space="preserve"> BRCA2 is a large protein of 3</w:t>
      </w:r>
      <w:r w:rsidR="00496265" w:rsidRPr="003A4656">
        <w:rPr>
          <w:sz w:val="22"/>
          <w:szCs w:val="22"/>
        </w:rPr>
        <w:t xml:space="preserve">418 </w:t>
      </w:r>
      <w:proofErr w:type="gramStart"/>
      <w:r w:rsidR="00496265" w:rsidRPr="003A4656">
        <w:rPr>
          <w:sz w:val="22"/>
          <w:szCs w:val="22"/>
        </w:rPr>
        <w:t>aa</w:t>
      </w:r>
      <w:proofErr w:type="gramEnd"/>
      <w:r w:rsidRPr="003A4656">
        <w:rPr>
          <w:sz w:val="22"/>
          <w:szCs w:val="22"/>
        </w:rPr>
        <w:t>. It is a ubiquitous cell cycle-regulated protein that localizes to the nucleus in normal cells (Bertwistle D</w:t>
      </w:r>
      <w:r w:rsidR="006523C1" w:rsidRPr="003A4656">
        <w:rPr>
          <w:sz w:val="22"/>
          <w:szCs w:val="22"/>
        </w:rPr>
        <w:t>.</w:t>
      </w:r>
      <w:r w:rsidRPr="003A4656">
        <w:rPr>
          <w:sz w:val="22"/>
          <w:szCs w:val="22"/>
        </w:rPr>
        <w:t xml:space="preserve"> et al., 1997). </w:t>
      </w:r>
    </w:p>
    <w:p w:rsidR="00C941EF" w:rsidRPr="003A4656" w:rsidRDefault="00C3458C" w:rsidP="0005572B">
      <w:pPr>
        <w:ind w:left="0" w:right="0"/>
        <w:rPr>
          <w:color w:val="FF0000"/>
          <w:sz w:val="22"/>
          <w:szCs w:val="22"/>
          <w:lang w:eastAsia="it-IT"/>
        </w:rPr>
      </w:pPr>
      <w:r w:rsidRPr="003A4656">
        <w:rPr>
          <w:sz w:val="22"/>
          <w:szCs w:val="22"/>
          <w:lang w:eastAsia="it-IT"/>
        </w:rPr>
        <w:t>The N-</w:t>
      </w:r>
      <w:r w:rsidR="00C941EF" w:rsidRPr="003A4656">
        <w:rPr>
          <w:sz w:val="22"/>
          <w:szCs w:val="22"/>
          <w:lang w:eastAsia="it-IT"/>
        </w:rPr>
        <w:t>te</w:t>
      </w:r>
      <w:r w:rsidRPr="003A4656">
        <w:rPr>
          <w:sz w:val="22"/>
          <w:szCs w:val="22"/>
          <w:lang w:eastAsia="it-IT"/>
        </w:rPr>
        <w:t xml:space="preserve">rminus of BRCA2 binds the </w:t>
      </w:r>
      <w:r w:rsidR="00720319" w:rsidRPr="003A4656">
        <w:rPr>
          <w:sz w:val="22"/>
          <w:szCs w:val="22"/>
          <w:lang w:eastAsia="it-IT"/>
        </w:rPr>
        <w:t>‘partner and localizers of BRCA2’ (</w:t>
      </w:r>
      <w:r w:rsidRPr="003A4656">
        <w:rPr>
          <w:sz w:val="22"/>
          <w:szCs w:val="22"/>
          <w:lang w:eastAsia="it-IT"/>
        </w:rPr>
        <w:t>PALB2</w:t>
      </w:r>
      <w:r w:rsidR="00720319" w:rsidRPr="003A4656">
        <w:rPr>
          <w:sz w:val="22"/>
          <w:szCs w:val="22"/>
          <w:lang w:eastAsia="it-IT"/>
        </w:rPr>
        <w:t>)</w:t>
      </w:r>
      <w:r w:rsidRPr="003A4656">
        <w:rPr>
          <w:sz w:val="22"/>
          <w:szCs w:val="22"/>
          <w:lang w:eastAsia="it-IT"/>
        </w:rPr>
        <w:t xml:space="preserve"> protein at </w:t>
      </w:r>
      <w:r w:rsidR="00C941EF" w:rsidRPr="003A4656">
        <w:rPr>
          <w:sz w:val="22"/>
          <w:szCs w:val="22"/>
          <w:lang w:eastAsia="it-IT"/>
        </w:rPr>
        <w:t>aa 21-39 (</w:t>
      </w:r>
      <w:r w:rsidR="00C941EF" w:rsidRPr="003A4656">
        <w:rPr>
          <w:rFonts w:eastAsia="TimesNewRomanPS"/>
          <w:sz w:val="22"/>
          <w:szCs w:val="22"/>
        </w:rPr>
        <w:t>Oliver A. W. et al.,2009</w:t>
      </w:r>
      <w:r w:rsidRPr="003A4656">
        <w:rPr>
          <w:sz w:val="22"/>
          <w:szCs w:val="22"/>
          <w:lang w:eastAsia="it-IT"/>
        </w:rPr>
        <w:t>) and the C-t</w:t>
      </w:r>
      <w:r w:rsidR="00C941EF" w:rsidRPr="003A4656">
        <w:rPr>
          <w:sz w:val="22"/>
          <w:szCs w:val="22"/>
          <w:lang w:eastAsia="it-IT"/>
        </w:rPr>
        <w:t>erminus is characterized by the presence of distinct functional regions</w:t>
      </w:r>
      <w:r w:rsidRPr="003A4656">
        <w:rPr>
          <w:sz w:val="22"/>
          <w:szCs w:val="22"/>
          <w:lang w:eastAsia="it-IT"/>
        </w:rPr>
        <w:t>,</w:t>
      </w:r>
      <w:r w:rsidR="00C941EF" w:rsidRPr="003A4656">
        <w:rPr>
          <w:sz w:val="22"/>
          <w:szCs w:val="22"/>
          <w:lang w:eastAsia="it-IT"/>
        </w:rPr>
        <w:t xml:space="preserve"> such as the nuclear localization </w:t>
      </w:r>
      <w:r w:rsidR="00B30DCC" w:rsidRPr="003A4656">
        <w:rPr>
          <w:sz w:val="22"/>
          <w:szCs w:val="22"/>
          <w:lang w:eastAsia="it-IT"/>
        </w:rPr>
        <w:t>signal</w:t>
      </w:r>
      <w:r w:rsidR="00720319" w:rsidRPr="003A4656">
        <w:rPr>
          <w:sz w:val="22"/>
          <w:szCs w:val="22"/>
          <w:lang w:eastAsia="it-IT"/>
        </w:rPr>
        <w:t xml:space="preserve"> (NLS</w:t>
      </w:r>
      <w:r w:rsidR="00C941EF" w:rsidRPr="003A4656">
        <w:rPr>
          <w:sz w:val="22"/>
          <w:szCs w:val="22"/>
          <w:lang w:eastAsia="it-IT"/>
        </w:rPr>
        <w:t>) domains</w:t>
      </w:r>
      <w:r w:rsidR="00720319" w:rsidRPr="003A4656">
        <w:rPr>
          <w:sz w:val="22"/>
          <w:szCs w:val="22"/>
          <w:lang w:eastAsia="it-IT"/>
        </w:rPr>
        <w:t>,</w:t>
      </w:r>
      <w:r w:rsidR="00C941EF" w:rsidRPr="003A4656">
        <w:rPr>
          <w:sz w:val="22"/>
          <w:szCs w:val="22"/>
          <w:lang w:eastAsia="it-IT"/>
        </w:rPr>
        <w:t xml:space="preserve"> and a </w:t>
      </w:r>
      <w:r w:rsidR="00B30DCC" w:rsidRPr="003A4656">
        <w:rPr>
          <w:sz w:val="22"/>
          <w:szCs w:val="22"/>
          <w:lang w:eastAsia="it-IT"/>
        </w:rPr>
        <w:t xml:space="preserve">of </w:t>
      </w:r>
      <w:r w:rsidR="00C941EF" w:rsidRPr="003A4656">
        <w:rPr>
          <w:sz w:val="22"/>
          <w:szCs w:val="22"/>
          <w:lang w:eastAsia="it-IT"/>
        </w:rPr>
        <w:t>cyclin-dependent kinase (CDK) phosphorylation site at S3291 that binds RAD51 (</w:t>
      </w:r>
      <w:r w:rsidR="00C941EF" w:rsidRPr="003A4656">
        <w:rPr>
          <w:rFonts w:eastAsia="TimesNewRomanPS"/>
          <w:sz w:val="22"/>
          <w:szCs w:val="22"/>
        </w:rPr>
        <w:t>Esashi</w:t>
      </w:r>
      <w:r w:rsidR="00496265" w:rsidRPr="003A4656">
        <w:rPr>
          <w:rFonts w:eastAsia="TimesNewRomanPS"/>
          <w:sz w:val="22"/>
          <w:szCs w:val="22"/>
        </w:rPr>
        <w:t xml:space="preserve"> </w:t>
      </w:r>
      <w:r w:rsidR="00C941EF" w:rsidRPr="003A4656">
        <w:rPr>
          <w:rFonts w:eastAsia="TimesNewRomanPS"/>
          <w:sz w:val="22"/>
          <w:szCs w:val="22"/>
        </w:rPr>
        <w:t xml:space="preserve">F. </w:t>
      </w:r>
      <w:r w:rsidR="00C941EF" w:rsidRPr="003A4656">
        <w:rPr>
          <w:rFonts w:eastAsia="TimesNewRomanPS"/>
          <w:iCs/>
          <w:sz w:val="22"/>
          <w:szCs w:val="22"/>
        </w:rPr>
        <w:t>et al., 2005</w:t>
      </w:r>
      <w:r w:rsidR="00C941EF" w:rsidRPr="003A4656">
        <w:rPr>
          <w:sz w:val="22"/>
          <w:szCs w:val="22"/>
          <w:lang w:eastAsia="it-IT"/>
        </w:rPr>
        <w:t>).</w:t>
      </w:r>
    </w:p>
    <w:p w:rsidR="005E6CB5" w:rsidRPr="003A4656" w:rsidRDefault="00C941EF" w:rsidP="0005572B">
      <w:pPr>
        <w:ind w:left="0" w:right="0"/>
        <w:rPr>
          <w:sz w:val="22"/>
          <w:szCs w:val="22"/>
          <w:lang w:eastAsia="it-IT"/>
        </w:rPr>
      </w:pPr>
      <w:r w:rsidRPr="003A4656">
        <w:rPr>
          <w:sz w:val="22"/>
          <w:szCs w:val="22"/>
          <w:lang w:eastAsia="it-IT"/>
        </w:rPr>
        <w:t>BRCA2 contains a DNA-binding domain (DBD) that binds single-stranded DNA (ssDNA) and double-stranded DNA (dsDNA) (</w:t>
      </w:r>
      <w:r w:rsidRPr="003A4656">
        <w:rPr>
          <w:rFonts w:eastAsia="TimesNewRomanPS"/>
          <w:sz w:val="22"/>
          <w:szCs w:val="22"/>
        </w:rPr>
        <w:t>Roy R. et al., 2012</w:t>
      </w:r>
      <w:r w:rsidRPr="003A4656">
        <w:rPr>
          <w:sz w:val="22"/>
          <w:szCs w:val="22"/>
          <w:lang w:eastAsia="it-IT"/>
        </w:rPr>
        <w:t>)</w:t>
      </w:r>
      <w:r w:rsidR="00B30DCC" w:rsidRPr="003A4656">
        <w:rPr>
          <w:sz w:val="22"/>
          <w:szCs w:val="22"/>
          <w:lang w:eastAsia="it-IT"/>
        </w:rPr>
        <w:t xml:space="preserve"> and eight BRC repeats between </w:t>
      </w:r>
      <w:proofErr w:type="gramStart"/>
      <w:r w:rsidRPr="003A4656">
        <w:rPr>
          <w:sz w:val="22"/>
          <w:szCs w:val="22"/>
          <w:lang w:eastAsia="it-IT"/>
        </w:rPr>
        <w:t>aa</w:t>
      </w:r>
      <w:proofErr w:type="gramEnd"/>
      <w:r w:rsidRPr="003A4656">
        <w:rPr>
          <w:sz w:val="22"/>
          <w:szCs w:val="22"/>
          <w:lang w:eastAsia="it-IT"/>
        </w:rPr>
        <w:t xml:space="preserve"> 1009 and 2083. The DBD contains five components, the first of </w:t>
      </w:r>
      <w:r w:rsidR="00B30DCC" w:rsidRPr="003A4656">
        <w:rPr>
          <w:sz w:val="22"/>
          <w:szCs w:val="22"/>
          <w:lang w:eastAsia="it-IT"/>
        </w:rPr>
        <w:t xml:space="preserve">which </w:t>
      </w:r>
      <w:r w:rsidRPr="003A4656">
        <w:rPr>
          <w:sz w:val="22"/>
          <w:szCs w:val="22"/>
          <w:lang w:eastAsia="it-IT"/>
        </w:rPr>
        <w:t>is a 190-ami</w:t>
      </w:r>
      <w:r w:rsidR="00B30DCC" w:rsidRPr="003A4656">
        <w:rPr>
          <w:sz w:val="22"/>
          <w:szCs w:val="22"/>
          <w:lang w:eastAsia="it-IT"/>
        </w:rPr>
        <w:t>no-acid and consists mostly of</w:t>
      </w:r>
      <w:r w:rsidRPr="003A4656">
        <w:rPr>
          <w:sz w:val="22"/>
          <w:szCs w:val="22"/>
          <w:lang w:eastAsia="it-IT"/>
        </w:rPr>
        <w:t xml:space="preserve"> α-helices (Helical domain). This is followed by three structurally homologous domains that contain the oligonucleotide/oligosaccharide-binding (OB1, OB2 and OB3) folds that are ssDNA-binding modules. The last domain consists of a pair of long, antiparallel helices that adopts a tower like structure (Tower domain) and that protrudes from OB2 and binds dsDNA (Yang H</w:t>
      </w:r>
      <w:r w:rsidR="00496265" w:rsidRPr="003A4656">
        <w:rPr>
          <w:sz w:val="22"/>
          <w:szCs w:val="22"/>
          <w:lang w:eastAsia="it-IT"/>
        </w:rPr>
        <w:t>.</w:t>
      </w:r>
      <w:r w:rsidRPr="003A4656">
        <w:rPr>
          <w:sz w:val="22"/>
          <w:szCs w:val="22"/>
          <w:lang w:eastAsia="it-IT"/>
        </w:rPr>
        <w:t xml:space="preserve"> e</w:t>
      </w:r>
      <w:r w:rsidR="005E6CB5" w:rsidRPr="003A4656">
        <w:rPr>
          <w:sz w:val="22"/>
          <w:szCs w:val="22"/>
          <w:lang w:eastAsia="it-IT"/>
        </w:rPr>
        <w:t>t al.</w:t>
      </w:r>
      <w:r w:rsidR="00496265" w:rsidRPr="003A4656">
        <w:rPr>
          <w:sz w:val="22"/>
          <w:szCs w:val="22"/>
          <w:lang w:eastAsia="it-IT"/>
        </w:rPr>
        <w:t>,</w:t>
      </w:r>
      <w:r w:rsidR="005E6CB5" w:rsidRPr="003A4656">
        <w:rPr>
          <w:sz w:val="22"/>
          <w:szCs w:val="22"/>
          <w:lang w:eastAsia="it-IT"/>
        </w:rPr>
        <w:t xml:space="preserve"> 2002). The helical domain</w:t>
      </w:r>
      <w:r w:rsidRPr="003A4656">
        <w:rPr>
          <w:sz w:val="22"/>
          <w:szCs w:val="22"/>
          <w:lang w:eastAsia="it-IT"/>
        </w:rPr>
        <w:t xml:space="preserve"> </w:t>
      </w:r>
      <w:r w:rsidR="005E6CB5" w:rsidRPr="003A4656">
        <w:rPr>
          <w:sz w:val="22"/>
          <w:szCs w:val="22"/>
          <w:lang w:eastAsia="it-IT"/>
        </w:rPr>
        <w:t xml:space="preserve">and </w:t>
      </w:r>
      <w:r w:rsidRPr="003A4656">
        <w:rPr>
          <w:sz w:val="22"/>
          <w:szCs w:val="22"/>
          <w:lang w:eastAsia="it-IT"/>
        </w:rPr>
        <w:t xml:space="preserve">OB1 and OB2 </w:t>
      </w:r>
      <w:r w:rsidR="005E6CB5" w:rsidRPr="003A4656">
        <w:rPr>
          <w:sz w:val="22"/>
          <w:szCs w:val="22"/>
          <w:lang w:eastAsia="it-IT"/>
        </w:rPr>
        <w:t xml:space="preserve">domains </w:t>
      </w:r>
      <w:r w:rsidRPr="003A4656">
        <w:rPr>
          <w:sz w:val="22"/>
          <w:szCs w:val="22"/>
          <w:lang w:eastAsia="it-IT"/>
        </w:rPr>
        <w:t xml:space="preserve">also associated with </w:t>
      </w:r>
      <w:r w:rsidR="00A74A26" w:rsidRPr="003A4656">
        <w:rPr>
          <w:sz w:val="22"/>
          <w:szCs w:val="22"/>
          <w:lang w:eastAsia="it-IT"/>
        </w:rPr>
        <w:t>‘</w:t>
      </w:r>
      <w:r w:rsidRPr="003A4656">
        <w:rPr>
          <w:sz w:val="22"/>
          <w:szCs w:val="22"/>
          <w:lang w:eastAsia="it-IT"/>
        </w:rPr>
        <w:t xml:space="preserve">deleted in split-hand/split-foot </w:t>
      </w:r>
      <w:r w:rsidR="005E6CB5" w:rsidRPr="003A4656">
        <w:rPr>
          <w:sz w:val="22"/>
          <w:szCs w:val="22"/>
          <w:lang w:eastAsia="it-IT"/>
        </w:rPr>
        <w:t>1</w:t>
      </w:r>
      <w:r w:rsidR="00A74A26" w:rsidRPr="003A4656">
        <w:rPr>
          <w:sz w:val="22"/>
          <w:szCs w:val="22"/>
          <w:lang w:eastAsia="it-IT"/>
        </w:rPr>
        <w:t>’</w:t>
      </w:r>
      <w:r w:rsidR="005E6CB5" w:rsidRPr="003A4656">
        <w:rPr>
          <w:sz w:val="22"/>
          <w:szCs w:val="22"/>
          <w:lang w:eastAsia="it-IT"/>
        </w:rPr>
        <w:t xml:space="preserve"> (DSS1)</w:t>
      </w:r>
      <w:r w:rsidRPr="003A4656">
        <w:rPr>
          <w:sz w:val="22"/>
          <w:szCs w:val="22"/>
          <w:lang w:eastAsia="it-IT"/>
        </w:rPr>
        <w:t xml:space="preserve"> protein which </w:t>
      </w:r>
      <w:r w:rsidR="005E6CB5" w:rsidRPr="003A4656">
        <w:rPr>
          <w:sz w:val="22"/>
          <w:szCs w:val="22"/>
          <w:lang w:eastAsia="it-IT"/>
        </w:rPr>
        <w:t>is</w:t>
      </w:r>
      <w:r w:rsidRPr="003A4656">
        <w:rPr>
          <w:sz w:val="22"/>
          <w:szCs w:val="22"/>
          <w:lang w:eastAsia="it-IT"/>
        </w:rPr>
        <w:t xml:space="preserve"> </w:t>
      </w:r>
      <w:r w:rsidR="00A74A26" w:rsidRPr="003A4656">
        <w:rPr>
          <w:sz w:val="22"/>
          <w:szCs w:val="22"/>
          <w:lang w:eastAsia="it-IT"/>
        </w:rPr>
        <w:t>involved in</w:t>
      </w:r>
      <w:r w:rsidRPr="003A4656">
        <w:rPr>
          <w:sz w:val="22"/>
          <w:szCs w:val="22"/>
          <w:lang w:eastAsia="it-IT"/>
        </w:rPr>
        <w:t xml:space="preserve"> BRCA2 protein stabilization and was originally identified as one of three genes that map to a 1.5-Mb locus deleted in an inherited developmental malformation syndrome (Crackower M.A. et al., 1996). The three BRCA2 OB domains contain structures very similar to the canonical OB fold (Murzin A.G et al., 1993), which consists of a highly curved 5-stranded β sheet that closes on itself to form a β barrel. OB2 and OB3 each have the pronounced groove that is characteristic of the ssDNA </w:t>
      </w:r>
      <w:r w:rsidR="004571AB" w:rsidRPr="003A4656">
        <w:rPr>
          <w:sz w:val="22"/>
          <w:szCs w:val="22"/>
          <w:lang w:eastAsia="it-IT"/>
        </w:rPr>
        <w:t>binding site of OB folds.</w:t>
      </w:r>
    </w:p>
    <w:p w:rsidR="00C941EF" w:rsidRPr="003A4656" w:rsidRDefault="005E6CB5" w:rsidP="0005572B">
      <w:pPr>
        <w:ind w:left="0" w:right="0"/>
        <w:rPr>
          <w:sz w:val="22"/>
          <w:szCs w:val="22"/>
          <w:lang w:eastAsia="it-IT"/>
        </w:rPr>
      </w:pPr>
      <w:r w:rsidRPr="003A4656">
        <w:rPr>
          <w:sz w:val="22"/>
          <w:szCs w:val="22"/>
          <w:lang w:eastAsia="it-IT"/>
        </w:rPr>
        <w:t>A schematic representation of BRCA</w:t>
      </w:r>
      <w:r w:rsidR="004571AB" w:rsidRPr="003A4656">
        <w:rPr>
          <w:sz w:val="22"/>
          <w:szCs w:val="22"/>
          <w:lang w:eastAsia="it-IT"/>
        </w:rPr>
        <w:t>2</w:t>
      </w:r>
      <w:r w:rsidRPr="003A4656">
        <w:rPr>
          <w:sz w:val="22"/>
          <w:szCs w:val="22"/>
          <w:lang w:eastAsia="it-IT"/>
        </w:rPr>
        <w:t xml:space="preserve"> protein domain</w:t>
      </w:r>
      <w:r w:rsidR="004571AB" w:rsidRPr="003A4656">
        <w:rPr>
          <w:sz w:val="22"/>
          <w:szCs w:val="22"/>
          <w:lang w:eastAsia="it-IT"/>
        </w:rPr>
        <w:t>s</w:t>
      </w:r>
      <w:r w:rsidRPr="003A4656">
        <w:rPr>
          <w:sz w:val="22"/>
          <w:szCs w:val="22"/>
          <w:lang w:eastAsia="it-IT"/>
        </w:rPr>
        <w:t xml:space="preserve"> is depicted in Figure 3</w:t>
      </w:r>
      <w:r w:rsidR="00C941EF" w:rsidRPr="003A4656">
        <w:rPr>
          <w:sz w:val="22"/>
          <w:szCs w:val="22"/>
          <w:lang w:eastAsia="it-IT"/>
        </w:rPr>
        <w:t>.</w:t>
      </w:r>
    </w:p>
    <w:p w:rsidR="00C941EF" w:rsidRPr="003A4656" w:rsidRDefault="00C941EF" w:rsidP="0005572B">
      <w:pPr>
        <w:ind w:left="0" w:right="0"/>
        <w:jc w:val="center"/>
        <w:rPr>
          <w:sz w:val="22"/>
          <w:szCs w:val="22"/>
          <w:lang w:eastAsia="it-IT"/>
        </w:rPr>
      </w:pPr>
      <w:r w:rsidRPr="003A4656">
        <w:rPr>
          <w:noProof/>
          <w:sz w:val="22"/>
          <w:szCs w:val="22"/>
          <w:lang w:val="en-US" w:eastAsia="en-US"/>
        </w:rPr>
        <w:drawing>
          <wp:inline distT="0" distB="0" distL="0" distR="0">
            <wp:extent cx="4079772" cy="1130300"/>
            <wp:effectExtent l="6100" t="0" r="2893" b="0"/>
            <wp:docPr id="4" name="Objec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00600" cy="1208932"/>
                      <a:chOff x="2209800" y="4234542"/>
                      <a:chExt cx="4800600" cy="1208932"/>
                    </a:xfrm>
                  </a:grpSpPr>
                  <a:grpSp>
                    <a:nvGrpSpPr>
                      <a:cNvPr id="15" name="Group 14"/>
                      <a:cNvGrpSpPr/>
                    </a:nvGrpSpPr>
                    <a:grpSpPr>
                      <a:xfrm>
                        <a:off x="2209800" y="4234542"/>
                        <a:ext cx="4800600" cy="1208932"/>
                        <a:chOff x="2209800" y="4234542"/>
                        <a:chExt cx="4800600" cy="1208932"/>
                      </a:xfrm>
                    </a:grpSpPr>
                    <a:grpSp>
                      <a:nvGrpSpPr>
                        <a:cNvPr id="3" name="Group 12"/>
                        <a:cNvGrpSpPr/>
                      </a:nvGrpSpPr>
                      <a:grpSpPr>
                        <a:xfrm>
                          <a:off x="2209800" y="4234542"/>
                          <a:ext cx="4800600" cy="1208932"/>
                          <a:chOff x="2209800" y="4234542"/>
                          <a:chExt cx="4800600" cy="1208932"/>
                        </a:xfrm>
                      </a:grpSpPr>
                      <a:pic>
                        <a:nvPicPr>
                          <a:cNvPr id="5" name="Picture 2"/>
                          <a:cNvPicPr>
                            <a:picLocks noChangeAspect="1" noChangeArrowheads="1"/>
                          </a:cNvPicPr>
                        </a:nvPicPr>
                        <a:blipFill>
                          <a:blip r:embed="rId28"/>
                          <a:srcRect t="67573"/>
                          <a:stretch>
                            <a:fillRect/>
                          </a:stretch>
                        </a:blipFill>
                        <a:spPr bwMode="auto">
                          <a:xfrm>
                            <a:off x="2286000" y="4419600"/>
                            <a:ext cx="4724400" cy="1023874"/>
                          </a:xfrm>
                          <a:prstGeom prst="rect">
                            <a:avLst/>
                          </a:prstGeom>
                          <a:noFill/>
                          <a:ln w="9525">
                            <a:noFill/>
                            <a:miter lim="800000"/>
                            <a:headEnd/>
                            <a:tailEnd/>
                          </a:ln>
                        </a:spPr>
                      </a:pic>
                      <a:sp>
                        <a:nvSpPr>
                          <a:cNvPr id="12" name="Rectangle 11"/>
                          <a:cNvSpPr/>
                        </a:nvSpPr>
                        <a:spPr>
                          <a:xfrm>
                            <a:off x="2209800" y="4234542"/>
                            <a:ext cx="1143000" cy="685800"/>
                          </a:xfrm>
                          <a:prstGeom prst="rect">
                            <a:avLst/>
                          </a:prstGeom>
                          <a:solidFill>
                            <a:schemeClr val="bg1"/>
                          </a:solidFill>
                          <a:ln>
                            <a:solidFill>
                              <a:schemeClr val="bg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14" name="TextBox 13"/>
                        <a:cNvSpPr txBox="1"/>
                      </a:nvSpPr>
                      <a:spPr>
                        <a:xfrm>
                          <a:off x="2536372" y="4419600"/>
                          <a:ext cx="838200" cy="553998"/>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200" b="1" dirty="0" smtClean="0"/>
                              <a:t>BRCA2</a:t>
                            </a:r>
                          </a:p>
                          <a:p>
                            <a:endParaRPr lang="it-IT" sz="800" b="1" dirty="0" smtClean="0"/>
                          </a:p>
                          <a:p>
                            <a:r>
                              <a:rPr lang="it-IT" sz="1000" b="1" dirty="0" smtClean="0"/>
                              <a:t>PALB2</a:t>
                            </a:r>
                            <a:endParaRPr lang="en-US" sz="1000" b="1" dirty="0"/>
                          </a:p>
                        </a:txBody>
                        <a:useSpRect/>
                      </a:txSp>
                    </a:sp>
                  </a:grpSp>
                </lc:lockedCanvas>
              </a:graphicData>
            </a:graphic>
          </wp:inline>
        </w:drawing>
      </w:r>
    </w:p>
    <w:p w:rsidR="00C941EF" w:rsidRPr="003A4656" w:rsidRDefault="00C941EF" w:rsidP="0005572B">
      <w:pPr>
        <w:ind w:left="0" w:right="0"/>
        <w:jc w:val="center"/>
        <w:rPr>
          <w:i/>
        </w:rPr>
      </w:pPr>
      <w:r w:rsidRPr="003A4656">
        <w:rPr>
          <w:i/>
        </w:rPr>
        <w:t>Fig.3. BRCA2 structure</w:t>
      </w:r>
    </w:p>
    <w:p w:rsidR="00C941EF" w:rsidRPr="003A4656" w:rsidRDefault="00C941EF" w:rsidP="0005572B">
      <w:pPr>
        <w:ind w:left="0" w:right="0"/>
        <w:rPr>
          <w:sz w:val="22"/>
          <w:szCs w:val="22"/>
          <w:lang w:eastAsia="it-IT"/>
        </w:rPr>
      </w:pPr>
    </w:p>
    <w:p w:rsidR="00C941EF" w:rsidRPr="003A4656" w:rsidRDefault="00C941EF" w:rsidP="0005572B">
      <w:pPr>
        <w:ind w:left="0" w:right="0" w:firstLine="360"/>
        <w:rPr>
          <w:b/>
          <w:sz w:val="22"/>
          <w:szCs w:val="22"/>
        </w:rPr>
      </w:pPr>
      <w:r w:rsidRPr="003A4656">
        <w:rPr>
          <w:b/>
          <w:sz w:val="22"/>
          <w:szCs w:val="22"/>
        </w:rPr>
        <w:t xml:space="preserve">2.2.2 Function </w:t>
      </w:r>
    </w:p>
    <w:p w:rsidR="00C941EF" w:rsidRPr="003A4656" w:rsidRDefault="00C941EF" w:rsidP="0005572B">
      <w:pPr>
        <w:ind w:left="0" w:right="0"/>
        <w:rPr>
          <w:sz w:val="22"/>
          <w:szCs w:val="22"/>
        </w:rPr>
      </w:pPr>
    </w:p>
    <w:p w:rsidR="00C941EF" w:rsidRPr="003A4656" w:rsidRDefault="00C941EF" w:rsidP="0005572B">
      <w:pPr>
        <w:ind w:left="0" w:right="0"/>
        <w:rPr>
          <w:sz w:val="22"/>
          <w:szCs w:val="22"/>
        </w:rPr>
      </w:pPr>
      <w:r w:rsidRPr="003A4656">
        <w:rPr>
          <w:sz w:val="22"/>
          <w:szCs w:val="22"/>
        </w:rPr>
        <w:t>Although</w:t>
      </w:r>
      <w:r w:rsidR="002A3A5F" w:rsidRPr="003A4656">
        <w:rPr>
          <w:sz w:val="22"/>
          <w:szCs w:val="22"/>
        </w:rPr>
        <w:t xml:space="preserve"> BRCA1 and </w:t>
      </w:r>
      <w:r w:rsidRPr="003A4656">
        <w:rPr>
          <w:sz w:val="22"/>
          <w:szCs w:val="22"/>
        </w:rPr>
        <w:t xml:space="preserve"> BRCA2 </w:t>
      </w:r>
      <w:r w:rsidR="002A3A5F" w:rsidRPr="003A4656">
        <w:rPr>
          <w:sz w:val="22"/>
          <w:szCs w:val="22"/>
        </w:rPr>
        <w:t>are</w:t>
      </w:r>
      <w:r w:rsidRPr="003A4656">
        <w:rPr>
          <w:sz w:val="22"/>
          <w:szCs w:val="22"/>
        </w:rPr>
        <w:t xml:space="preserve"> structurally distinct, various studies suggest that the</w:t>
      </w:r>
      <w:r w:rsidR="002A3A5F" w:rsidRPr="003A4656">
        <w:rPr>
          <w:sz w:val="22"/>
          <w:szCs w:val="22"/>
        </w:rPr>
        <w:t>ir</w:t>
      </w:r>
      <w:r w:rsidRPr="003A4656">
        <w:rPr>
          <w:sz w:val="22"/>
          <w:szCs w:val="22"/>
        </w:rPr>
        <w:t xml:space="preserve"> expression is co-regulated during cell cycle progression and in response to DNA damage (Andres </w:t>
      </w:r>
      <w:r w:rsidR="006523C1" w:rsidRPr="003A4656">
        <w:rPr>
          <w:sz w:val="22"/>
          <w:szCs w:val="22"/>
        </w:rPr>
        <w:t xml:space="preserve">J.L. </w:t>
      </w:r>
      <w:r w:rsidRPr="003A4656">
        <w:rPr>
          <w:sz w:val="22"/>
          <w:szCs w:val="22"/>
        </w:rPr>
        <w:t>et al., 1998;)</w:t>
      </w:r>
      <w:r w:rsidR="00ED042B" w:rsidRPr="003A4656">
        <w:rPr>
          <w:sz w:val="22"/>
          <w:szCs w:val="22"/>
        </w:rPr>
        <w:t>,</w:t>
      </w:r>
      <w:r w:rsidRPr="003A4656">
        <w:rPr>
          <w:sz w:val="22"/>
          <w:szCs w:val="22"/>
        </w:rPr>
        <w:t xml:space="preserve"> and that </w:t>
      </w:r>
      <w:r w:rsidR="002A3A5F" w:rsidRPr="003A4656">
        <w:rPr>
          <w:sz w:val="22"/>
          <w:szCs w:val="22"/>
        </w:rPr>
        <w:t>they</w:t>
      </w:r>
      <w:r w:rsidRPr="003A4656">
        <w:rPr>
          <w:sz w:val="22"/>
          <w:szCs w:val="22"/>
        </w:rPr>
        <w:t xml:space="preserve"> have overlapping functions (Connor </w:t>
      </w:r>
      <w:r w:rsidR="006523C1" w:rsidRPr="003A4656">
        <w:rPr>
          <w:sz w:val="22"/>
          <w:szCs w:val="22"/>
        </w:rPr>
        <w:t xml:space="preserve">F. </w:t>
      </w:r>
      <w:r w:rsidRPr="003A4656">
        <w:rPr>
          <w:sz w:val="22"/>
          <w:szCs w:val="22"/>
        </w:rPr>
        <w:t xml:space="preserve">et al., 1997; Milner </w:t>
      </w:r>
      <w:r w:rsidR="006523C1" w:rsidRPr="003A4656">
        <w:rPr>
          <w:sz w:val="22"/>
          <w:szCs w:val="22"/>
        </w:rPr>
        <w:t xml:space="preserve">J. </w:t>
      </w:r>
      <w:r w:rsidRPr="003A4656">
        <w:rPr>
          <w:sz w:val="22"/>
          <w:szCs w:val="22"/>
        </w:rPr>
        <w:t xml:space="preserve">et al., 1997; Sharan </w:t>
      </w:r>
      <w:r w:rsidR="006523C1" w:rsidRPr="003A4656">
        <w:rPr>
          <w:sz w:val="22"/>
          <w:szCs w:val="22"/>
        </w:rPr>
        <w:t xml:space="preserve">S.K. </w:t>
      </w:r>
      <w:r w:rsidR="00496265" w:rsidRPr="003A4656">
        <w:rPr>
          <w:sz w:val="22"/>
          <w:szCs w:val="22"/>
        </w:rPr>
        <w:t xml:space="preserve">and Bradley A. , </w:t>
      </w:r>
      <w:r w:rsidR="00844C31" w:rsidRPr="003A4656">
        <w:rPr>
          <w:sz w:val="22"/>
          <w:szCs w:val="22"/>
        </w:rPr>
        <w:t xml:space="preserve">1997; Scully </w:t>
      </w:r>
      <w:r w:rsidR="00496265" w:rsidRPr="003A4656">
        <w:rPr>
          <w:sz w:val="22"/>
          <w:szCs w:val="22"/>
        </w:rPr>
        <w:t xml:space="preserve">R. </w:t>
      </w:r>
      <w:r w:rsidR="00844C31" w:rsidRPr="003A4656">
        <w:rPr>
          <w:sz w:val="22"/>
          <w:szCs w:val="22"/>
        </w:rPr>
        <w:t>et al., 1997</w:t>
      </w:r>
      <w:r w:rsidRPr="003A4656">
        <w:rPr>
          <w:sz w:val="22"/>
          <w:szCs w:val="22"/>
        </w:rPr>
        <w:t xml:space="preserve">).  </w:t>
      </w:r>
    </w:p>
    <w:p w:rsidR="00C941EF" w:rsidRPr="003A4656" w:rsidRDefault="002A3A5F" w:rsidP="0005572B">
      <w:pPr>
        <w:ind w:left="0" w:right="0"/>
        <w:rPr>
          <w:color w:val="FF0000"/>
          <w:sz w:val="22"/>
          <w:szCs w:val="22"/>
          <w:lang w:eastAsia="it-IT"/>
        </w:rPr>
      </w:pPr>
      <w:r w:rsidRPr="003A4656">
        <w:rPr>
          <w:sz w:val="22"/>
          <w:szCs w:val="22"/>
        </w:rPr>
        <w:t xml:space="preserve">Both </w:t>
      </w:r>
      <w:r w:rsidR="00E252A9" w:rsidRPr="003A4656">
        <w:rPr>
          <w:sz w:val="22"/>
          <w:szCs w:val="22"/>
        </w:rPr>
        <w:t>proteins</w:t>
      </w:r>
      <w:r w:rsidRPr="003A4656">
        <w:rPr>
          <w:sz w:val="22"/>
          <w:szCs w:val="22"/>
        </w:rPr>
        <w:t xml:space="preserve"> are</w:t>
      </w:r>
      <w:r w:rsidR="00C941EF" w:rsidRPr="003A4656">
        <w:rPr>
          <w:sz w:val="22"/>
          <w:szCs w:val="22"/>
        </w:rPr>
        <w:t xml:space="preserve"> expressed in many tissues i</w:t>
      </w:r>
      <w:r w:rsidRPr="003A4656">
        <w:rPr>
          <w:sz w:val="22"/>
          <w:szCs w:val="22"/>
        </w:rPr>
        <w:t>n a cell cycle-dependent manner. T</w:t>
      </w:r>
      <w:r w:rsidR="00C941EF" w:rsidRPr="003A4656">
        <w:rPr>
          <w:sz w:val="22"/>
          <w:szCs w:val="22"/>
        </w:rPr>
        <w:t xml:space="preserve">heir levels are highest during S phase, which is suggestive of </w:t>
      </w:r>
      <w:r w:rsidR="00ED042B" w:rsidRPr="003A4656">
        <w:rPr>
          <w:sz w:val="22"/>
          <w:szCs w:val="22"/>
        </w:rPr>
        <w:t>a role in</w:t>
      </w:r>
      <w:r w:rsidR="00C941EF" w:rsidRPr="003A4656">
        <w:rPr>
          <w:sz w:val="22"/>
          <w:szCs w:val="22"/>
        </w:rPr>
        <w:t xml:space="preserve"> during DNA replication. Both are localized to the </w:t>
      </w:r>
      <w:r w:rsidR="00E252A9" w:rsidRPr="003A4656">
        <w:rPr>
          <w:sz w:val="22"/>
          <w:szCs w:val="22"/>
        </w:rPr>
        <w:t xml:space="preserve">cell </w:t>
      </w:r>
      <w:r w:rsidR="00C941EF" w:rsidRPr="003A4656">
        <w:rPr>
          <w:sz w:val="22"/>
          <w:szCs w:val="22"/>
        </w:rPr>
        <w:t>nucleus, where they co-exist in characteristic subnuclear foci that redistribute following DNA damage. The nuclear staining pattern of BRCA1 is consistent with its functions in different types of DNA repair pathways (Jasin M</w:t>
      </w:r>
      <w:r w:rsidR="006523C1" w:rsidRPr="003A4656">
        <w:rPr>
          <w:sz w:val="22"/>
          <w:szCs w:val="22"/>
        </w:rPr>
        <w:t>.</w:t>
      </w:r>
      <w:r w:rsidR="00C941EF" w:rsidRPr="003A4656">
        <w:rPr>
          <w:sz w:val="22"/>
          <w:szCs w:val="22"/>
        </w:rPr>
        <w:t xml:space="preserve">, 2002; Ting </w:t>
      </w:r>
      <w:r w:rsidR="006523C1" w:rsidRPr="003A4656">
        <w:rPr>
          <w:sz w:val="22"/>
          <w:szCs w:val="22"/>
        </w:rPr>
        <w:t>N.S. and Lee W.</w:t>
      </w:r>
      <w:r w:rsidR="00C941EF" w:rsidRPr="003A4656">
        <w:rPr>
          <w:sz w:val="22"/>
          <w:szCs w:val="22"/>
        </w:rPr>
        <w:t>H</w:t>
      </w:r>
      <w:r w:rsidR="006523C1" w:rsidRPr="003A4656">
        <w:rPr>
          <w:sz w:val="22"/>
          <w:szCs w:val="22"/>
        </w:rPr>
        <w:t>.</w:t>
      </w:r>
      <w:r w:rsidR="00C941EF" w:rsidRPr="003A4656">
        <w:rPr>
          <w:sz w:val="22"/>
          <w:szCs w:val="22"/>
        </w:rPr>
        <w:t>, 2004), cell cycle control (Rosen E</w:t>
      </w:r>
      <w:r w:rsidR="006523C1" w:rsidRPr="003A4656">
        <w:rPr>
          <w:sz w:val="22"/>
          <w:szCs w:val="22"/>
        </w:rPr>
        <w:t>.</w:t>
      </w:r>
      <w:r w:rsidR="00C941EF" w:rsidRPr="003A4656">
        <w:rPr>
          <w:sz w:val="22"/>
          <w:szCs w:val="22"/>
        </w:rPr>
        <w:t>M</w:t>
      </w:r>
      <w:r w:rsidR="006523C1" w:rsidRPr="003A4656">
        <w:rPr>
          <w:sz w:val="22"/>
          <w:szCs w:val="22"/>
        </w:rPr>
        <w:t>.</w:t>
      </w:r>
      <w:r w:rsidR="00C941EF" w:rsidRPr="003A4656">
        <w:rPr>
          <w:sz w:val="22"/>
          <w:szCs w:val="22"/>
        </w:rPr>
        <w:t xml:space="preserve"> et al, 2003) and transcriptional activation (Monteiro AN, 2000). </w:t>
      </w:r>
      <w:r w:rsidR="00E252A9" w:rsidRPr="003A4656">
        <w:rPr>
          <w:sz w:val="22"/>
          <w:szCs w:val="22"/>
        </w:rPr>
        <w:t>Its</w:t>
      </w:r>
      <w:r w:rsidR="00C941EF" w:rsidRPr="003A4656">
        <w:rPr>
          <w:sz w:val="22"/>
          <w:szCs w:val="22"/>
        </w:rPr>
        <w:t xml:space="preserve"> pattern of expression and localization is shared with RAD51</w:t>
      </w:r>
      <w:r w:rsidR="00E252A9" w:rsidRPr="003A4656">
        <w:rPr>
          <w:sz w:val="22"/>
          <w:szCs w:val="22"/>
        </w:rPr>
        <w:t>, a protein involved in DNA repair by homologous recombination</w:t>
      </w:r>
      <w:r w:rsidR="003F41EC" w:rsidRPr="003A4656">
        <w:rPr>
          <w:sz w:val="22"/>
          <w:szCs w:val="22"/>
        </w:rPr>
        <w:t xml:space="preserve"> (HR)</w:t>
      </w:r>
      <w:r w:rsidR="00C941EF" w:rsidRPr="003A4656">
        <w:rPr>
          <w:sz w:val="22"/>
          <w:szCs w:val="22"/>
        </w:rPr>
        <w:t>. Indeed, both BRCA1 and BRCA2 have been reported to bind to RAD51. The interaction of RAD51 with BRCA2 is mediated, primarily if not exclusively, by eight BRC repeats (Wong</w:t>
      </w:r>
      <w:r w:rsidR="00880130" w:rsidRPr="003A4656">
        <w:rPr>
          <w:sz w:val="22"/>
          <w:szCs w:val="22"/>
        </w:rPr>
        <w:t xml:space="preserve"> A.K.</w:t>
      </w:r>
      <w:r w:rsidR="00C941EF" w:rsidRPr="003A4656">
        <w:rPr>
          <w:sz w:val="22"/>
          <w:szCs w:val="22"/>
        </w:rPr>
        <w:t xml:space="preserve"> et al., 1997) whereas a region encompassing residues 758-1064 of BRCA1 was first reported to be involved in its interactions with RAD51</w:t>
      </w:r>
      <w:r w:rsidR="00496265" w:rsidRPr="003A4656">
        <w:rPr>
          <w:sz w:val="22"/>
          <w:szCs w:val="22"/>
        </w:rPr>
        <w:t xml:space="preserve"> </w:t>
      </w:r>
      <w:r w:rsidR="00C941EF" w:rsidRPr="003A4656">
        <w:rPr>
          <w:sz w:val="22"/>
          <w:szCs w:val="22"/>
          <w:lang w:eastAsia="it-IT"/>
        </w:rPr>
        <w:t xml:space="preserve">(Scully </w:t>
      </w:r>
      <w:r w:rsidR="00496265" w:rsidRPr="003A4656">
        <w:rPr>
          <w:sz w:val="22"/>
          <w:szCs w:val="22"/>
          <w:lang w:eastAsia="it-IT"/>
        </w:rPr>
        <w:t>R. e</w:t>
      </w:r>
      <w:r w:rsidR="00C941EF" w:rsidRPr="003A4656">
        <w:rPr>
          <w:sz w:val="22"/>
          <w:szCs w:val="22"/>
          <w:lang w:eastAsia="it-IT"/>
        </w:rPr>
        <w:t>t al., 1997)</w:t>
      </w:r>
      <w:r w:rsidR="00C941EF" w:rsidRPr="003A4656">
        <w:rPr>
          <w:sz w:val="22"/>
          <w:szCs w:val="22"/>
        </w:rPr>
        <w:t xml:space="preserve">. BRCA1 and BRCA2 co-localize </w:t>
      </w:r>
      <w:r w:rsidR="00E252A9" w:rsidRPr="003A4656">
        <w:rPr>
          <w:sz w:val="22"/>
          <w:szCs w:val="22"/>
        </w:rPr>
        <w:t>during mitosis and meiosis</w:t>
      </w:r>
      <w:r w:rsidR="00C941EF" w:rsidRPr="003A4656">
        <w:rPr>
          <w:sz w:val="22"/>
          <w:szCs w:val="22"/>
        </w:rPr>
        <w:t xml:space="preserve"> and physically associate with one another through a region in BRCA1 distinct from that reported to bind to RAD51 </w:t>
      </w:r>
      <w:r w:rsidR="00C941EF" w:rsidRPr="003A4656">
        <w:rPr>
          <w:sz w:val="22"/>
          <w:szCs w:val="22"/>
          <w:lang w:eastAsia="it-IT"/>
        </w:rPr>
        <w:t>(Chen</w:t>
      </w:r>
      <w:r w:rsidR="00880130" w:rsidRPr="003A4656">
        <w:rPr>
          <w:sz w:val="22"/>
          <w:szCs w:val="22"/>
          <w:lang w:eastAsia="it-IT"/>
        </w:rPr>
        <w:t xml:space="preserve"> J.</w:t>
      </w:r>
      <w:r w:rsidR="00C941EF" w:rsidRPr="003A4656">
        <w:rPr>
          <w:sz w:val="22"/>
          <w:szCs w:val="22"/>
          <w:lang w:eastAsia="it-IT"/>
        </w:rPr>
        <w:t xml:space="preserve"> et al., 1998)</w:t>
      </w:r>
      <w:r w:rsidR="003F41EC" w:rsidRPr="003A4656">
        <w:rPr>
          <w:sz w:val="22"/>
          <w:szCs w:val="22"/>
        </w:rPr>
        <w:t>. T</w:t>
      </w:r>
      <w:r w:rsidR="00C941EF" w:rsidRPr="003A4656">
        <w:rPr>
          <w:sz w:val="22"/>
          <w:szCs w:val="22"/>
        </w:rPr>
        <w:t>he interaction may not be direct, and it appears to involve a small fraction of the total cellular pool of each protein.</w:t>
      </w:r>
    </w:p>
    <w:p w:rsidR="00C941EF" w:rsidRPr="003A4656" w:rsidRDefault="00C941EF" w:rsidP="0005572B">
      <w:pPr>
        <w:ind w:left="0" w:right="0"/>
        <w:rPr>
          <w:sz w:val="22"/>
          <w:szCs w:val="22"/>
          <w:lang w:eastAsia="it-IT"/>
        </w:rPr>
      </w:pPr>
      <w:r w:rsidRPr="003A4656">
        <w:rPr>
          <w:sz w:val="22"/>
          <w:szCs w:val="22"/>
        </w:rPr>
        <w:t xml:space="preserve">Both </w:t>
      </w:r>
      <w:r w:rsidR="00ED042B" w:rsidRPr="003A4656">
        <w:rPr>
          <w:sz w:val="22"/>
          <w:szCs w:val="22"/>
        </w:rPr>
        <w:t xml:space="preserve">BRCA </w:t>
      </w:r>
      <w:r w:rsidRPr="003A4656">
        <w:rPr>
          <w:sz w:val="22"/>
          <w:szCs w:val="22"/>
        </w:rPr>
        <w:t>protein products have been linked to various processes involved in the D</w:t>
      </w:r>
      <w:r w:rsidR="003F41EC" w:rsidRPr="003A4656">
        <w:rPr>
          <w:sz w:val="22"/>
          <w:szCs w:val="22"/>
        </w:rPr>
        <w:t xml:space="preserve">NA damage response, acting as </w:t>
      </w:r>
      <w:r w:rsidRPr="003A4656">
        <w:rPr>
          <w:sz w:val="22"/>
          <w:szCs w:val="22"/>
        </w:rPr>
        <w:t>tumo</w:t>
      </w:r>
      <w:r w:rsidR="00862BA9" w:rsidRPr="003A4656">
        <w:rPr>
          <w:sz w:val="22"/>
          <w:szCs w:val="22"/>
        </w:rPr>
        <w:t>u</w:t>
      </w:r>
      <w:r w:rsidRPr="003A4656">
        <w:rPr>
          <w:sz w:val="22"/>
          <w:szCs w:val="22"/>
        </w:rPr>
        <w:t>r suppressor</w:t>
      </w:r>
      <w:r w:rsidR="003F41EC" w:rsidRPr="003A4656">
        <w:rPr>
          <w:sz w:val="22"/>
          <w:szCs w:val="22"/>
        </w:rPr>
        <w:t>s</w:t>
      </w:r>
      <w:r w:rsidRPr="003A4656">
        <w:rPr>
          <w:sz w:val="22"/>
          <w:szCs w:val="22"/>
        </w:rPr>
        <w:t xml:space="preserve">. These </w:t>
      </w:r>
      <w:r w:rsidR="003F41EC" w:rsidRPr="003A4656">
        <w:rPr>
          <w:sz w:val="22"/>
          <w:szCs w:val="22"/>
        </w:rPr>
        <w:t xml:space="preserve">processes </w:t>
      </w:r>
      <w:r w:rsidRPr="003A4656">
        <w:rPr>
          <w:sz w:val="22"/>
          <w:szCs w:val="22"/>
        </w:rPr>
        <w:t xml:space="preserve">include the repair of double-strand breaks (DSBs) by </w:t>
      </w:r>
      <w:r w:rsidR="003F41EC" w:rsidRPr="003A4656">
        <w:rPr>
          <w:sz w:val="22"/>
          <w:szCs w:val="22"/>
        </w:rPr>
        <w:t>HR</w:t>
      </w:r>
      <w:r w:rsidRPr="003A4656">
        <w:rPr>
          <w:sz w:val="22"/>
          <w:szCs w:val="22"/>
        </w:rPr>
        <w:t xml:space="preserve">, the repair of oxidative damage by transcription-coupled repair, and a possible role in non-homologous end joining (NHEJ). BRCA1 and BRCA2 are also implicated in the maintenance of chromosome stability, possibly through </w:t>
      </w:r>
      <w:r w:rsidR="0004289B" w:rsidRPr="003A4656">
        <w:rPr>
          <w:sz w:val="22"/>
          <w:szCs w:val="22"/>
        </w:rPr>
        <w:t>their function in recombination</w:t>
      </w:r>
      <w:r w:rsidRPr="003A4656">
        <w:rPr>
          <w:sz w:val="22"/>
          <w:szCs w:val="22"/>
        </w:rPr>
        <w:t xml:space="preserve"> </w:t>
      </w:r>
      <w:r w:rsidRPr="003A4656">
        <w:rPr>
          <w:sz w:val="22"/>
          <w:szCs w:val="22"/>
          <w:lang w:eastAsia="it-IT"/>
        </w:rPr>
        <w:t>(</w:t>
      </w:r>
      <w:r w:rsidR="00880130" w:rsidRPr="003A4656">
        <w:rPr>
          <w:rFonts w:eastAsia="TimesNewRomanPS"/>
          <w:sz w:val="22"/>
          <w:szCs w:val="22"/>
        </w:rPr>
        <w:t xml:space="preserve">Venkitaraman </w:t>
      </w:r>
      <w:r w:rsidRPr="003A4656">
        <w:rPr>
          <w:rFonts w:eastAsia="TimesNewRomanPS"/>
          <w:sz w:val="22"/>
          <w:szCs w:val="22"/>
        </w:rPr>
        <w:t>A. R, 200</w:t>
      </w:r>
      <w:r w:rsidR="00844C31" w:rsidRPr="003A4656">
        <w:rPr>
          <w:rFonts w:eastAsia="TimesNewRomanPS"/>
          <w:sz w:val="22"/>
          <w:szCs w:val="22"/>
        </w:rPr>
        <w:t>1</w:t>
      </w:r>
      <w:r w:rsidRPr="003A4656">
        <w:rPr>
          <w:sz w:val="22"/>
          <w:szCs w:val="22"/>
          <w:lang w:eastAsia="it-IT"/>
        </w:rPr>
        <w:t>)</w:t>
      </w:r>
      <w:r w:rsidR="0004289B" w:rsidRPr="003A4656">
        <w:rPr>
          <w:sz w:val="22"/>
          <w:szCs w:val="22"/>
          <w:lang w:eastAsia="it-IT"/>
        </w:rPr>
        <w:t>.</w:t>
      </w:r>
      <w:r w:rsidR="00ED042B" w:rsidRPr="003A4656">
        <w:rPr>
          <w:sz w:val="22"/>
          <w:szCs w:val="22"/>
          <w:lang w:eastAsia="it-IT"/>
        </w:rPr>
        <w:t xml:space="preserve"> </w:t>
      </w:r>
      <w:r w:rsidRPr="003A4656">
        <w:rPr>
          <w:sz w:val="22"/>
          <w:szCs w:val="22"/>
        </w:rPr>
        <w:t>In particular</w:t>
      </w:r>
      <w:r w:rsidR="003F41EC" w:rsidRPr="003A4656">
        <w:rPr>
          <w:sz w:val="22"/>
          <w:szCs w:val="22"/>
        </w:rPr>
        <w:t>,</w:t>
      </w:r>
      <w:r w:rsidRPr="003A4656">
        <w:rPr>
          <w:sz w:val="22"/>
          <w:szCs w:val="22"/>
        </w:rPr>
        <w:t xml:space="preserve"> BRCA1 has been found to regulate the activity of a variety of di</w:t>
      </w:r>
      <w:r w:rsidR="003F41EC" w:rsidRPr="003A4656">
        <w:rPr>
          <w:sz w:val="22"/>
          <w:szCs w:val="22"/>
        </w:rPr>
        <w:t xml:space="preserve">fferent transcription factors, </w:t>
      </w:r>
      <w:r w:rsidRPr="003A4656">
        <w:rPr>
          <w:sz w:val="22"/>
          <w:szCs w:val="22"/>
        </w:rPr>
        <w:t xml:space="preserve">and </w:t>
      </w:r>
      <w:r w:rsidR="003F41EC" w:rsidRPr="003A4656">
        <w:rPr>
          <w:sz w:val="22"/>
          <w:szCs w:val="22"/>
        </w:rPr>
        <w:t>to</w:t>
      </w:r>
      <w:r w:rsidRPr="003A4656">
        <w:rPr>
          <w:sz w:val="22"/>
          <w:szCs w:val="22"/>
        </w:rPr>
        <w:t xml:space="preserve"> make contact with components of the basal transcription machinery as RNA polymerase II holoenzyme and/or with components of chromatin </w:t>
      </w:r>
      <w:r w:rsidR="00862BA9" w:rsidRPr="003A4656">
        <w:rPr>
          <w:sz w:val="22"/>
          <w:szCs w:val="22"/>
        </w:rPr>
        <w:t>remodelling</w:t>
      </w:r>
      <w:r w:rsidRPr="003A4656">
        <w:rPr>
          <w:sz w:val="22"/>
          <w:szCs w:val="22"/>
        </w:rPr>
        <w:t xml:space="preserve"> complexes (Rosen</w:t>
      </w:r>
      <w:r w:rsidR="00880130" w:rsidRPr="003A4656">
        <w:rPr>
          <w:sz w:val="22"/>
          <w:szCs w:val="22"/>
        </w:rPr>
        <w:t xml:space="preserve"> E.M.</w:t>
      </w:r>
      <w:r w:rsidRPr="003A4656">
        <w:rPr>
          <w:sz w:val="22"/>
          <w:szCs w:val="22"/>
        </w:rPr>
        <w:t xml:space="preserve"> et al., 2006). Through its BRCT tandem domains and the MRE11/RAD50/NBN (MRN) complex, BRCA1 is able to bind the phosphorylated H2A histone family member X (c-H2AX)</w:t>
      </w:r>
      <w:r w:rsidR="003F41EC" w:rsidRPr="003A4656">
        <w:rPr>
          <w:sz w:val="22"/>
          <w:szCs w:val="22"/>
        </w:rPr>
        <w:t>,</w:t>
      </w:r>
      <w:r w:rsidRPr="003A4656">
        <w:rPr>
          <w:sz w:val="22"/>
          <w:szCs w:val="22"/>
        </w:rPr>
        <w:t xml:space="preserve"> after the induction of DNA double strand breaks (DSBs) (</w:t>
      </w:r>
      <w:r w:rsidRPr="003A4656">
        <w:rPr>
          <w:rFonts w:eastAsia="TimesNewRomanPS"/>
          <w:sz w:val="22"/>
          <w:szCs w:val="22"/>
        </w:rPr>
        <w:t>Deng C</w:t>
      </w:r>
      <w:r w:rsidR="00880130" w:rsidRPr="003A4656">
        <w:rPr>
          <w:rFonts w:eastAsia="TimesNewRomanPS"/>
          <w:sz w:val="22"/>
          <w:szCs w:val="22"/>
        </w:rPr>
        <w:t>.</w:t>
      </w:r>
      <w:r w:rsidRPr="003A4656">
        <w:rPr>
          <w:rFonts w:eastAsia="TimesNewRomanPS"/>
          <w:sz w:val="22"/>
          <w:szCs w:val="22"/>
        </w:rPr>
        <w:t>X</w:t>
      </w:r>
      <w:r w:rsidR="00880130" w:rsidRPr="003A4656">
        <w:rPr>
          <w:rFonts w:eastAsia="TimesNewRomanPS"/>
          <w:sz w:val="22"/>
          <w:szCs w:val="22"/>
        </w:rPr>
        <w:t>.</w:t>
      </w:r>
      <w:r w:rsidRPr="003A4656">
        <w:rPr>
          <w:rFonts w:eastAsia="TimesNewRomanPS"/>
          <w:sz w:val="22"/>
          <w:szCs w:val="22"/>
        </w:rPr>
        <w:t xml:space="preserve"> and Brodie S</w:t>
      </w:r>
      <w:r w:rsidR="00880130" w:rsidRPr="003A4656">
        <w:rPr>
          <w:rFonts w:eastAsia="TimesNewRomanPS"/>
          <w:sz w:val="22"/>
          <w:szCs w:val="22"/>
        </w:rPr>
        <w:t>.</w:t>
      </w:r>
      <w:r w:rsidRPr="003A4656">
        <w:rPr>
          <w:rFonts w:eastAsia="TimesNewRomanPS"/>
          <w:sz w:val="22"/>
          <w:szCs w:val="22"/>
        </w:rPr>
        <w:t>G</w:t>
      </w:r>
      <w:r w:rsidR="00880130" w:rsidRPr="003A4656">
        <w:rPr>
          <w:rFonts w:eastAsia="TimesNewRomanPS"/>
          <w:sz w:val="22"/>
          <w:szCs w:val="22"/>
        </w:rPr>
        <w:t>.</w:t>
      </w:r>
      <w:r w:rsidRPr="003A4656">
        <w:rPr>
          <w:rFonts w:eastAsia="TimesNewRomanPS"/>
          <w:sz w:val="22"/>
          <w:szCs w:val="22"/>
        </w:rPr>
        <w:t>, 2000</w:t>
      </w:r>
      <w:r w:rsidRPr="003A4656">
        <w:rPr>
          <w:sz w:val="22"/>
          <w:szCs w:val="22"/>
        </w:rPr>
        <w:t xml:space="preserve">). The formation of these protein–protein complexes is necessary for BRCA1-mediated ubiquitynation (Polanowska J. et al., 2006).  The tandem BRCT C-terminal domains of BRCA1 plays a relevant role in chromatin </w:t>
      </w:r>
      <w:r w:rsidR="00862BA9" w:rsidRPr="003A4656">
        <w:rPr>
          <w:sz w:val="22"/>
          <w:szCs w:val="22"/>
        </w:rPr>
        <w:t>remodelling</w:t>
      </w:r>
      <w:r w:rsidRPr="003A4656">
        <w:rPr>
          <w:sz w:val="22"/>
          <w:szCs w:val="22"/>
        </w:rPr>
        <w:t xml:space="preserve"> (</w:t>
      </w:r>
      <w:r w:rsidR="00FF7FD6" w:rsidRPr="003A4656">
        <w:rPr>
          <w:rFonts w:eastAsia="TimesNewRomanPS"/>
          <w:sz w:val="22"/>
          <w:szCs w:val="22"/>
        </w:rPr>
        <w:t xml:space="preserve">Bochar </w:t>
      </w:r>
      <w:r w:rsidRPr="003A4656">
        <w:rPr>
          <w:rFonts w:eastAsia="TimesNewRomanPS"/>
          <w:sz w:val="22"/>
          <w:szCs w:val="22"/>
        </w:rPr>
        <w:t>D</w:t>
      </w:r>
      <w:r w:rsidR="006523C1" w:rsidRPr="003A4656">
        <w:rPr>
          <w:rFonts w:eastAsia="TimesNewRomanPS"/>
          <w:sz w:val="22"/>
          <w:szCs w:val="22"/>
        </w:rPr>
        <w:t>.</w:t>
      </w:r>
      <w:r w:rsidRPr="003A4656">
        <w:rPr>
          <w:rFonts w:eastAsia="TimesNewRomanPS"/>
          <w:sz w:val="22"/>
          <w:szCs w:val="22"/>
        </w:rPr>
        <w:t>A</w:t>
      </w:r>
      <w:r w:rsidR="006523C1" w:rsidRPr="003A4656">
        <w:rPr>
          <w:rFonts w:eastAsia="TimesNewRomanPS"/>
          <w:sz w:val="22"/>
          <w:szCs w:val="22"/>
        </w:rPr>
        <w:t>.</w:t>
      </w:r>
      <w:r w:rsidRPr="003A4656">
        <w:rPr>
          <w:rFonts w:eastAsia="TimesNewRomanPS"/>
          <w:sz w:val="22"/>
          <w:szCs w:val="22"/>
        </w:rPr>
        <w:t xml:space="preserve"> et al.</w:t>
      </w:r>
      <w:r w:rsidR="00FF7FD6" w:rsidRPr="003A4656">
        <w:rPr>
          <w:rFonts w:eastAsia="TimesNewRomanPS"/>
          <w:sz w:val="22"/>
          <w:szCs w:val="22"/>
        </w:rPr>
        <w:t>,</w:t>
      </w:r>
      <w:r w:rsidRPr="003A4656">
        <w:rPr>
          <w:rFonts w:eastAsia="TimesNewRomanPS"/>
          <w:sz w:val="22"/>
          <w:szCs w:val="22"/>
        </w:rPr>
        <w:t xml:space="preserve"> 2000</w:t>
      </w:r>
      <w:r w:rsidRPr="003A4656">
        <w:rPr>
          <w:sz w:val="22"/>
          <w:szCs w:val="22"/>
        </w:rPr>
        <w:t xml:space="preserve">), and thus in the regulation of replication and transcription </w:t>
      </w:r>
      <w:r w:rsidRPr="003A4656">
        <w:rPr>
          <w:sz w:val="22"/>
          <w:szCs w:val="22"/>
          <w:lang w:eastAsia="it-IT"/>
        </w:rPr>
        <w:t>(</w:t>
      </w:r>
      <w:r w:rsidRPr="003A4656">
        <w:rPr>
          <w:rFonts w:eastAsia="TimesNewRomanPS"/>
          <w:bCs/>
          <w:sz w:val="22"/>
          <w:szCs w:val="22"/>
        </w:rPr>
        <w:t>Li S. et al., 1999</w:t>
      </w:r>
      <w:r w:rsidRPr="003A4656">
        <w:rPr>
          <w:sz w:val="22"/>
          <w:szCs w:val="22"/>
          <w:lang w:eastAsia="it-IT"/>
        </w:rPr>
        <w:t>).</w:t>
      </w:r>
    </w:p>
    <w:p w:rsidR="00C941EF" w:rsidRPr="003A4656" w:rsidRDefault="00C941EF" w:rsidP="0005572B">
      <w:pPr>
        <w:ind w:left="0" w:right="0"/>
        <w:rPr>
          <w:sz w:val="22"/>
          <w:szCs w:val="22"/>
        </w:rPr>
      </w:pPr>
      <w:r w:rsidRPr="003A4656">
        <w:rPr>
          <w:sz w:val="22"/>
          <w:szCs w:val="22"/>
        </w:rPr>
        <w:t xml:space="preserve">Some data indicate that BRCA1 contributes to DNA damage repair through its interaction with different enzymes, </w:t>
      </w:r>
      <w:r w:rsidR="004571AB" w:rsidRPr="003A4656">
        <w:rPr>
          <w:sz w:val="22"/>
          <w:szCs w:val="22"/>
        </w:rPr>
        <w:t xml:space="preserve">such </w:t>
      </w:r>
      <w:r w:rsidRPr="003A4656">
        <w:rPr>
          <w:sz w:val="22"/>
          <w:szCs w:val="22"/>
        </w:rPr>
        <w:t>as the SWI/SNF proteins, that alter the chromatin structure (Bochar DA</w:t>
      </w:r>
      <w:r w:rsidR="001F1E3E" w:rsidRPr="003A4656">
        <w:rPr>
          <w:sz w:val="22"/>
          <w:szCs w:val="22"/>
        </w:rPr>
        <w:t>.</w:t>
      </w:r>
      <w:r w:rsidRPr="003A4656">
        <w:rPr>
          <w:sz w:val="22"/>
          <w:szCs w:val="22"/>
        </w:rPr>
        <w:t xml:space="preserve"> et al, 2000). Considering the </w:t>
      </w:r>
      <w:r w:rsidR="004571AB" w:rsidRPr="003A4656">
        <w:rPr>
          <w:sz w:val="22"/>
          <w:szCs w:val="22"/>
        </w:rPr>
        <w:t>relevant</w:t>
      </w:r>
      <w:r w:rsidRPr="003A4656">
        <w:rPr>
          <w:sz w:val="22"/>
          <w:szCs w:val="22"/>
        </w:rPr>
        <w:t xml:space="preserve"> pattern of interactions of BRCA1, loss-of-function mutations of this gene results in pleiotropic phenotypes, including </w:t>
      </w:r>
      <w:r w:rsidR="004571AB" w:rsidRPr="003A4656">
        <w:rPr>
          <w:sz w:val="22"/>
          <w:szCs w:val="22"/>
        </w:rPr>
        <w:t>impairment of</w:t>
      </w:r>
      <w:r w:rsidRPr="003A4656">
        <w:rPr>
          <w:sz w:val="22"/>
          <w:szCs w:val="22"/>
        </w:rPr>
        <w:t xml:space="preserve"> correct cellular growth, increased apoptosis, defective response to a damage in DNA structure, abnormal centrosome duplication and defective cell cycle checkpoints (Venkitaraman A.R, 2001; Brodie S</w:t>
      </w:r>
      <w:r w:rsidR="00FF7FD6" w:rsidRPr="003A4656">
        <w:rPr>
          <w:sz w:val="22"/>
          <w:szCs w:val="22"/>
        </w:rPr>
        <w:t>.</w:t>
      </w:r>
      <w:r w:rsidRPr="003A4656">
        <w:rPr>
          <w:sz w:val="22"/>
          <w:szCs w:val="22"/>
        </w:rPr>
        <w:t>G</w:t>
      </w:r>
      <w:r w:rsidR="00FF7FD6" w:rsidRPr="003A4656">
        <w:rPr>
          <w:sz w:val="22"/>
          <w:szCs w:val="22"/>
        </w:rPr>
        <w:t>.</w:t>
      </w:r>
      <w:r w:rsidRPr="003A4656">
        <w:rPr>
          <w:sz w:val="22"/>
          <w:szCs w:val="22"/>
        </w:rPr>
        <w:t xml:space="preserve"> et al., 2001). The BRCA1 protein contains functional nuclear import and nuclear export signals, suggesting that it may shuttle be</w:t>
      </w:r>
      <w:r w:rsidR="00F3419C" w:rsidRPr="003A4656">
        <w:rPr>
          <w:sz w:val="22"/>
          <w:szCs w:val="22"/>
        </w:rPr>
        <w:t>tween the nucleus and cytoplasm</w:t>
      </w:r>
      <w:r w:rsidRPr="003A4656">
        <w:rPr>
          <w:sz w:val="22"/>
          <w:szCs w:val="22"/>
        </w:rPr>
        <w:t xml:space="preserve"> (Rodríguez</w:t>
      </w:r>
      <w:r w:rsidR="00F3419C" w:rsidRPr="003A4656">
        <w:rPr>
          <w:sz w:val="22"/>
          <w:szCs w:val="22"/>
        </w:rPr>
        <w:t xml:space="preserve"> J.A.</w:t>
      </w:r>
      <w:r w:rsidRPr="003A4656">
        <w:rPr>
          <w:sz w:val="22"/>
          <w:szCs w:val="22"/>
        </w:rPr>
        <w:t xml:space="preserve"> and Henderson</w:t>
      </w:r>
      <w:r w:rsidR="00F3419C" w:rsidRPr="003A4656">
        <w:rPr>
          <w:sz w:val="22"/>
          <w:szCs w:val="22"/>
        </w:rPr>
        <w:t xml:space="preserve"> B.R.</w:t>
      </w:r>
      <w:r w:rsidRPr="003A4656">
        <w:rPr>
          <w:sz w:val="22"/>
          <w:szCs w:val="22"/>
        </w:rPr>
        <w:t>, 2000). BRCA1 has been defined as a predominantly nuclear-localized protein (Wilson C</w:t>
      </w:r>
      <w:r w:rsidR="00F3419C" w:rsidRPr="003A4656">
        <w:rPr>
          <w:sz w:val="22"/>
          <w:szCs w:val="22"/>
        </w:rPr>
        <w:t>.</w:t>
      </w:r>
      <w:r w:rsidRPr="003A4656">
        <w:rPr>
          <w:sz w:val="22"/>
          <w:szCs w:val="22"/>
        </w:rPr>
        <w:t>A</w:t>
      </w:r>
      <w:r w:rsidR="00F3419C" w:rsidRPr="003A4656">
        <w:rPr>
          <w:sz w:val="22"/>
          <w:szCs w:val="22"/>
        </w:rPr>
        <w:t>.</w:t>
      </w:r>
      <w:r w:rsidRPr="003A4656">
        <w:rPr>
          <w:sz w:val="22"/>
          <w:szCs w:val="22"/>
        </w:rPr>
        <w:t xml:space="preserve"> et al, 1999), and its expression and phosphorylation status increase as cells enter S-phase of the cell cycle (Okada S</w:t>
      </w:r>
      <w:r w:rsidR="00F3419C" w:rsidRPr="003A4656">
        <w:rPr>
          <w:sz w:val="22"/>
          <w:szCs w:val="22"/>
        </w:rPr>
        <w:t>.</w:t>
      </w:r>
      <w:r w:rsidRPr="003A4656">
        <w:rPr>
          <w:sz w:val="22"/>
          <w:szCs w:val="22"/>
        </w:rPr>
        <w:t xml:space="preserve"> and Ouchi T</w:t>
      </w:r>
      <w:r w:rsidR="00F3419C" w:rsidRPr="003A4656">
        <w:rPr>
          <w:sz w:val="22"/>
          <w:szCs w:val="22"/>
        </w:rPr>
        <w:t>.</w:t>
      </w:r>
      <w:r w:rsidRPr="003A4656">
        <w:rPr>
          <w:sz w:val="22"/>
          <w:szCs w:val="22"/>
        </w:rPr>
        <w:t>, 2003), and remain at a high level during mitosis. After mitosis is complete</w:t>
      </w:r>
      <w:r w:rsidR="004571AB" w:rsidRPr="003A4656">
        <w:rPr>
          <w:sz w:val="22"/>
          <w:szCs w:val="22"/>
        </w:rPr>
        <w:t>d and the cell</w:t>
      </w:r>
      <w:r w:rsidRPr="003A4656">
        <w:rPr>
          <w:sz w:val="22"/>
          <w:szCs w:val="22"/>
        </w:rPr>
        <w:t xml:space="preserve"> enter</w:t>
      </w:r>
      <w:r w:rsidR="004571AB" w:rsidRPr="003A4656">
        <w:rPr>
          <w:sz w:val="22"/>
          <w:szCs w:val="22"/>
        </w:rPr>
        <w:t>s</w:t>
      </w:r>
      <w:r w:rsidRPr="003A4656">
        <w:rPr>
          <w:sz w:val="22"/>
          <w:szCs w:val="22"/>
        </w:rPr>
        <w:t xml:space="preserve"> the G1 resting phase, BRCA1 expression is rapidly decreased via ubiquitination and proteasome-dependent degrada</w:t>
      </w:r>
      <w:r w:rsidR="004571AB" w:rsidRPr="003A4656">
        <w:rPr>
          <w:sz w:val="22"/>
          <w:szCs w:val="22"/>
        </w:rPr>
        <w:t>tion (Choudhury A</w:t>
      </w:r>
      <w:r w:rsidR="002417DA" w:rsidRPr="003A4656">
        <w:rPr>
          <w:sz w:val="22"/>
          <w:szCs w:val="22"/>
        </w:rPr>
        <w:t>.</w:t>
      </w:r>
      <w:r w:rsidR="004571AB" w:rsidRPr="003A4656">
        <w:rPr>
          <w:sz w:val="22"/>
          <w:szCs w:val="22"/>
        </w:rPr>
        <w:t>D</w:t>
      </w:r>
      <w:r w:rsidR="002417DA" w:rsidRPr="003A4656">
        <w:rPr>
          <w:sz w:val="22"/>
          <w:szCs w:val="22"/>
        </w:rPr>
        <w:t>.</w:t>
      </w:r>
      <w:r w:rsidR="004571AB" w:rsidRPr="003A4656">
        <w:rPr>
          <w:sz w:val="22"/>
          <w:szCs w:val="22"/>
        </w:rPr>
        <w:t xml:space="preserve"> et al, 2004).</w:t>
      </w:r>
    </w:p>
    <w:p w:rsidR="004571AB" w:rsidRPr="003A4656" w:rsidRDefault="004571AB" w:rsidP="0005572B">
      <w:pPr>
        <w:ind w:left="0" w:right="0"/>
        <w:rPr>
          <w:sz w:val="22"/>
          <w:szCs w:val="22"/>
        </w:rPr>
      </w:pPr>
      <w:r w:rsidRPr="003A4656">
        <w:rPr>
          <w:sz w:val="22"/>
          <w:szCs w:val="22"/>
          <w:lang w:eastAsia="it-IT"/>
        </w:rPr>
        <w:t>A schematic representation of BRCA1 functions is depicted in Figure 4.</w:t>
      </w:r>
    </w:p>
    <w:p w:rsidR="00C941EF" w:rsidRPr="003A4656" w:rsidRDefault="00C941EF" w:rsidP="0005572B">
      <w:pPr>
        <w:ind w:left="0" w:right="0"/>
        <w:rPr>
          <w:sz w:val="22"/>
          <w:szCs w:val="22"/>
        </w:rPr>
      </w:pPr>
    </w:p>
    <w:p w:rsidR="00C941EF" w:rsidRPr="003A4656" w:rsidRDefault="00C941EF" w:rsidP="0005572B">
      <w:pPr>
        <w:ind w:left="0" w:right="0"/>
        <w:jc w:val="center"/>
        <w:rPr>
          <w:sz w:val="22"/>
          <w:szCs w:val="22"/>
        </w:rPr>
      </w:pPr>
      <w:r w:rsidRPr="003A4656">
        <w:rPr>
          <w:noProof/>
          <w:sz w:val="22"/>
          <w:szCs w:val="22"/>
          <w:lang w:val="en-US" w:eastAsia="en-US"/>
        </w:rPr>
        <w:drawing>
          <wp:inline distT="0" distB="0" distL="0" distR="0">
            <wp:extent cx="3726815" cy="621030"/>
            <wp:effectExtent l="19050" t="0" r="6985" b="0"/>
            <wp:docPr id="5" name="Picture 3"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ver"/>
                    <pic:cNvPicPr>
                      <a:picLocks noChangeAspect="1" noChangeArrowheads="1"/>
                    </pic:cNvPicPr>
                  </pic:nvPicPr>
                  <pic:blipFill>
                    <a:blip r:embed="rId29" cstate="print"/>
                    <a:srcRect b="78799"/>
                    <a:stretch>
                      <a:fillRect/>
                    </a:stretch>
                  </pic:blipFill>
                  <pic:spPr bwMode="auto">
                    <a:xfrm>
                      <a:off x="0" y="0"/>
                      <a:ext cx="3726815" cy="621030"/>
                    </a:xfrm>
                    <a:prstGeom prst="rect">
                      <a:avLst/>
                    </a:prstGeom>
                    <a:noFill/>
                    <a:ln w="9525">
                      <a:noFill/>
                      <a:miter lim="800000"/>
                      <a:headEnd/>
                      <a:tailEnd/>
                    </a:ln>
                  </pic:spPr>
                </pic:pic>
              </a:graphicData>
            </a:graphic>
          </wp:inline>
        </w:drawing>
      </w:r>
      <w:r w:rsidRPr="003A4656">
        <w:rPr>
          <w:noProof/>
          <w:sz w:val="22"/>
          <w:szCs w:val="22"/>
          <w:lang w:val="en-US" w:eastAsia="en-US"/>
        </w:rPr>
        <w:drawing>
          <wp:inline distT="0" distB="0" distL="0" distR="0">
            <wp:extent cx="3648710" cy="1388745"/>
            <wp:effectExtent l="19050" t="0" r="8890" b="0"/>
            <wp:docPr id="6" name="Picture 4"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ver"/>
                    <pic:cNvPicPr>
                      <a:picLocks noChangeAspect="1" noChangeArrowheads="1"/>
                    </pic:cNvPicPr>
                  </pic:nvPicPr>
                  <pic:blipFill>
                    <a:blip r:embed="rId30" cstate="print"/>
                    <a:srcRect t="51601"/>
                    <a:stretch>
                      <a:fillRect/>
                    </a:stretch>
                  </pic:blipFill>
                  <pic:spPr bwMode="auto">
                    <a:xfrm>
                      <a:off x="0" y="0"/>
                      <a:ext cx="3648710" cy="1388745"/>
                    </a:xfrm>
                    <a:prstGeom prst="rect">
                      <a:avLst/>
                    </a:prstGeom>
                    <a:noFill/>
                    <a:ln w="9525">
                      <a:noFill/>
                      <a:miter lim="800000"/>
                      <a:headEnd/>
                      <a:tailEnd/>
                    </a:ln>
                  </pic:spPr>
                </pic:pic>
              </a:graphicData>
            </a:graphic>
          </wp:inline>
        </w:drawing>
      </w:r>
    </w:p>
    <w:p w:rsidR="00C941EF" w:rsidRPr="003A4656" w:rsidRDefault="00C941EF" w:rsidP="0005572B">
      <w:pPr>
        <w:ind w:left="0" w:right="0"/>
        <w:jc w:val="center"/>
        <w:rPr>
          <w:i/>
        </w:rPr>
      </w:pPr>
      <w:proofErr w:type="gramStart"/>
      <w:r w:rsidRPr="003A4656">
        <w:rPr>
          <w:i/>
        </w:rPr>
        <w:t>Fig. 4.</w:t>
      </w:r>
      <w:proofErr w:type="gramEnd"/>
      <w:r w:rsidRPr="003A4656">
        <w:rPr>
          <w:i/>
        </w:rPr>
        <w:t xml:space="preserve"> BRCA1 functions</w:t>
      </w:r>
    </w:p>
    <w:p w:rsidR="00C941EF" w:rsidRPr="003A4656" w:rsidRDefault="00C941EF" w:rsidP="0005572B">
      <w:pPr>
        <w:ind w:left="0" w:right="0"/>
        <w:rPr>
          <w:i/>
        </w:rPr>
      </w:pPr>
    </w:p>
    <w:p w:rsidR="00C941EF" w:rsidRPr="003A4656" w:rsidRDefault="00C941EF" w:rsidP="0005572B">
      <w:pPr>
        <w:ind w:left="0" w:right="0"/>
        <w:rPr>
          <w:sz w:val="22"/>
          <w:szCs w:val="22"/>
        </w:rPr>
      </w:pPr>
      <w:r w:rsidRPr="003A4656">
        <w:rPr>
          <w:sz w:val="22"/>
          <w:szCs w:val="22"/>
        </w:rPr>
        <w:t>Assays to study BRCA2 function</w:t>
      </w:r>
      <w:r w:rsidR="004571AB" w:rsidRPr="003A4656">
        <w:rPr>
          <w:sz w:val="22"/>
          <w:szCs w:val="22"/>
        </w:rPr>
        <w:t>s</w:t>
      </w:r>
      <w:r w:rsidRPr="003A4656">
        <w:rPr>
          <w:sz w:val="22"/>
          <w:szCs w:val="22"/>
        </w:rPr>
        <w:t xml:space="preserve"> establish a connection between BRCA2 and the homologous recombination system. </w:t>
      </w:r>
    </w:p>
    <w:p w:rsidR="00C941EF" w:rsidRPr="003A4656" w:rsidRDefault="00C941EF" w:rsidP="0005572B">
      <w:pPr>
        <w:ind w:left="0" w:right="0"/>
        <w:rPr>
          <w:sz w:val="22"/>
          <w:szCs w:val="22"/>
        </w:rPr>
      </w:pPr>
      <w:r w:rsidRPr="003A4656">
        <w:rPr>
          <w:sz w:val="22"/>
          <w:szCs w:val="22"/>
        </w:rPr>
        <w:t>Indeed, several results suggest that BRCA2 controls the intracellular transport and function of RAD</w:t>
      </w:r>
      <w:r w:rsidR="004571AB" w:rsidRPr="003A4656">
        <w:rPr>
          <w:sz w:val="22"/>
          <w:szCs w:val="22"/>
        </w:rPr>
        <w:t xml:space="preserve">51 and also appears to control its </w:t>
      </w:r>
      <w:r w:rsidRPr="003A4656">
        <w:rPr>
          <w:sz w:val="22"/>
          <w:szCs w:val="22"/>
        </w:rPr>
        <w:t>enzymatic activity (</w:t>
      </w:r>
      <w:r w:rsidRPr="003A4656">
        <w:rPr>
          <w:bCs/>
          <w:sz w:val="22"/>
          <w:szCs w:val="22"/>
        </w:rPr>
        <w:t>Davies A. A. et al.,</w:t>
      </w:r>
      <w:r w:rsidRPr="003A4656">
        <w:rPr>
          <w:b/>
          <w:bCs/>
          <w:sz w:val="22"/>
          <w:szCs w:val="22"/>
        </w:rPr>
        <w:t xml:space="preserve"> </w:t>
      </w:r>
      <w:r w:rsidRPr="003A4656">
        <w:rPr>
          <w:sz w:val="22"/>
          <w:szCs w:val="22"/>
        </w:rPr>
        <w:t>2001). To facilitate the recruitment of RAD51 to ssDNA, BRCA2 accelera</w:t>
      </w:r>
      <w:r w:rsidR="0061692F" w:rsidRPr="003A4656">
        <w:rPr>
          <w:sz w:val="22"/>
          <w:szCs w:val="22"/>
        </w:rPr>
        <w:t xml:space="preserve">tes replication protein A (RPA) </w:t>
      </w:r>
      <w:r w:rsidRPr="003A4656">
        <w:rPr>
          <w:sz w:val="22"/>
          <w:szCs w:val="22"/>
        </w:rPr>
        <w:t>displacement from ssDNA by RAD51, block RAD51 nucleation at dsDNA and facilitate RAD51 filament formation on ssDNA by maintaining the active ATP-bound form of RAD51 on ssDNA (Carreira A. et al. 2009). The binding of RAD51 by the C</w:t>
      </w:r>
      <w:r w:rsidR="0004289B" w:rsidRPr="003A4656">
        <w:rPr>
          <w:sz w:val="22"/>
          <w:szCs w:val="22"/>
        </w:rPr>
        <w:t>-</w:t>
      </w:r>
      <w:r w:rsidRPr="003A4656">
        <w:rPr>
          <w:sz w:val="22"/>
          <w:szCs w:val="22"/>
        </w:rPr>
        <w:t xml:space="preserve">terminus of BRCA2 has been shown to be dependent on CDK activity. This association </w:t>
      </w:r>
      <w:r w:rsidR="003F6750" w:rsidRPr="003A4656">
        <w:rPr>
          <w:sz w:val="22"/>
          <w:szCs w:val="22"/>
        </w:rPr>
        <w:t>m</w:t>
      </w:r>
      <w:r w:rsidRPr="003A4656">
        <w:rPr>
          <w:sz w:val="22"/>
          <w:szCs w:val="22"/>
        </w:rPr>
        <w:t>ay be important for the disassembly of RAD51 complexes to facilitate mitotic entry (</w:t>
      </w:r>
      <w:r w:rsidRPr="003A4656">
        <w:rPr>
          <w:rFonts w:eastAsia="TimesNewRomanPS"/>
          <w:bCs/>
          <w:sz w:val="22"/>
          <w:szCs w:val="22"/>
        </w:rPr>
        <w:t xml:space="preserve">Chen </w:t>
      </w:r>
      <w:r w:rsidR="00880130" w:rsidRPr="003A4656">
        <w:rPr>
          <w:rFonts w:eastAsia="TimesNewRomanPS"/>
          <w:bCs/>
          <w:sz w:val="22"/>
          <w:szCs w:val="22"/>
        </w:rPr>
        <w:t>P.L.</w:t>
      </w:r>
      <w:r w:rsidRPr="003A4656">
        <w:rPr>
          <w:rFonts w:eastAsia="TimesNewRomanPS"/>
          <w:bCs/>
          <w:sz w:val="22"/>
          <w:szCs w:val="22"/>
        </w:rPr>
        <w:t xml:space="preserve"> et al., 1998</w:t>
      </w:r>
      <w:r w:rsidRPr="003A4656">
        <w:rPr>
          <w:sz w:val="22"/>
          <w:szCs w:val="22"/>
        </w:rPr>
        <w:t>).</w:t>
      </w:r>
    </w:p>
    <w:p w:rsidR="00C941EF" w:rsidRPr="003A4656" w:rsidRDefault="00C941EF" w:rsidP="0005572B">
      <w:pPr>
        <w:ind w:left="0" w:right="0"/>
        <w:rPr>
          <w:sz w:val="22"/>
          <w:szCs w:val="22"/>
        </w:rPr>
      </w:pPr>
      <w:r w:rsidRPr="003A4656">
        <w:rPr>
          <w:sz w:val="22"/>
          <w:szCs w:val="22"/>
        </w:rPr>
        <w:t xml:space="preserve">Furthermore, one of the other targets of </w:t>
      </w:r>
      <w:r w:rsidR="0061692F" w:rsidRPr="003A4656">
        <w:rPr>
          <w:sz w:val="22"/>
          <w:szCs w:val="22"/>
        </w:rPr>
        <w:t>BRCA2</w:t>
      </w:r>
      <w:r w:rsidRPr="003A4656">
        <w:rPr>
          <w:sz w:val="22"/>
          <w:szCs w:val="22"/>
        </w:rPr>
        <w:t xml:space="preserve"> is BRCA1</w:t>
      </w:r>
      <w:r w:rsidR="0061692F" w:rsidRPr="003A4656">
        <w:rPr>
          <w:sz w:val="22"/>
          <w:szCs w:val="22"/>
        </w:rPr>
        <w:t xml:space="preserve"> itself</w:t>
      </w:r>
      <w:r w:rsidRPr="003A4656">
        <w:rPr>
          <w:sz w:val="22"/>
          <w:szCs w:val="22"/>
        </w:rPr>
        <w:t xml:space="preserve">, with which </w:t>
      </w:r>
      <w:r w:rsidR="0061692F" w:rsidRPr="003A4656">
        <w:rPr>
          <w:sz w:val="22"/>
          <w:szCs w:val="22"/>
        </w:rPr>
        <w:t xml:space="preserve">it </w:t>
      </w:r>
      <w:r w:rsidR="00BD282A" w:rsidRPr="003A4656">
        <w:rPr>
          <w:sz w:val="22"/>
          <w:szCs w:val="22"/>
        </w:rPr>
        <w:t>interacts</w:t>
      </w:r>
      <w:r w:rsidRPr="003A4656">
        <w:rPr>
          <w:sz w:val="22"/>
          <w:szCs w:val="22"/>
        </w:rPr>
        <w:t xml:space="preserve"> in </w:t>
      </w:r>
      <w:r w:rsidR="00BD282A" w:rsidRPr="003A4656">
        <w:rPr>
          <w:sz w:val="22"/>
          <w:szCs w:val="22"/>
        </w:rPr>
        <w:t xml:space="preserve">a </w:t>
      </w:r>
      <w:r w:rsidRPr="003A4656">
        <w:rPr>
          <w:sz w:val="22"/>
          <w:szCs w:val="22"/>
        </w:rPr>
        <w:t>distinct region from that reported to bind RAD51, in mitotic and meiotic cells (Wong A</w:t>
      </w:r>
      <w:r w:rsidR="00880130" w:rsidRPr="003A4656">
        <w:rPr>
          <w:sz w:val="22"/>
          <w:szCs w:val="22"/>
        </w:rPr>
        <w:t>.</w:t>
      </w:r>
      <w:r w:rsidRPr="003A4656">
        <w:rPr>
          <w:sz w:val="22"/>
          <w:szCs w:val="22"/>
        </w:rPr>
        <w:t>K</w:t>
      </w:r>
      <w:r w:rsidR="00880130" w:rsidRPr="003A4656">
        <w:rPr>
          <w:sz w:val="22"/>
          <w:szCs w:val="22"/>
        </w:rPr>
        <w:t>.</w:t>
      </w:r>
      <w:r w:rsidRPr="003A4656">
        <w:rPr>
          <w:sz w:val="22"/>
          <w:szCs w:val="22"/>
        </w:rPr>
        <w:t xml:space="preserve"> et al., 1997). From the evidence of the interaction and co-localization between BRCA2, BRCA1, and RAD51, the synergic aspect of their collaboration in the DNA repairing process can be easily deduced.</w:t>
      </w:r>
    </w:p>
    <w:p w:rsidR="00C941EF" w:rsidRPr="003A4656" w:rsidRDefault="00C941EF" w:rsidP="0005572B">
      <w:pPr>
        <w:ind w:left="0" w:right="0"/>
        <w:rPr>
          <w:sz w:val="22"/>
          <w:szCs w:val="22"/>
        </w:rPr>
      </w:pPr>
      <w:r w:rsidRPr="003A4656">
        <w:rPr>
          <w:sz w:val="22"/>
          <w:szCs w:val="22"/>
        </w:rPr>
        <w:t>Moreover, PALB2 binds directly to both BRCA1 and BRCA2 and thereby provides a</w:t>
      </w:r>
      <w:r w:rsidR="00BD282A" w:rsidRPr="003A4656">
        <w:rPr>
          <w:sz w:val="22"/>
          <w:szCs w:val="22"/>
        </w:rPr>
        <w:t>n additional</w:t>
      </w:r>
      <w:r w:rsidRPr="003A4656">
        <w:rPr>
          <w:sz w:val="22"/>
          <w:szCs w:val="22"/>
        </w:rPr>
        <w:t xml:space="preserve"> physical link between the two proteins. The N-terminal coiled-coil domain of PALB2 interacts with the coiled-</w:t>
      </w:r>
      <w:r w:rsidR="00BD282A" w:rsidRPr="003A4656">
        <w:rPr>
          <w:sz w:val="22"/>
          <w:szCs w:val="22"/>
        </w:rPr>
        <w:t>coil domain of BRCA1, and the C-</w:t>
      </w:r>
      <w:r w:rsidRPr="003A4656">
        <w:rPr>
          <w:sz w:val="22"/>
          <w:szCs w:val="22"/>
        </w:rPr>
        <w:t xml:space="preserve">terminus of PALB2 interacts </w:t>
      </w:r>
      <w:r w:rsidR="00BD282A" w:rsidRPr="003A4656">
        <w:rPr>
          <w:sz w:val="22"/>
          <w:szCs w:val="22"/>
        </w:rPr>
        <w:t>with the N-</w:t>
      </w:r>
      <w:r w:rsidRPr="003A4656">
        <w:rPr>
          <w:sz w:val="22"/>
          <w:szCs w:val="22"/>
        </w:rPr>
        <w:t xml:space="preserve">terminus of BRCA2 </w:t>
      </w:r>
      <w:r w:rsidRPr="003A4656">
        <w:rPr>
          <w:sz w:val="22"/>
          <w:szCs w:val="22"/>
          <w:lang w:eastAsia="it-IT"/>
        </w:rPr>
        <w:t>(</w:t>
      </w:r>
      <w:r w:rsidRPr="003A4656">
        <w:rPr>
          <w:rFonts w:eastAsia="TimesNewRomanPS"/>
          <w:sz w:val="22"/>
          <w:szCs w:val="22"/>
        </w:rPr>
        <w:t>Zhang F. et al., 2009</w:t>
      </w:r>
      <w:r w:rsidRPr="003A4656">
        <w:rPr>
          <w:sz w:val="22"/>
          <w:szCs w:val="22"/>
          <w:lang w:eastAsia="it-IT"/>
        </w:rPr>
        <w:t xml:space="preserve">). </w:t>
      </w:r>
      <w:r w:rsidRPr="003A4656">
        <w:rPr>
          <w:sz w:val="22"/>
          <w:szCs w:val="22"/>
        </w:rPr>
        <w:t>The interaction of PALB2 with BRCA2 was shown to be essential for loa</w:t>
      </w:r>
      <w:r w:rsidR="002417DA" w:rsidRPr="003A4656">
        <w:rPr>
          <w:sz w:val="22"/>
          <w:szCs w:val="22"/>
        </w:rPr>
        <w:t xml:space="preserve">ding RAD51 onto RPA-bound ssDNA </w:t>
      </w:r>
      <w:r w:rsidRPr="003A4656">
        <w:rPr>
          <w:sz w:val="22"/>
          <w:szCs w:val="22"/>
          <w:lang w:eastAsia="it-IT"/>
        </w:rPr>
        <w:t>(</w:t>
      </w:r>
      <w:r w:rsidR="002417DA" w:rsidRPr="003A4656">
        <w:rPr>
          <w:rFonts w:eastAsia="TimesNewRomanPS"/>
          <w:sz w:val="22"/>
          <w:szCs w:val="22"/>
        </w:rPr>
        <w:t>Xia</w:t>
      </w:r>
      <w:r w:rsidRPr="003A4656">
        <w:rPr>
          <w:rFonts w:eastAsia="TimesNewRomanPS"/>
          <w:sz w:val="22"/>
          <w:szCs w:val="22"/>
        </w:rPr>
        <w:t xml:space="preserve"> B. </w:t>
      </w:r>
      <w:r w:rsidRPr="003A4656">
        <w:rPr>
          <w:rFonts w:eastAsia="TimesNewRomanPS"/>
          <w:iCs/>
          <w:sz w:val="22"/>
          <w:szCs w:val="22"/>
        </w:rPr>
        <w:t>et al</w:t>
      </w:r>
      <w:r w:rsidRPr="003A4656">
        <w:rPr>
          <w:rFonts w:eastAsia="TimesNewRomanPS"/>
          <w:i/>
          <w:iCs/>
          <w:sz w:val="22"/>
          <w:szCs w:val="22"/>
        </w:rPr>
        <w:t>.</w:t>
      </w:r>
      <w:r w:rsidR="002417DA" w:rsidRPr="003A4656">
        <w:rPr>
          <w:rFonts w:eastAsia="TimesNewRomanPS"/>
          <w:i/>
          <w:iCs/>
          <w:sz w:val="22"/>
          <w:szCs w:val="22"/>
        </w:rPr>
        <w:t>,</w:t>
      </w:r>
      <w:r w:rsidRPr="003A4656">
        <w:rPr>
          <w:rFonts w:eastAsia="TimesNewRomanPS"/>
          <w:i/>
          <w:iCs/>
          <w:sz w:val="22"/>
          <w:szCs w:val="22"/>
        </w:rPr>
        <w:t xml:space="preserve"> </w:t>
      </w:r>
      <w:r w:rsidRPr="003A4656">
        <w:rPr>
          <w:rFonts w:eastAsia="TimesNewRomanPS"/>
          <w:sz w:val="22"/>
          <w:szCs w:val="22"/>
        </w:rPr>
        <w:t>2006</w:t>
      </w:r>
      <w:r w:rsidRPr="003A4656">
        <w:rPr>
          <w:sz w:val="22"/>
          <w:szCs w:val="22"/>
          <w:lang w:eastAsia="it-IT"/>
        </w:rPr>
        <w:t>)</w:t>
      </w:r>
      <w:r w:rsidRPr="003A4656">
        <w:rPr>
          <w:sz w:val="22"/>
          <w:szCs w:val="22"/>
        </w:rPr>
        <w:t xml:space="preserve">. The BRCA1-PALB2 interaction is a prerequisite for the recruitment of BRCA2 and RAD51 to the site of DNA damage and for HR, but had no impact on BRCA1-mediated S-phase checkpoint activation </w:t>
      </w:r>
      <w:r w:rsidRPr="003A4656">
        <w:rPr>
          <w:sz w:val="22"/>
          <w:szCs w:val="22"/>
          <w:lang w:eastAsia="it-IT"/>
        </w:rPr>
        <w:t>(</w:t>
      </w:r>
      <w:r w:rsidRPr="003A4656">
        <w:rPr>
          <w:rFonts w:eastAsia="TimesNewRomanPS"/>
          <w:sz w:val="22"/>
          <w:szCs w:val="22"/>
        </w:rPr>
        <w:t>Zhang F. et al., 2009</w:t>
      </w:r>
      <w:r w:rsidRPr="003A4656">
        <w:rPr>
          <w:sz w:val="22"/>
          <w:szCs w:val="22"/>
          <w:lang w:eastAsia="it-IT"/>
        </w:rPr>
        <w:t>).</w:t>
      </w:r>
      <w:r w:rsidRPr="003A4656">
        <w:rPr>
          <w:sz w:val="22"/>
          <w:szCs w:val="22"/>
        </w:rPr>
        <w:t xml:space="preserve"> Additionally, BRCA1 phosphorylation on </w:t>
      </w:r>
      <w:proofErr w:type="gramStart"/>
      <w:r w:rsidR="00BD282A" w:rsidRPr="003A4656">
        <w:rPr>
          <w:sz w:val="22"/>
          <w:szCs w:val="22"/>
        </w:rPr>
        <w:t>aa</w:t>
      </w:r>
      <w:proofErr w:type="gramEnd"/>
      <w:r w:rsidR="00BD282A" w:rsidRPr="003A4656">
        <w:rPr>
          <w:sz w:val="22"/>
          <w:szCs w:val="22"/>
        </w:rPr>
        <w:t xml:space="preserve"> </w:t>
      </w:r>
      <w:r w:rsidRPr="003A4656">
        <w:rPr>
          <w:sz w:val="22"/>
          <w:szCs w:val="22"/>
        </w:rPr>
        <w:t>S988 by CHK2 promotes formation of the BRCA1-PALB2-BRCA2 complex, which may expl</w:t>
      </w:r>
      <w:r w:rsidR="00BD282A" w:rsidRPr="003A4656">
        <w:rPr>
          <w:sz w:val="22"/>
          <w:szCs w:val="22"/>
        </w:rPr>
        <w:t>ain why mutations at</w:t>
      </w:r>
      <w:r w:rsidRPr="003A4656">
        <w:rPr>
          <w:sz w:val="22"/>
          <w:szCs w:val="22"/>
        </w:rPr>
        <w:t xml:space="preserve"> this site abrogate HR (</w:t>
      </w:r>
      <w:r w:rsidRPr="003A4656">
        <w:rPr>
          <w:rFonts w:eastAsia="TimesNewRomanPS"/>
          <w:sz w:val="22"/>
          <w:szCs w:val="22"/>
        </w:rPr>
        <w:t xml:space="preserve">Zhang J. </w:t>
      </w:r>
      <w:r w:rsidRPr="003A4656">
        <w:rPr>
          <w:rFonts w:eastAsia="TimesNewRomanPS"/>
          <w:iCs/>
          <w:sz w:val="22"/>
          <w:szCs w:val="22"/>
        </w:rPr>
        <w:t>et al., 2004</w:t>
      </w:r>
      <w:r w:rsidRPr="003A4656">
        <w:rPr>
          <w:sz w:val="22"/>
          <w:szCs w:val="22"/>
        </w:rPr>
        <w:t>) (Figure 5).</w:t>
      </w:r>
    </w:p>
    <w:p w:rsidR="00BD282A" w:rsidRPr="003A4656" w:rsidRDefault="00BD282A" w:rsidP="0005572B">
      <w:pPr>
        <w:ind w:left="0" w:right="0"/>
        <w:rPr>
          <w:sz w:val="22"/>
          <w:szCs w:val="22"/>
        </w:rPr>
      </w:pPr>
      <w:r w:rsidRPr="003A4656">
        <w:rPr>
          <w:sz w:val="22"/>
          <w:szCs w:val="22"/>
          <w:lang w:eastAsia="it-IT"/>
        </w:rPr>
        <w:t xml:space="preserve">A schematic representation of BRCA2 functions is depicted in Figure </w:t>
      </w:r>
      <w:r w:rsidR="00D20B63">
        <w:rPr>
          <w:sz w:val="22"/>
          <w:szCs w:val="22"/>
          <w:lang w:eastAsia="it-IT"/>
        </w:rPr>
        <w:t>5</w:t>
      </w:r>
      <w:r w:rsidRPr="003A4656">
        <w:rPr>
          <w:sz w:val="22"/>
          <w:szCs w:val="22"/>
          <w:lang w:eastAsia="it-IT"/>
        </w:rPr>
        <w:t>.</w:t>
      </w:r>
    </w:p>
    <w:p w:rsidR="00BD282A" w:rsidRPr="003A4656" w:rsidRDefault="00BD282A" w:rsidP="0005572B">
      <w:pPr>
        <w:ind w:left="0" w:right="0"/>
        <w:rPr>
          <w:sz w:val="22"/>
          <w:szCs w:val="22"/>
        </w:rPr>
      </w:pPr>
    </w:p>
    <w:p w:rsidR="00C941EF" w:rsidRPr="003A4656" w:rsidRDefault="00C941EF" w:rsidP="0005572B">
      <w:pPr>
        <w:ind w:left="0" w:right="0"/>
        <w:jc w:val="center"/>
        <w:rPr>
          <w:sz w:val="22"/>
          <w:szCs w:val="22"/>
        </w:rPr>
      </w:pPr>
      <w:r w:rsidRPr="003A4656">
        <w:rPr>
          <w:noProof/>
          <w:sz w:val="22"/>
          <w:szCs w:val="22"/>
          <w:lang w:val="en-US" w:eastAsia="en-US"/>
        </w:rPr>
        <w:drawing>
          <wp:inline distT="0" distB="0" distL="0" distR="0">
            <wp:extent cx="3648710" cy="586740"/>
            <wp:effectExtent l="19050" t="0" r="8890" b="0"/>
            <wp:docPr id="7" name="Picture 5"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ver"/>
                    <pic:cNvPicPr>
                      <a:picLocks noChangeAspect="1" noChangeArrowheads="1"/>
                    </pic:cNvPicPr>
                  </pic:nvPicPr>
                  <pic:blipFill>
                    <a:blip r:embed="rId31" cstate="print"/>
                    <a:srcRect b="71227"/>
                    <a:stretch>
                      <a:fillRect/>
                    </a:stretch>
                  </pic:blipFill>
                  <pic:spPr bwMode="auto">
                    <a:xfrm>
                      <a:off x="0" y="0"/>
                      <a:ext cx="3648710" cy="586740"/>
                    </a:xfrm>
                    <a:prstGeom prst="rect">
                      <a:avLst/>
                    </a:prstGeom>
                    <a:noFill/>
                    <a:ln w="9525">
                      <a:noFill/>
                      <a:miter lim="800000"/>
                      <a:headEnd/>
                      <a:tailEnd/>
                    </a:ln>
                  </pic:spPr>
                </pic:pic>
              </a:graphicData>
            </a:graphic>
          </wp:inline>
        </w:drawing>
      </w:r>
      <w:r w:rsidRPr="003A4656">
        <w:rPr>
          <w:noProof/>
          <w:sz w:val="22"/>
          <w:szCs w:val="22"/>
          <w:lang w:val="en-US" w:eastAsia="en-US"/>
        </w:rPr>
        <w:drawing>
          <wp:inline distT="0" distB="0" distL="0" distR="0">
            <wp:extent cx="3648710" cy="1112520"/>
            <wp:effectExtent l="19050" t="0" r="8890" b="0"/>
            <wp:docPr id="8" name="Picture 6"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ver"/>
                    <pic:cNvPicPr>
                      <a:picLocks noChangeAspect="1" noChangeArrowheads="1"/>
                    </pic:cNvPicPr>
                  </pic:nvPicPr>
                  <pic:blipFill>
                    <a:blip r:embed="rId32" cstate="print"/>
                    <a:srcRect t="45772"/>
                    <a:stretch>
                      <a:fillRect/>
                    </a:stretch>
                  </pic:blipFill>
                  <pic:spPr bwMode="auto">
                    <a:xfrm>
                      <a:off x="0" y="0"/>
                      <a:ext cx="3648710" cy="1112520"/>
                    </a:xfrm>
                    <a:prstGeom prst="rect">
                      <a:avLst/>
                    </a:prstGeom>
                    <a:noFill/>
                    <a:ln w="9525">
                      <a:noFill/>
                      <a:miter lim="800000"/>
                      <a:headEnd/>
                      <a:tailEnd/>
                    </a:ln>
                  </pic:spPr>
                </pic:pic>
              </a:graphicData>
            </a:graphic>
          </wp:inline>
        </w:drawing>
      </w:r>
    </w:p>
    <w:p w:rsidR="00C941EF" w:rsidRPr="003A4656" w:rsidRDefault="00C941EF" w:rsidP="0005572B">
      <w:pPr>
        <w:ind w:left="0" w:right="0"/>
        <w:jc w:val="center"/>
        <w:rPr>
          <w:i/>
        </w:rPr>
      </w:pPr>
      <w:proofErr w:type="gramStart"/>
      <w:r w:rsidRPr="003A4656">
        <w:rPr>
          <w:i/>
        </w:rPr>
        <w:t>Fig. 5.</w:t>
      </w:r>
      <w:proofErr w:type="gramEnd"/>
      <w:r w:rsidRPr="003A4656">
        <w:rPr>
          <w:i/>
        </w:rPr>
        <w:t xml:space="preserve"> BRCA2 functions</w:t>
      </w:r>
    </w:p>
    <w:p w:rsidR="00985322" w:rsidRDefault="00985322" w:rsidP="0005572B">
      <w:pPr>
        <w:ind w:left="0" w:right="0" w:firstLine="360"/>
        <w:rPr>
          <w:b/>
          <w:sz w:val="22"/>
          <w:szCs w:val="22"/>
        </w:rPr>
      </w:pPr>
    </w:p>
    <w:p w:rsidR="00C941EF" w:rsidRPr="003A4656" w:rsidRDefault="00C941EF" w:rsidP="0005572B">
      <w:pPr>
        <w:ind w:left="0" w:right="0" w:firstLine="360"/>
        <w:rPr>
          <w:b/>
          <w:color w:val="FF0000"/>
          <w:sz w:val="22"/>
          <w:szCs w:val="22"/>
        </w:rPr>
      </w:pPr>
      <w:r w:rsidRPr="003A4656">
        <w:rPr>
          <w:b/>
          <w:sz w:val="22"/>
          <w:szCs w:val="22"/>
        </w:rPr>
        <w:t xml:space="preserve">2.2.3 Mutation Spectrum </w:t>
      </w:r>
    </w:p>
    <w:p w:rsidR="00C941EF" w:rsidRPr="003A4656" w:rsidRDefault="00C941EF" w:rsidP="0005572B">
      <w:pPr>
        <w:ind w:left="0" w:right="0"/>
        <w:rPr>
          <w:sz w:val="22"/>
          <w:szCs w:val="22"/>
        </w:rPr>
      </w:pPr>
    </w:p>
    <w:p w:rsidR="00C941EF" w:rsidRPr="003A4656" w:rsidRDefault="00C941EF" w:rsidP="0005572B">
      <w:pPr>
        <w:ind w:left="0" w:right="0"/>
        <w:rPr>
          <w:sz w:val="22"/>
          <w:szCs w:val="22"/>
        </w:rPr>
      </w:pPr>
      <w:r w:rsidRPr="003A4656">
        <w:rPr>
          <w:sz w:val="22"/>
          <w:szCs w:val="22"/>
        </w:rPr>
        <w:t>A mutat</w:t>
      </w:r>
      <w:r w:rsidR="0061692F" w:rsidRPr="003A4656">
        <w:rPr>
          <w:sz w:val="22"/>
          <w:szCs w:val="22"/>
        </w:rPr>
        <w:t>ion spectrum refers to the type</w:t>
      </w:r>
      <w:r w:rsidRPr="003A4656">
        <w:rPr>
          <w:sz w:val="22"/>
          <w:szCs w:val="22"/>
        </w:rPr>
        <w:t xml:space="preserve"> of mutation</w:t>
      </w:r>
      <w:r w:rsidR="0061692F" w:rsidRPr="003A4656">
        <w:rPr>
          <w:sz w:val="22"/>
          <w:szCs w:val="22"/>
        </w:rPr>
        <w:t>s</w:t>
      </w:r>
      <w:r w:rsidRPr="003A4656">
        <w:rPr>
          <w:sz w:val="22"/>
          <w:szCs w:val="22"/>
        </w:rPr>
        <w:t xml:space="preserve"> and their distribution along </w:t>
      </w:r>
      <w:r w:rsidR="0061692F" w:rsidRPr="003A4656">
        <w:rPr>
          <w:sz w:val="22"/>
          <w:szCs w:val="22"/>
        </w:rPr>
        <w:t xml:space="preserve">a gene. Its </w:t>
      </w:r>
      <w:r w:rsidR="00BD282A" w:rsidRPr="003A4656">
        <w:rPr>
          <w:sz w:val="22"/>
          <w:szCs w:val="22"/>
        </w:rPr>
        <w:t xml:space="preserve">knowledge </w:t>
      </w:r>
      <w:r w:rsidRPr="003A4656">
        <w:rPr>
          <w:sz w:val="22"/>
          <w:szCs w:val="22"/>
        </w:rPr>
        <w:t xml:space="preserve">is crucial for determining the most efficient strategy for gene analysis. If there are </w:t>
      </w:r>
      <w:r w:rsidR="00BD282A" w:rsidRPr="003A4656">
        <w:rPr>
          <w:sz w:val="22"/>
          <w:szCs w:val="22"/>
        </w:rPr>
        <w:t>mutation clusters</w:t>
      </w:r>
      <w:r w:rsidRPr="003A4656">
        <w:rPr>
          <w:sz w:val="22"/>
          <w:szCs w:val="22"/>
        </w:rPr>
        <w:t>, mutation screening will be easier if those particular regions are targeted. If specific mutations are frequent and represent at large proportions of all mutations</w:t>
      </w:r>
      <w:r w:rsidR="00BD282A" w:rsidRPr="003A4656">
        <w:rPr>
          <w:sz w:val="22"/>
          <w:szCs w:val="22"/>
        </w:rPr>
        <w:t>,</w:t>
      </w:r>
      <w:r w:rsidRPr="003A4656">
        <w:rPr>
          <w:sz w:val="22"/>
          <w:szCs w:val="22"/>
        </w:rPr>
        <w:t xml:space="preserve"> a screening technique can be chosen that detects these predominant mutations.</w:t>
      </w:r>
      <w:r w:rsidR="00575852" w:rsidRPr="003A4656">
        <w:rPr>
          <w:sz w:val="22"/>
          <w:szCs w:val="22"/>
        </w:rPr>
        <w:t xml:space="preserve"> However,</w:t>
      </w:r>
      <w:r w:rsidR="00CC35F3" w:rsidRPr="003A4656">
        <w:rPr>
          <w:sz w:val="22"/>
          <w:szCs w:val="22"/>
        </w:rPr>
        <w:t xml:space="preserve"> although a number of founder mutations have been described in both </w:t>
      </w:r>
      <w:r w:rsidR="00CC35F3" w:rsidRPr="003A4656">
        <w:rPr>
          <w:i/>
          <w:sz w:val="22"/>
          <w:szCs w:val="22"/>
        </w:rPr>
        <w:t xml:space="preserve">BRCA1 </w:t>
      </w:r>
      <w:r w:rsidR="00CC35F3" w:rsidRPr="003A4656">
        <w:rPr>
          <w:sz w:val="22"/>
          <w:szCs w:val="22"/>
        </w:rPr>
        <w:t xml:space="preserve">and </w:t>
      </w:r>
      <w:r w:rsidR="00CC35F3" w:rsidRPr="003A4656">
        <w:rPr>
          <w:i/>
          <w:sz w:val="22"/>
          <w:szCs w:val="22"/>
        </w:rPr>
        <w:t>BRCA2</w:t>
      </w:r>
      <w:r w:rsidR="00CC35F3" w:rsidRPr="003A4656">
        <w:rPr>
          <w:sz w:val="22"/>
          <w:szCs w:val="22"/>
        </w:rPr>
        <w:t xml:space="preserve"> (see </w:t>
      </w:r>
      <w:r w:rsidR="00FD3E5A" w:rsidRPr="003A4656">
        <w:rPr>
          <w:sz w:val="22"/>
          <w:szCs w:val="22"/>
        </w:rPr>
        <w:t>below</w:t>
      </w:r>
      <w:r w:rsidR="007E3B79" w:rsidRPr="003A4656">
        <w:rPr>
          <w:sz w:val="22"/>
          <w:szCs w:val="22"/>
        </w:rPr>
        <w:t>) t</w:t>
      </w:r>
      <w:r w:rsidR="00575852" w:rsidRPr="003A4656">
        <w:rPr>
          <w:sz w:val="22"/>
          <w:szCs w:val="22"/>
        </w:rPr>
        <w:t xml:space="preserve">he great majority of </w:t>
      </w:r>
      <w:r w:rsidR="00575852" w:rsidRPr="003A4656">
        <w:rPr>
          <w:i/>
          <w:sz w:val="22"/>
          <w:szCs w:val="22"/>
        </w:rPr>
        <w:t>BRCA</w:t>
      </w:r>
      <w:r w:rsidR="00575852" w:rsidRPr="003A4656">
        <w:rPr>
          <w:sz w:val="22"/>
          <w:szCs w:val="22"/>
        </w:rPr>
        <w:t xml:space="preserve"> gene mutations are either infrequent or unique so that, in most populations, a targeted search for mutations in a particular region of the gene is not </w:t>
      </w:r>
      <w:r w:rsidR="0061692F" w:rsidRPr="003A4656">
        <w:rPr>
          <w:sz w:val="22"/>
          <w:szCs w:val="22"/>
        </w:rPr>
        <w:t>justified</w:t>
      </w:r>
      <w:r w:rsidR="00575852" w:rsidRPr="003A4656">
        <w:rPr>
          <w:sz w:val="22"/>
          <w:szCs w:val="22"/>
        </w:rPr>
        <w:t>.</w:t>
      </w:r>
    </w:p>
    <w:p w:rsidR="00074189" w:rsidRPr="003A4656" w:rsidRDefault="00C941EF" w:rsidP="0005572B">
      <w:pPr>
        <w:ind w:left="0" w:right="0"/>
        <w:rPr>
          <w:sz w:val="22"/>
          <w:szCs w:val="22"/>
        </w:rPr>
      </w:pPr>
      <w:r w:rsidRPr="003A4656">
        <w:rPr>
          <w:sz w:val="22"/>
          <w:szCs w:val="22"/>
        </w:rPr>
        <w:t xml:space="preserve">Since the identification of </w:t>
      </w:r>
      <w:r w:rsidRPr="003A4656">
        <w:rPr>
          <w:i/>
          <w:sz w:val="22"/>
          <w:szCs w:val="22"/>
        </w:rPr>
        <w:t>BRCA1</w:t>
      </w:r>
      <w:r w:rsidR="00575852" w:rsidRPr="003A4656">
        <w:rPr>
          <w:sz w:val="22"/>
          <w:szCs w:val="22"/>
        </w:rPr>
        <w:t>and</w:t>
      </w:r>
      <w:r w:rsidR="00575852" w:rsidRPr="003A4656">
        <w:rPr>
          <w:i/>
          <w:sz w:val="22"/>
          <w:szCs w:val="22"/>
        </w:rPr>
        <w:t xml:space="preserve"> BRCA2</w:t>
      </w:r>
      <w:r w:rsidRPr="003A4656">
        <w:rPr>
          <w:sz w:val="22"/>
          <w:szCs w:val="22"/>
        </w:rPr>
        <w:t>,</w:t>
      </w:r>
      <w:r w:rsidR="00BD282A" w:rsidRPr="003A4656">
        <w:rPr>
          <w:sz w:val="22"/>
          <w:szCs w:val="22"/>
        </w:rPr>
        <w:t xml:space="preserve"> a very large number of</w:t>
      </w:r>
      <w:r w:rsidRPr="003A4656">
        <w:rPr>
          <w:sz w:val="22"/>
          <w:szCs w:val="22"/>
        </w:rPr>
        <w:t xml:space="preserve"> sequence variant</w:t>
      </w:r>
      <w:r w:rsidR="00BD282A" w:rsidRPr="003A4656">
        <w:rPr>
          <w:sz w:val="22"/>
          <w:szCs w:val="22"/>
        </w:rPr>
        <w:t>s</w:t>
      </w:r>
      <w:r w:rsidR="00074189" w:rsidRPr="003A4656">
        <w:rPr>
          <w:sz w:val="22"/>
          <w:szCs w:val="22"/>
        </w:rPr>
        <w:t xml:space="preserve"> has been detected (Breast Cancer Information Core Database: http://research.nhgri.nih.gov/bic/)</w:t>
      </w:r>
      <w:r w:rsidR="00BA2FDF" w:rsidRPr="003A4656">
        <w:rPr>
          <w:sz w:val="22"/>
          <w:szCs w:val="22"/>
        </w:rPr>
        <w:t>.</w:t>
      </w:r>
      <w:r w:rsidR="00074189" w:rsidRPr="003A4656">
        <w:rPr>
          <w:sz w:val="22"/>
          <w:szCs w:val="22"/>
        </w:rPr>
        <w:t xml:space="preserve"> </w:t>
      </w:r>
      <w:r w:rsidRPr="003A4656">
        <w:rPr>
          <w:sz w:val="22"/>
          <w:szCs w:val="22"/>
        </w:rPr>
        <w:t xml:space="preserve">These variants are distributed along the entire coding region of </w:t>
      </w:r>
      <w:r w:rsidR="0061692F" w:rsidRPr="003A4656">
        <w:rPr>
          <w:sz w:val="22"/>
          <w:szCs w:val="22"/>
        </w:rPr>
        <w:t>both</w:t>
      </w:r>
      <w:r w:rsidRPr="003A4656">
        <w:rPr>
          <w:sz w:val="22"/>
          <w:szCs w:val="22"/>
        </w:rPr>
        <w:t xml:space="preserve"> gene</w:t>
      </w:r>
      <w:r w:rsidR="00376500" w:rsidRPr="003A4656">
        <w:rPr>
          <w:sz w:val="22"/>
          <w:szCs w:val="22"/>
        </w:rPr>
        <w:t>s</w:t>
      </w:r>
      <w:r w:rsidR="00074189" w:rsidRPr="003A4656">
        <w:rPr>
          <w:sz w:val="22"/>
          <w:szCs w:val="22"/>
        </w:rPr>
        <w:t xml:space="preserve">. The majority of </w:t>
      </w:r>
      <w:r w:rsidR="00BA2FDF" w:rsidRPr="003A4656">
        <w:rPr>
          <w:sz w:val="22"/>
          <w:szCs w:val="22"/>
        </w:rPr>
        <w:t>them</w:t>
      </w:r>
      <w:r w:rsidRPr="003A4656">
        <w:rPr>
          <w:sz w:val="22"/>
          <w:szCs w:val="22"/>
        </w:rPr>
        <w:t xml:space="preserve"> </w:t>
      </w:r>
      <w:r w:rsidR="00575852" w:rsidRPr="003A4656">
        <w:rPr>
          <w:sz w:val="22"/>
          <w:szCs w:val="22"/>
        </w:rPr>
        <w:t>are frameshif</w:t>
      </w:r>
      <w:r w:rsidR="00CB11D0" w:rsidRPr="003A4656">
        <w:rPr>
          <w:sz w:val="22"/>
          <w:szCs w:val="22"/>
        </w:rPr>
        <w:t>t</w:t>
      </w:r>
      <w:r w:rsidR="00575852" w:rsidRPr="003A4656">
        <w:rPr>
          <w:sz w:val="22"/>
          <w:szCs w:val="22"/>
        </w:rPr>
        <w:t xml:space="preserve"> or nonsense that introduce </w:t>
      </w:r>
      <w:r w:rsidRPr="003A4656">
        <w:rPr>
          <w:sz w:val="22"/>
          <w:szCs w:val="22"/>
        </w:rPr>
        <w:t>stop codons</w:t>
      </w:r>
      <w:r w:rsidR="00575852" w:rsidRPr="003A4656">
        <w:rPr>
          <w:sz w:val="22"/>
          <w:szCs w:val="22"/>
        </w:rPr>
        <w:t xml:space="preserve"> and lead to the synthesis of truncated or unstable protein products. Other mut</w:t>
      </w:r>
      <w:r w:rsidR="00376500" w:rsidRPr="003A4656">
        <w:rPr>
          <w:sz w:val="22"/>
          <w:szCs w:val="22"/>
        </w:rPr>
        <w:t>ations</w:t>
      </w:r>
      <w:r w:rsidRPr="003A4656">
        <w:rPr>
          <w:sz w:val="22"/>
          <w:szCs w:val="22"/>
        </w:rPr>
        <w:t xml:space="preserve"> </w:t>
      </w:r>
      <w:r w:rsidR="00841DB5" w:rsidRPr="003A4656">
        <w:rPr>
          <w:sz w:val="22"/>
          <w:szCs w:val="22"/>
        </w:rPr>
        <w:t>affect</w:t>
      </w:r>
      <w:r w:rsidRPr="003A4656">
        <w:rPr>
          <w:sz w:val="22"/>
          <w:szCs w:val="22"/>
        </w:rPr>
        <w:t xml:space="preserve"> </w:t>
      </w:r>
      <w:r w:rsidR="00841DB5" w:rsidRPr="003A4656">
        <w:rPr>
          <w:sz w:val="22"/>
          <w:szCs w:val="22"/>
        </w:rPr>
        <w:t>normal</w:t>
      </w:r>
      <w:r w:rsidRPr="003A4656">
        <w:rPr>
          <w:sz w:val="22"/>
          <w:szCs w:val="22"/>
        </w:rPr>
        <w:t xml:space="preserve"> mRNA</w:t>
      </w:r>
      <w:r w:rsidR="00841DB5" w:rsidRPr="003A4656">
        <w:rPr>
          <w:sz w:val="22"/>
          <w:szCs w:val="22"/>
        </w:rPr>
        <w:t xml:space="preserve"> splicing</w:t>
      </w:r>
      <w:r w:rsidR="00CB11D0" w:rsidRPr="003A4656">
        <w:rPr>
          <w:sz w:val="22"/>
          <w:szCs w:val="22"/>
        </w:rPr>
        <w:t xml:space="preserve"> or</w:t>
      </w:r>
      <w:r w:rsidR="00376500" w:rsidRPr="003A4656">
        <w:rPr>
          <w:sz w:val="22"/>
          <w:szCs w:val="22"/>
        </w:rPr>
        <w:t xml:space="preserve"> </w:t>
      </w:r>
      <w:r w:rsidRPr="003A4656">
        <w:rPr>
          <w:sz w:val="22"/>
          <w:szCs w:val="22"/>
        </w:rPr>
        <w:t xml:space="preserve">destroy a functional protein </w:t>
      </w:r>
      <w:r w:rsidR="00575852" w:rsidRPr="003A4656">
        <w:rPr>
          <w:sz w:val="22"/>
          <w:szCs w:val="22"/>
        </w:rPr>
        <w:t>domain</w:t>
      </w:r>
      <w:r w:rsidR="00074189" w:rsidRPr="003A4656">
        <w:rPr>
          <w:sz w:val="22"/>
          <w:szCs w:val="22"/>
        </w:rPr>
        <w:t xml:space="preserve"> or are large genomic </w:t>
      </w:r>
      <w:r w:rsidR="00CB11D0" w:rsidRPr="003A4656">
        <w:rPr>
          <w:sz w:val="22"/>
          <w:szCs w:val="22"/>
        </w:rPr>
        <w:t xml:space="preserve">rearrangements causing the loss or duplication of one or more exons. </w:t>
      </w:r>
      <w:r w:rsidR="00CC35F3" w:rsidRPr="003A4656">
        <w:rPr>
          <w:sz w:val="22"/>
          <w:szCs w:val="22"/>
        </w:rPr>
        <w:t xml:space="preserve">All of the above alterations are considered pathogenic, i.e. associated with a marked increase of cancer risk. In addition, a large number of additional allelic variants have been observed that </w:t>
      </w:r>
      <w:r w:rsidR="007E3B79" w:rsidRPr="003A4656">
        <w:rPr>
          <w:sz w:val="22"/>
          <w:szCs w:val="22"/>
        </w:rPr>
        <w:t xml:space="preserve">are </w:t>
      </w:r>
      <w:r w:rsidR="007E3B79" w:rsidRPr="003A4656">
        <w:rPr>
          <w:bCs/>
          <w:sz w:val="22"/>
          <w:szCs w:val="22"/>
        </w:rPr>
        <w:t>problematic</w:t>
      </w:r>
      <w:r w:rsidR="00CC35F3" w:rsidRPr="003A4656">
        <w:rPr>
          <w:bCs/>
          <w:sz w:val="22"/>
          <w:szCs w:val="22"/>
        </w:rPr>
        <w:t xml:space="preserve"> for cancer risk estimation and clinical management</w:t>
      </w:r>
      <w:r w:rsidR="0061692F" w:rsidRPr="003A4656">
        <w:rPr>
          <w:bCs/>
          <w:sz w:val="22"/>
          <w:szCs w:val="22"/>
        </w:rPr>
        <w:t>,</w:t>
      </w:r>
      <w:r w:rsidR="00CC35F3" w:rsidRPr="003A4656">
        <w:rPr>
          <w:bCs/>
          <w:sz w:val="22"/>
          <w:szCs w:val="22"/>
        </w:rPr>
        <w:t xml:space="preserve"> as their functional implications are not immediately </w:t>
      </w:r>
      <w:r w:rsidR="007E3B79" w:rsidRPr="003A4656">
        <w:rPr>
          <w:bCs/>
          <w:sz w:val="22"/>
          <w:szCs w:val="22"/>
        </w:rPr>
        <w:t>apparent (see paragraph 2.4.4).</w:t>
      </w:r>
      <w:r w:rsidR="007E3B79" w:rsidRPr="003A4656">
        <w:rPr>
          <w:sz w:val="22"/>
          <w:szCs w:val="22"/>
        </w:rPr>
        <w:t xml:space="preserve"> These</w:t>
      </w:r>
      <w:r w:rsidR="00074189" w:rsidRPr="003A4656">
        <w:rPr>
          <w:sz w:val="22"/>
          <w:szCs w:val="22"/>
        </w:rPr>
        <w:t xml:space="preserve"> </w:t>
      </w:r>
      <w:r w:rsidR="00CB11D0" w:rsidRPr="003A4656">
        <w:rPr>
          <w:sz w:val="22"/>
          <w:szCs w:val="22"/>
        </w:rPr>
        <w:t>include</w:t>
      </w:r>
      <w:r w:rsidR="00074189" w:rsidRPr="003A4656">
        <w:rPr>
          <w:sz w:val="22"/>
          <w:szCs w:val="22"/>
        </w:rPr>
        <w:t xml:space="preserve"> missense </w:t>
      </w:r>
      <w:r w:rsidR="00CB11D0" w:rsidRPr="003A4656">
        <w:rPr>
          <w:sz w:val="22"/>
          <w:szCs w:val="22"/>
        </w:rPr>
        <w:t xml:space="preserve">changes </w:t>
      </w:r>
      <w:r w:rsidR="00074189" w:rsidRPr="003A4656">
        <w:rPr>
          <w:sz w:val="22"/>
          <w:szCs w:val="22"/>
        </w:rPr>
        <w:t xml:space="preserve">in which a single nucleotide substitution </w:t>
      </w:r>
      <w:r w:rsidR="00CB11D0" w:rsidRPr="003A4656">
        <w:rPr>
          <w:sz w:val="22"/>
          <w:szCs w:val="22"/>
        </w:rPr>
        <w:t>modifies</w:t>
      </w:r>
      <w:r w:rsidR="00074189" w:rsidRPr="003A4656">
        <w:rPr>
          <w:sz w:val="22"/>
          <w:szCs w:val="22"/>
        </w:rPr>
        <w:t xml:space="preserve"> one amino</w:t>
      </w:r>
      <w:r w:rsidR="00CB11D0" w:rsidRPr="003A4656">
        <w:rPr>
          <w:sz w:val="22"/>
          <w:szCs w:val="22"/>
        </w:rPr>
        <w:t xml:space="preserve"> </w:t>
      </w:r>
      <w:r w:rsidR="00074189" w:rsidRPr="003A4656">
        <w:rPr>
          <w:sz w:val="22"/>
          <w:szCs w:val="22"/>
        </w:rPr>
        <w:t>acid recognition codon into another</w:t>
      </w:r>
      <w:r w:rsidR="00CC35F3" w:rsidRPr="003A4656">
        <w:rPr>
          <w:sz w:val="22"/>
          <w:szCs w:val="22"/>
        </w:rPr>
        <w:t xml:space="preserve">, </w:t>
      </w:r>
      <w:r w:rsidR="00CB11D0" w:rsidRPr="003A4656">
        <w:rPr>
          <w:sz w:val="22"/>
          <w:szCs w:val="22"/>
        </w:rPr>
        <w:t xml:space="preserve">small </w:t>
      </w:r>
      <w:r w:rsidR="00074189" w:rsidRPr="003A4656">
        <w:rPr>
          <w:sz w:val="22"/>
          <w:szCs w:val="22"/>
        </w:rPr>
        <w:t>in-frame deletions</w:t>
      </w:r>
      <w:r w:rsidR="00CB11D0" w:rsidRPr="003A4656">
        <w:rPr>
          <w:sz w:val="22"/>
          <w:szCs w:val="22"/>
        </w:rPr>
        <w:t xml:space="preserve"> leading to the </w:t>
      </w:r>
      <w:r w:rsidR="00CC35F3" w:rsidRPr="003A4656">
        <w:rPr>
          <w:sz w:val="22"/>
          <w:szCs w:val="22"/>
        </w:rPr>
        <w:t>loss of one or few amino acids</w:t>
      </w:r>
      <w:r w:rsidR="00FD3E5A" w:rsidRPr="003A4656">
        <w:rPr>
          <w:sz w:val="22"/>
          <w:szCs w:val="22"/>
        </w:rPr>
        <w:t xml:space="preserve">, synonymous </w:t>
      </w:r>
      <w:r w:rsidR="00CC35F3" w:rsidRPr="003A4656">
        <w:rPr>
          <w:sz w:val="22"/>
          <w:szCs w:val="22"/>
        </w:rPr>
        <w:t xml:space="preserve"> </w:t>
      </w:r>
      <w:r w:rsidR="00FD3E5A" w:rsidRPr="003A4656">
        <w:rPr>
          <w:sz w:val="22"/>
          <w:szCs w:val="22"/>
        </w:rPr>
        <w:t xml:space="preserve">changes (silent mutations) </w:t>
      </w:r>
      <w:r w:rsidR="00CC35F3" w:rsidRPr="003A4656">
        <w:rPr>
          <w:sz w:val="22"/>
          <w:szCs w:val="22"/>
        </w:rPr>
        <w:t xml:space="preserve">and nucleotide changes </w:t>
      </w:r>
      <w:r w:rsidR="00CB11D0" w:rsidRPr="003A4656">
        <w:rPr>
          <w:sz w:val="22"/>
          <w:szCs w:val="22"/>
        </w:rPr>
        <w:t xml:space="preserve">in intronic or regulatory regions. </w:t>
      </w:r>
    </w:p>
    <w:p w:rsidR="004D403B" w:rsidRPr="003A4656" w:rsidRDefault="00C941EF" w:rsidP="0005572B">
      <w:pPr>
        <w:ind w:left="0" w:right="0"/>
        <w:rPr>
          <w:sz w:val="22"/>
          <w:szCs w:val="22"/>
        </w:rPr>
      </w:pPr>
      <w:r w:rsidRPr="003A4656">
        <w:rPr>
          <w:sz w:val="22"/>
          <w:szCs w:val="22"/>
        </w:rPr>
        <w:t xml:space="preserve">A few </w:t>
      </w:r>
      <w:r w:rsidR="00CC35F3" w:rsidRPr="003A4656">
        <w:rPr>
          <w:sz w:val="22"/>
          <w:szCs w:val="22"/>
        </w:rPr>
        <w:t xml:space="preserve">recurrent </w:t>
      </w:r>
      <w:r w:rsidRPr="003A4656">
        <w:rPr>
          <w:sz w:val="22"/>
          <w:szCs w:val="22"/>
        </w:rPr>
        <w:t xml:space="preserve">mutations have been identified in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particularly in specific subpopulations. T</w:t>
      </w:r>
      <w:r w:rsidR="004D403B" w:rsidRPr="003A4656">
        <w:rPr>
          <w:sz w:val="22"/>
          <w:szCs w:val="22"/>
        </w:rPr>
        <w:t>hree</w:t>
      </w:r>
      <w:r w:rsidRPr="003A4656">
        <w:rPr>
          <w:sz w:val="22"/>
          <w:szCs w:val="22"/>
        </w:rPr>
        <w:t xml:space="preserve"> mutations with a relatively high frequency</w:t>
      </w:r>
      <w:r w:rsidR="004D403B" w:rsidRPr="003A4656">
        <w:rPr>
          <w:sz w:val="22"/>
          <w:szCs w:val="22"/>
        </w:rPr>
        <w:t xml:space="preserve"> due to a “founder” effect, two</w:t>
      </w:r>
      <w:r w:rsidRPr="003A4656">
        <w:rPr>
          <w:sz w:val="22"/>
          <w:szCs w:val="22"/>
        </w:rPr>
        <w:t xml:space="preserve"> in </w:t>
      </w:r>
      <w:r w:rsidRPr="003A4656">
        <w:rPr>
          <w:i/>
          <w:sz w:val="22"/>
          <w:szCs w:val="22"/>
        </w:rPr>
        <w:t xml:space="preserve">BRCA1 </w:t>
      </w:r>
      <w:r w:rsidRPr="003A4656">
        <w:rPr>
          <w:sz w:val="22"/>
          <w:szCs w:val="22"/>
        </w:rPr>
        <w:t xml:space="preserve">(185delAG and 5382insC) and one in </w:t>
      </w:r>
      <w:r w:rsidRPr="003A4656">
        <w:rPr>
          <w:i/>
          <w:sz w:val="22"/>
          <w:szCs w:val="22"/>
        </w:rPr>
        <w:t>BRCA2</w:t>
      </w:r>
      <w:r w:rsidRPr="003A4656">
        <w:rPr>
          <w:sz w:val="22"/>
          <w:szCs w:val="22"/>
        </w:rPr>
        <w:t xml:space="preserve"> (6174delT) have been identified in the Ashkenazi Jewish population (</w:t>
      </w:r>
      <w:r w:rsidRPr="003A4656">
        <w:rPr>
          <w:rFonts w:eastAsia="TimesNewRomanPS"/>
          <w:sz w:val="22"/>
          <w:szCs w:val="22"/>
        </w:rPr>
        <w:t>Roa B</w:t>
      </w:r>
      <w:r w:rsidR="00EF71D4" w:rsidRPr="003A4656">
        <w:rPr>
          <w:rFonts w:eastAsia="TimesNewRomanPS"/>
          <w:sz w:val="22"/>
          <w:szCs w:val="22"/>
        </w:rPr>
        <w:t>.</w:t>
      </w:r>
      <w:r w:rsidRPr="003A4656">
        <w:rPr>
          <w:rFonts w:eastAsia="TimesNewRomanPS"/>
          <w:sz w:val="22"/>
          <w:szCs w:val="22"/>
        </w:rPr>
        <w:t>B</w:t>
      </w:r>
      <w:r w:rsidR="00EF71D4" w:rsidRPr="003A4656">
        <w:rPr>
          <w:rFonts w:eastAsia="TimesNewRomanPS"/>
          <w:sz w:val="22"/>
          <w:szCs w:val="22"/>
        </w:rPr>
        <w:t>.</w:t>
      </w:r>
      <w:r w:rsidRPr="003A4656">
        <w:rPr>
          <w:rFonts w:eastAsia="TimesNewRomanPS"/>
          <w:sz w:val="22"/>
          <w:szCs w:val="22"/>
        </w:rPr>
        <w:t xml:space="preserve"> et al., 1996</w:t>
      </w:r>
      <w:r w:rsidR="004D403B" w:rsidRPr="003A4656">
        <w:rPr>
          <w:sz w:val="22"/>
          <w:szCs w:val="22"/>
        </w:rPr>
        <w:t>)</w:t>
      </w:r>
      <w:r w:rsidRPr="003A4656">
        <w:rPr>
          <w:sz w:val="22"/>
          <w:szCs w:val="22"/>
        </w:rPr>
        <w:t xml:space="preserve">. </w:t>
      </w:r>
      <w:r w:rsidR="004D403B" w:rsidRPr="003A4656">
        <w:rPr>
          <w:sz w:val="22"/>
          <w:szCs w:val="22"/>
        </w:rPr>
        <w:t>Founder mutations</w:t>
      </w:r>
      <w:r w:rsidRPr="003A4656">
        <w:rPr>
          <w:sz w:val="22"/>
          <w:szCs w:val="22"/>
        </w:rPr>
        <w:t xml:space="preserve"> </w:t>
      </w:r>
      <w:r w:rsidR="004D403B" w:rsidRPr="003A4656">
        <w:rPr>
          <w:sz w:val="22"/>
          <w:szCs w:val="22"/>
        </w:rPr>
        <w:t>are</w:t>
      </w:r>
      <w:r w:rsidRPr="003A4656">
        <w:rPr>
          <w:sz w:val="22"/>
          <w:szCs w:val="22"/>
        </w:rPr>
        <w:t xml:space="preserve"> most likely to occur in population</w:t>
      </w:r>
      <w:r w:rsidR="004D403B" w:rsidRPr="003A4656">
        <w:rPr>
          <w:sz w:val="22"/>
          <w:szCs w:val="22"/>
        </w:rPr>
        <w:t>s that have</w:t>
      </w:r>
      <w:r w:rsidRPr="003A4656">
        <w:rPr>
          <w:sz w:val="22"/>
          <w:szCs w:val="22"/>
        </w:rPr>
        <w:t xml:space="preserve"> been geographically or socially isolated. The common ancestry of a mutation may be show</w:t>
      </w:r>
      <w:r w:rsidR="004D403B" w:rsidRPr="003A4656">
        <w:rPr>
          <w:sz w:val="22"/>
          <w:szCs w:val="22"/>
        </w:rPr>
        <w:t xml:space="preserve">n by haplotype analyses. </w:t>
      </w:r>
    </w:p>
    <w:p w:rsidR="00C941EF" w:rsidRPr="003A4656" w:rsidRDefault="00C941EF" w:rsidP="0005572B">
      <w:pPr>
        <w:ind w:left="0" w:right="0"/>
        <w:rPr>
          <w:sz w:val="22"/>
          <w:szCs w:val="22"/>
        </w:rPr>
      </w:pPr>
      <w:r w:rsidRPr="003A4656">
        <w:rPr>
          <w:sz w:val="22"/>
          <w:szCs w:val="22"/>
        </w:rPr>
        <w:t xml:space="preserve">Founder mutations are </w:t>
      </w:r>
      <w:r w:rsidR="004D403B" w:rsidRPr="003A4656">
        <w:rPr>
          <w:sz w:val="22"/>
          <w:szCs w:val="22"/>
        </w:rPr>
        <w:t xml:space="preserve">also </w:t>
      </w:r>
      <w:r w:rsidRPr="003A4656">
        <w:rPr>
          <w:sz w:val="22"/>
          <w:szCs w:val="22"/>
        </w:rPr>
        <w:t>found in several European populations</w:t>
      </w:r>
      <w:r w:rsidR="004D403B" w:rsidRPr="003A4656">
        <w:rPr>
          <w:sz w:val="22"/>
          <w:szCs w:val="22"/>
        </w:rPr>
        <w:t xml:space="preserve">, including </w:t>
      </w:r>
      <w:r w:rsidRPr="003A4656">
        <w:rPr>
          <w:sz w:val="22"/>
          <w:szCs w:val="22"/>
        </w:rPr>
        <w:t>Italian</w:t>
      </w:r>
      <w:r w:rsidR="00FD3E5A" w:rsidRPr="003A4656">
        <w:rPr>
          <w:sz w:val="22"/>
          <w:szCs w:val="22"/>
        </w:rPr>
        <w:t>s</w:t>
      </w:r>
      <w:r w:rsidR="00631B09" w:rsidRPr="003A4656">
        <w:rPr>
          <w:sz w:val="22"/>
          <w:szCs w:val="22"/>
        </w:rPr>
        <w:t xml:space="preserve"> </w:t>
      </w:r>
      <w:r w:rsidRPr="003A4656">
        <w:rPr>
          <w:sz w:val="22"/>
          <w:szCs w:val="22"/>
        </w:rPr>
        <w:t>(</w:t>
      </w:r>
      <w:r w:rsidRPr="003A4656">
        <w:rPr>
          <w:color w:val="131313"/>
          <w:sz w:val="22"/>
          <w:szCs w:val="22"/>
        </w:rPr>
        <w:t>Janavičius R.</w:t>
      </w:r>
      <w:r w:rsidRPr="003A4656">
        <w:rPr>
          <w:sz w:val="22"/>
          <w:szCs w:val="22"/>
        </w:rPr>
        <w:t>, 2010</w:t>
      </w:r>
      <w:r w:rsidR="00EF71D4" w:rsidRPr="003A4656">
        <w:rPr>
          <w:sz w:val="22"/>
          <w:szCs w:val="22"/>
        </w:rPr>
        <w:t>; Table 2</w:t>
      </w:r>
      <w:r w:rsidRPr="003A4656">
        <w:rPr>
          <w:sz w:val="22"/>
          <w:szCs w:val="22"/>
        </w:rPr>
        <w:t xml:space="preserve">). The first example of founder mutation in the Italian population was described by Baudi et al (2001). The screening of the whole </w:t>
      </w:r>
      <w:r w:rsidRPr="003A4656">
        <w:rPr>
          <w:i/>
          <w:sz w:val="22"/>
          <w:szCs w:val="22"/>
        </w:rPr>
        <w:t>BRCA1</w:t>
      </w:r>
      <w:r w:rsidRPr="003A4656">
        <w:rPr>
          <w:sz w:val="22"/>
          <w:szCs w:val="22"/>
        </w:rPr>
        <w:t xml:space="preserve"> gene showed a high rate </w:t>
      </w:r>
      <w:r w:rsidR="00FD3E5A" w:rsidRPr="003A4656">
        <w:rPr>
          <w:sz w:val="22"/>
          <w:szCs w:val="22"/>
        </w:rPr>
        <w:t xml:space="preserve">(33% of </w:t>
      </w:r>
      <w:r w:rsidR="00FD3E5A" w:rsidRPr="003A4656">
        <w:rPr>
          <w:i/>
          <w:sz w:val="22"/>
          <w:szCs w:val="22"/>
        </w:rPr>
        <w:t>BRCA1</w:t>
      </w:r>
      <w:r w:rsidR="00FD3E5A" w:rsidRPr="003A4656">
        <w:rPr>
          <w:sz w:val="22"/>
          <w:szCs w:val="22"/>
        </w:rPr>
        <w:t xml:space="preserve">-positifve families) </w:t>
      </w:r>
      <w:r w:rsidRPr="003A4656">
        <w:rPr>
          <w:sz w:val="22"/>
          <w:szCs w:val="22"/>
        </w:rPr>
        <w:t xml:space="preserve">of the 5083del19 mutation. All </w:t>
      </w:r>
      <w:r w:rsidR="00FD3E5A" w:rsidRPr="003A4656">
        <w:rPr>
          <w:sz w:val="22"/>
          <w:szCs w:val="22"/>
        </w:rPr>
        <w:t>families</w:t>
      </w:r>
      <w:r w:rsidRPr="003A4656">
        <w:rPr>
          <w:sz w:val="22"/>
          <w:szCs w:val="22"/>
        </w:rPr>
        <w:t xml:space="preserve"> with this mutation originated from Calabria and haplotype analysis indicate a possible founder </w:t>
      </w:r>
      <w:r w:rsidR="00FD3E5A" w:rsidRPr="003A4656">
        <w:rPr>
          <w:sz w:val="22"/>
          <w:szCs w:val="22"/>
        </w:rPr>
        <w:t xml:space="preserve">effect </w:t>
      </w:r>
      <w:r w:rsidRPr="003A4656">
        <w:rPr>
          <w:sz w:val="22"/>
          <w:szCs w:val="22"/>
        </w:rPr>
        <w:t xml:space="preserve">in </w:t>
      </w:r>
      <w:r w:rsidR="00FD3E5A" w:rsidRPr="003A4656">
        <w:rPr>
          <w:sz w:val="22"/>
          <w:szCs w:val="22"/>
        </w:rPr>
        <w:t>accordance</w:t>
      </w:r>
      <w:r w:rsidRPr="003A4656">
        <w:rPr>
          <w:sz w:val="22"/>
          <w:szCs w:val="22"/>
        </w:rPr>
        <w:t xml:space="preserve"> with the </w:t>
      </w:r>
      <w:r w:rsidR="00FD3E5A" w:rsidRPr="003A4656">
        <w:rPr>
          <w:sz w:val="22"/>
          <w:szCs w:val="22"/>
        </w:rPr>
        <w:t xml:space="preserve">homogeneous </w:t>
      </w:r>
      <w:r w:rsidRPr="003A4656">
        <w:rPr>
          <w:sz w:val="22"/>
          <w:szCs w:val="22"/>
        </w:rPr>
        <w:t>genetic background of the Calabrian population (Baudi F</w:t>
      </w:r>
      <w:r w:rsidR="00943BEE" w:rsidRPr="003A4656">
        <w:rPr>
          <w:sz w:val="22"/>
          <w:szCs w:val="22"/>
        </w:rPr>
        <w:t>.</w:t>
      </w:r>
      <w:r w:rsidRPr="003A4656">
        <w:rPr>
          <w:sz w:val="22"/>
          <w:szCs w:val="22"/>
        </w:rPr>
        <w:t xml:space="preserve"> et al., 2001). Another regional founder effect has been demonstrated in Sicily for the </w:t>
      </w:r>
      <w:r w:rsidR="00FD3E5A" w:rsidRPr="003A4656">
        <w:rPr>
          <w:i/>
          <w:sz w:val="22"/>
          <w:szCs w:val="22"/>
        </w:rPr>
        <w:t>BRCA1</w:t>
      </w:r>
      <w:r w:rsidR="00FD3E5A" w:rsidRPr="003A4656">
        <w:rPr>
          <w:sz w:val="22"/>
          <w:szCs w:val="22"/>
        </w:rPr>
        <w:t xml:space="preserve"> </w:t>
      </w:r>
      <w:r w:rsidRPr="003A4656">
        <w:rPr>
          <w:sz w:val="22"/>
          <w:szCs w:val="22"/>
        </w:rPr>
        <w:t>mutation 4843delC. In 2002, Calò et al. found this mutation in two Sicilian families with the same haplotype (Cal</w:t>
      </w:r>
      <w:r w:rsidR="00943BEE" w:rsidRPr="003A4656">
        <w:rPr>
          <w:sz w:val="22"/>
          <w:szCs w:val="22"/>
        </w:rPr>
        <w:t>ò</w:t>
      </w:r>
      <w:r w:rsidRPr="003A4656">
        <w:rPr>
          <w:sz w:val="22"/>
          <w:szCs w:val="22"/>
        </w:rPr>
        <w:t xml:space="preserve"> V. et al., 2006; Ferla R. et al., 2007).</w:t>
      </w:r>
    </w:p>
    <w:p w:rsidR="00101298" w:rsidRPr="003A4656" w:rsidRDefault="00EF71D4" w:rsidP="00101298">
      <w:pPr>
        <w:ind w:left="0" w:right="0"/>
        <w:rPr>
          <w:sz w:val="22"/>
          <w:szCs w:val="22"/>
        </w:rPr>
      </w:pPr>
      <w:r w:rsidRPr="003A4656">
        <w:rPr>
          <w:sz w:val="22"/>
          <w:szCs w:val="22"/>
        </w:rPr>
        <w:t>Malacrida</w:t>
      </w:r>
      <w:r w:rsidR="00C941EF" w:rsidRPr="003A4656">
        <w:rPr>
          <w:sz w:val="22"/>
          <w:szCs w:val="22"/>
        </w:rPr>
        <w:t xml:space="preserve"> et al. have described another possible founder effect in North</w:t>
      </w:r>
      <w:r w:rsidRPr="003A4656">
        <w:rPr>
          <w:sz w:val="22"/>
          <w:szCs w:val="22"/>
        </w:rPr>
        <w:t>ern</w:t>
      </w:r>
      <w:r w:rsidR="00C941EF" w:rsidRPr="003A4656">
        <w:rPr>
          <w:sz w:val="22"/>
          <w:szCs w:val="22"/>
        </w:rPr>
        <w:t xml:space="preserve"> Italy. This group described </w:t>
      </w:r>
      <w:r w:rsidRPr="003A4656">
        <w:rPr>
          <w:sz w:val="22"/>
          <w:szCs w:val="22"/>
        </w:rPr>
        <w:t>the</w:t>
      </w:r>
      <w:r w:rsidR="00943BEE" w:rsidRPr="003A4656">
        <w:rPr>
          <w:sz w:val="22"/>
          <w:szCs w:val="22"/>
        </w:rPr>
        <w:t xml:space="preserve"> </w:t>
      </w:r>
      <w:r w:rsidR="00C941EF" w:rsidRPr="003A4656">
        <w:rPr>
          <w:sz w:val="22"/>
          <w:szCs w:val="22"/>
        </w:rPr>
        <w:t xml:space="preserve">founder mutation p.Val1688del in </w:t>
      </w:r>
      <w:r w:rsidR="00C941EF" w:rsidRPr="003A4656">
        <w:rPr>
          <w:i/>
          <w:sz w:val="22"/>
          <w:szCs w:val="22"/>
        </w:rPr>
        <w:t>BRCA1</w:t>
      </w:r>
      <w:r w:rsidR="00C941EF" w:rsidRPr="003A4656">
        <w:rPr>
          <w:sz w:val="22"/>
          <w:szCs w:val="22"/>
        </w:rPr>
        <w:t xml:space="preserve"> in </w:t>
      </w:r>
      <w:r w:rsidRPr="003A4656">
        <w:rPr>
          <w:sz w:val="22"/>
          <w:szCs w:val="22"/>
        </w:rPr>
        <w:t>12</w:t>
      </w:r>
      <w:r w:rsidR="00C941EF" w:rsidRPr="003A4656">
        <w:rPr>
          <w:sz w:val="22"/>
          <w:szCs w:val="22"/>
        </w:rPr>
        <w:t xml:space="preserve"> </w:t>
      </w:r>
      <w:r w:rsidRPr="003A4656">
        <w:rPr>
          <w:sz w:val="22"/>
          <w:szCs w:val="22"/>
        </w:rPr>
        <w:t>independently ascertained</w:t>
      </w:r>
      <w:r w:rsidR="00C941EF" w:rsidRPr="003A4656">
        <w:rPr>
          <w:sz w:val="22"/>
          <w:szCs w:val="22"/>
        </w:rPr>
        <w:t xml:space="preserve"> families (Ma</w:t>
      </w:r>
      <w:r w:rsidR="00A7694A" w:rsidRPr="003A4656">
        <w:rPr>
          <w:sz w:val="22"/>
          <w:szCs w:val="22"/>
        </w:rPr>
        <w:t>lacrida S</w:t>
      </w:r>
      <w:r w:rsidR="00862BA9" w:rsidRPr="003A4656">
        <w:rPr>
          <w:sz w:val="22"/>
          <w:szCs w:val="22"/>
        </w:rPr>
        <w:t xml:space="preserve">. </w:t>
      </w:r>
      <w:r w:rsidR="00A7694A" w:rsidRPr="003A4656">
        <w:rPr>
          <w:sz w:val="22"/>
          <w:szCs w:val="22"/>
        </w:rPr>
        <w:t>et al., 2008)</w:t>
      </w:r>
      <w:r w:rsidRPr="003A4656">
        <w:rPr>
          <w:sz w:val="22"/>
          <w:szCs w:val="22"/>
        </w:rPr>
        <w:t>.</w:t>
      </w:r>
      <w:r w:rsidR="00865C2B" w:rsidRPr="003A4656">
        <w:rPr>
          <w:sz w:val="22"/>
          <w:szCs w:val="22"/>
        </w:rPr>
        <w:t xml:space="preserve"> Additional </w:t>
      </w:r>
      <w:r w:rsidR="00865C2B" w:rsidRPr="003A4656">
        <w:rPr>
          <w:i/>
          <w:sz w:val="22"/>
          <w:szCs w:val="22"/>
        </w:rPr>
        <w:t>BRCA1</w:t>
      </w:r>
      <w:r w:rsidR="00865C2B" w:rsidRPr="003A4656">
        <w:rPr>
          <w:sz w:val="22"/>
          <w:szCs w:val="22"/>
        </w:rPr>
        <w:t xml:space="preserve"> founder mutations have been identified in HBOC families from Tuscany (Papi L.et al., 2009) and </w:t>
      </w:r>
      <w:r w:rsidR="0061692F" w:rsidRPr="003A4656">
        <w:rPr>
          <w:sz w:val="22"/>
          <w:szCs w:val="22"/>
        </w:rPr>
        <w:t xml:space="preserve">from </w:t>
      </w:r>
      <w:r w:rsidR="00865C2B" w:rsidRPr="003A4656">
        <w:rPr>
          <w:sz w:val="22"/>
          <w:szCs w:val="22"/>
        </w:rPr>
        <w:t>the area of the city of Bergamo (Caleca</w:t>
      </w:r>
      <w:r w:rsidR="003A24A9" w:rsidRPr="003A4656">
        <w:rPr>
          <w:sz w:val="22"/>
          <w:szCs w:val="22"/>
        </w:rPr>
        <w:t xml:space="preserve"> L.</w:t>
      </w:r>
      <w:r w:rsidR="00865C2B" w:rsidRPr="003A4656">
        <w:rPr>
          <w:sz w:val="22"/>
          <w:szCs w:val="22"/>
        </w:rPr>
        <w:t xml:space="preserve"> et al., in press).</w:t>
      </w:r>
    </w:p>
    <w:p w:rsidR="0061692F" w:rsidRDefault="0061692F"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Default="00985322" w:rsidP="00101298">
      <w:pPr>
        <w:ind w:left="0" w:right="0"/>
        <w:jc w:val="center"/>
        <w:rPr>
          <w:sz w:val="22"/>
          <w:szCs w:val="22"/>
        </w:rPr>
      </w:pPr>
    </w:p>
    <w:p w:rsidR="00985322" w:rsidRPr="003A4656" w:rsidRDefault="00985322" w:rsidP="00101298">
      <w:pPr>
        <w:ind w:left="0" w:right="0"/>
        <w:jc w:val="center"/>
        <w:rPr>
          <w:sz w:val="22"/>
          <w:szCs w:val="22"/>
        </w:rPr>
      </w:pPr>
    </w:p>
    <w:p w:rsidR="00985322" w:rsidRDefault="00985322" w:rsidP="00101298">
      <w:pPr>
        <w:ind w:left="0" w:right="0"/>
        <w:jc w:val="center"/>
        <w:rPr>
          <w:sz w:val="22"/>
          <w:szCs w:val="22"/>
        </w:rPr>
      </w:pPr>
    </w:p>
    <w:p w:rsidR="00EF71D4" w:rsidRPr="003A4656" w:rsidRDefault="00EF71D4" w:rsidP="00101298">
      <w:pPr>
        <w:ind w:left="0" w:right="0"/>
        <w:jc w:val="center"/>
        <w:rPr>
          <w:sz w:val="22"/>
          <w:szCs w:val="22"/>
        </w:rPr>
      </w:pPr>
      <w:proofErr w:type="gramStart"/>
      <w:r w:rsidRPr="003A4656">
        <w:rPr>
          <w:sz w:val="22"/>
          <w:szCs w:val="22"/>
        </w:rPr>
        <w:t>Table 2.</w:t>
      </w:r>
      <w:proofErr w:type="gramEnd"/>
      <w:r w:rsidRPr="003A4656">
        <w:rPr>
          <w:sz w:val="22"/>
          <w:szCs w:val="22"/>
        </w:rPr>
        <w:t xml:space="preserve">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founder mutations</w:t>
      </w:r>
    </w:p>
    <w:tbl>
      <w:tblPr>
        <w:tblStyle w:val="Sfondochiaro1"/>
        <w:tblW w:w="7796" w:type="dxa"/>
        <w:jc w:val="center"/>
        <w:tblLook w:val="04A0"/>
      </w:tblPr>
      <w:tblGrid>
        <w:gridCol w:w="2395"/>
        <w:gridCol w:w="3231"/>
        <w:gridCol w:w="2170"/>
      </w:tblGrid>
      <w:tr w:rsidR="00C941EF" w:rsidRPr="003A4656" w:rsidTr="00B835EB">
        <w:trPr>
          <w:cnfStyle w:val="100000000000"/>
          <w:trHeight w:val="543"/>
          <w:jc w:val="center"/>
        </w:trPr>
        <w:tc>
          <w:tcPr>
            <w:cnfStyle w:val="001000000000"/>
            <w:tcW w:w="0" w:type="auto"/>
          </w:tcPr>
          <w:p w:rsidR="00C941EF" w:rsidRPr="003A4656" w:rsidRDefault="00C941EF" w:rsidP="00101298">
            <w:pPr>
              <w:ind w:left="0" w:right="0"/>
              <w:rPr>
                <w:b w:val="0"/>
                <w:bCs w:val="0"/>
                <w:sz w:val="22"/>
                <w:szCs w:val="22"/>
              </w:rPr>
            </w:pPr>
            <w:r w:rsidRPr="003A4656">
              <w:rPr>
                <w:sz w:val="22"/>
                <w:szCs w:val="22"/>
              </w:rPr>
              <w:t>Population</w:t>
            </w:r>
          </w:p>
        </w:tc>
        <w:tc>
          <w:tcPr>
            <w:tcW w:w="0" w:type="auto"/>
          </w:tcPr>
          <w:p w:rsidR="00C941EF" w:rsidRPr="003A4656" w:rsidRDefault="00C941EF" w:rsidP="00101298">
            <w:pPr>
              <w:ind w:left="0" w:right="0"/>
              <w:cnfStyle w:val="100000000000"/>
              <w:rPr>
                <w:b w:val="0"/>
                <w:bCs w:val="0"/>
                <w:sz w:val="22"/>
                <w:szCs w:val="22"/>
              </w:rPr>
            </w:pPr>
            <w:r w:rsidRPr="003A4656">
              <w:rPr>
                <w:sz w:val="22"/>
                <w:szCs w:val="22"/>
              </w:rPr>
              <w:t>Mutation BRCA1</w:t>
            </w:r>
          </w:p>
        </w:tc>
        <w:tc>
          <w:tcPr>
            <w:tcW w:w="0" w:type="auto"/>
          </w:tcPr>
          <w:p w:rsidR="00C941EF" w:rsidRPr="003A4656" w:rsidRDefault="00C941EF" w:rsidP="00101298">
            <w:pPr>
              <w:ind w:left="0" w:right="0"/>
              <w:cnfStyle w:val="100000000000"/>
              <w:rPr>
                <w:b w:val="0"/>
                <w:bCs w:val="0"/>
                <w:sz w:val="22"/>
                <w:szCs w:val="22"/>
              </w:rPr>
            </w:pPr>
            <w:r w:rsidRPr="003A4656">
              <w:rPr>
                <w:sz w:val="22"/>
                <w:szCs w:val="22"/>
              </w:rPr>
              <w:t>Mutation BRCA2</w:t>
            </w:r>
          </w:p>
        </w:tc>
      </w:tr>
      <w:tr w:rsidR="00C941EF" w:rsidRPr="003A4656" w:rsidTr="00B835EB">
        <w:trPr>
          <w:cnfStyle w:val="000000100000"/>
          <w:trHeight w:val="543"/>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Ashkenazi Jews</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185delAG</w:t>
            </w:r>
          </w:p>
          <w:p w:rsidR="00C941EF" w:rsidRPr="003A4656" w:rsidRDefault="00C941EF" w:rsidP="0005572B">
            <w:pPr>
              <w:spacing w:line="276" w:lineRule="auto"/>
              <w:ind w:left="0" w:right="0"/>
              <w:cnfStyle w:val="000000100000"/>
              <w:rPr>
                <w:sz w:val="22"/>
                <w:szCs w:val="22"/>
              </w:rPr>
            </w:pPr>
            <w:r w:rsidRPr="003A4656">
              <w:rPr>
                <w:sz w:val="22"/>
                <w:szCs w:val="22"/>
              </w:rPr>
              <w:t>5832insC</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6174delT</w:t>
            </w:r>
          </w:p>
        </w:tc>
      </w:tr>
      <w:tr w:rsidR="00C941EF" w:rsidRPr="003A4656" w:rsidTr="00B835EB">
        <w:trPr>
          <w:trHeight w:val="543"/>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Norvegian</w:t>
            </w:r>
          </w:p>
        </w:tc>
        <w:tc>
          <w:tcPr>
            <w:tcW w:w="0" w:type="auto"/>
          </w:tcPr>
          <w:p w:rsidR="00C941EF" w:rsidRPr="003A4656" w:rsidRDefault="00C941EF" w:rsidP="0005572B">
            <w:pPr>
              <w:spacing w:line="276" w:lineRule="auto"/>
              <w:ind w:left="0" w:right="0"/>
              <w:cnfStyle w:val="000000000000"/>
              <w:rPr>
                <w:sz w:val="22"/>
                <w:szCs w:val="22"/>
              </w:rPr>
            </w:pPr>
            <w:r w:rsidRPr="003A4656">
              <w:rPr>
                <w:sz w:val="22"/>
                <w:szCs w:val="22"/>
              </w:rPr>
              <w:t>1675delA</w:t>
            </w:r>
          </w:p>
          <w:p w:rsidR="00C941EF" w:rsidRPr="003A4656" w:rsidRDefault="00C941EF" w:rsidP="0005572B">
            <w:pPr>
              <w:spacing w:line="276" w:lineRule="auto"/>
              <w:ind w:left="0" w:right="0"/>
              <w:cnfStyle w:val="000000000000"/>
              <w:rPr>
                <w:sz w:val="22"/>
                <w:szCs w:val="22"/>
              </w:rPr>
            </w:pPr>
            <w:r w:rsidRPr="003A4656">
              <w:rPr>
                <w:sz w:val="22"/>
                <w:szCs w:val="22"/>
              </w:rPr>
              <w:t>816delGT</w:t>
            </w:r>
          </w:p>
        </w:tc>
        <w:tc>
          <w:tcPr>
            <w:tcW w:w="0" w:type="auto"/>
          </w:tcPr>
          <w:p w:rsidR="00C941EF" w:rsidRPr="003A4656" w:rsidRDefault="00C941EF" w:rsidP="0005572B">
            <w:pPr>
              <w:spacing w:line="276" w:lineRule="auto"/>
              <w:ind w:left="0" w:right="0"/>
              <w:cnfStyle w:val="000000000000"/>
              <w:rPr>
                <w:sz w:val="22"/>
                <w:szCs w:val="22"/>
              </w:rPr>
            </w:pPr>
          </w:p>
        </w:tc>
      </w:tr>
      <w:tr w:rsidR="00C941EF" w:rsidRPr="003A4656" w:rsidTr="00B835EB">
        <w:trPr>
          <w:cnfStyle w:val="000000100000"/>
          <w:trHeight w:val="278"/>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French</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3600del11</w:t>
            </w:r>
          </w:p>
        </w:tc>
        <w:tc>
          <w:tcPr>
            <w:tcW w:w="0" w:type="auto"/>
          </w:tcPr>
          <w:p w:rsidR="00C941EF" w:rsidRPr="003A4656" w:rsidRDefault="00C941EF" w:rsidP="0005572B">
            <w:pPr>
              <w:spacing w:line="276" w:lineRule="auto"/>
              <w:ind w:left="0" w:right="0"/>
              <w:cnfStyle w:val="000000100000"/>
              <w:rPr>
                <w:sz w:val="22"/>
                <w:szCs w:val="22"/>
              </w:rPr>
            </w:pPr>
          </w:p>
        </w:tc>
      </w:tr>
      <w:tr w:rsidR="00C941EF" w:rsidRPr="003A4656" w:rsidTr="00B835EB">
        <w:trPr>
          <w:trHeight w:val="265"/>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Swedes</w:t>
            </w:r>
          </w:p>
        </w:tc>
        <w:tc>
          <w:tcPr>
            <w:tcW w:w="0" w:type="auto"/>
          </w:tcPr>
          <w:p w:rsidR="00C941EF" w:rsidRPr="003A4656" w:rsidRDefault="00C941EF" w:rsidP="0005572B">
            <w:pPr>
              <w:spacing w:line="276" w:lineRule="auto"/>
              <w:ind w:left="0" w:right="0"/>
              <w:cnfStyle w:val="000000000000"/>
              <w:rPr>
                <w:sz w:val="22"/>
                <w:szCs w:val="22"/>
              </w:rPr>
            </w:pPr>
            <w:r w:rsidRPr="003A4656">
              <w:rPr>
                <w:sz w:val="22"/>
                <w:szCs w:val="22"/>
              </w:rPr>
              <w:t>3171ins5</w:t>
            </w:r>
          </w:p>
        </w:tc>
        <w:tc>
          <w:tcPr>
            <w:tcW w:w="0" w:type="auto"/>
          </w:tcPr>
          <w:p w:rsidR="00C941EF" w:rsidRPr="003A4656" w:rsidRDefault="00C941EF" w:rsidP="0005572B">
            <w:pPr>
              <w:spacing w:line="276" w:lineRule="auto"/>
              <w:ind w:left="0" w:right="0"/>
              <w:cnfStyle w:val="000000000000"/>
              <w:rPr>
                <w:sz w:val="22"/>
                <w:szCs w:val="22"/>
              </w:rPr>
            </w:pPr>
          </w:p>
        </w:tc>
      </w:tr>
      <w:tr w:rsidR="00C941EF" w:rsidRPr="003A4656" w:rsidTr="00B835EB">
        <w:trPr>
          <w:cnfStyle w:val="000000100000"/>
          <w:trHeight w:val="265"/>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Dutch</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2804delAA</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5579insA</w:t>
            </w:r>
          </w:p>
        </w:tc>
      </w:tr>
      <w:tr w:rsidR="00C941EF" w:rsidRPr="003A4656" w:rsidTr="00B835EB">
        <w:trPr>
          <w:trHeight w:val="543"/>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Italian (Calabria)</w:t>
            </w:r>
          </w:p>
        </w:tc>
        <w:tc>
          <w:tcPr>
            <w:tcW w:w="0" w:type="auto"/>
          </w:tcPr>
          <w:p w:rsidR="00C941EF" w:rsidRPr="003A4656" w:rsidRDefault="00C941EF" w:rsidP="0005572B">
            <w:pPr>
              <w:spacing w:line="276" w:lineRule="auto"/>
              <w:ind w:left="0" w:right="0"/>
              <w:cnfStyle w:val="000000000000"/>
              <w:rPr>
                <w:sz w:val="22"/>
                <w:szCs w:val="22"/>
              </w:rPr>
            </w:pPr>
            <w:r w:rsidRPr="003A4656">
              <w:rPr>
                <w:sz w:val="22"/>
                <w:szCs w:val="22"/>
              </w:rPr>
              <w:t>5083del19</w:t>
            </w:r>
          </w:p>
        </w:tc>
        <w:tc>
          <w:tcPr>
            <w:tcW w:w="0" w:type="auto"/>
          </w:tcPr>
          <w:p w:rsidR="00C941EF" w:rsidRPr="003A4656" w:rsidRDefault="00C941EF" w:rsidP="0005572B">
            <w:pPr>
              <w:spacing w:line="276" w:lineRule="auto"/>
              <w:ind w:left="0" w:right="0"/>
              <w:cnfStyle w:val="000000000000"/>
              <w:rPr>
                <w:sz w:val="22"/>
                <w:szCs w:val="22"/>
              </w:rPr>
            </w:pPr>
          </w:p>
        </w:tc>
      </w:tr>
      <w:tr w:rsidR="00C941EF" w:rsidRPr="003A4656" w:rsidTr="00B835EB">
        <w:trPr>
          <w:cnfStyle w:val="000000100000"/>
          <w:trHeight w:val="278"/>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Italian (Sicilia)</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4843delC</w:t>
            </w:r>
          </w:p>
        </w:tc>
        <w:tc>
          <w:tcPr>
            <w:tcW w:w="0" w:type="auto"/>
          </w:tcPr>
          <w:p w:rsidR="00C941EF" w:rsidRPr="003A4656" w:rsidRDefault="00C941EF" w:rsidP="0005572B">
            <w:pPr>
              <w:spacing w:line="276" w:lineRule="auto"/>
              <w:ind w:left="0" w:right="0"/>
              <w:cnfStyle w:val="000000100000"/>
              <w:rPr>
                <w:sz w:val="22"/>
                <w:szCs w:val="22"/>
              </w:rPr>
            </w:pPr>
          </w:p>
        </w:tc>
      </w:tr>
      <w:tr w:rsidR="00C941EF" w:rsidRPr="003A4656" w:rsidTr="00B835EB">
        <w:trPr>
          <w:trHeight w:val="531"/>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Italian (North/East)</w:t>
            </w:r>
          </w:p>
        </w:tc>
        <w:tc>
          <w:tcPr>
            <w:tcW w:w="0" w:type="auto"/>
          </w:tcPr>
          <w:p w:rsidR="00C941EF" w:rsidRPr="003A4656" w:rsidRDefault="00865C2B" w:rsidP="0005572B">
            <w:pPr>
              <w:spacing w:line="276" w:lineRule="auto"/>
              <w:ind w:left="0" w:right="0"/>
              <w:cnfStyle w:val="000000000000"/>
              <w:rPr>
                <w:sz w:val="22"/>
                <w:szCs w:val="22"/>
              </w:rPr>
            </w:pPr>
            <w:r w:rsidRPr="003A4656">
              <w:rPr>
                <w:sz w:val="22"/>
                <w:szCs w:val="22"/>
              </w:rPr>
              <w:t>5181_5183delGTT(</w:t>
            </w:r>
            <w:r w:rsidR="00C941EF" w:rsidRPr="003A4656">
              <w:rPr>
                <w:sz w:val="22"/>
                <w:szCs w:val="22"/>
              </w:rPr>
              <w:t>1688Val</w:t>
            </w:r>
            <w:r w:rsidRPr="003A4656">
              <w:rPr>
                <w:sz w:val="22"/>
                <w:szCs w:val="22"/>
              </w:rPr>
              <w:t>)</w:t>
            </w:r>
          </w:p>
        </w:tc>
        <w:tc>
          <w:tcPr>
            <w:tcW w:w="0" w:type="auto"/>
          </w:tcPr>
          <w:p w:rsidR="00C941EF" w:rsidRPr="003A4656" w:rsidRDefault="00C941EF" w:rsidP="0005572B">
            <w:pPr>
              <w:spacing w:line="276" w:lineRule="auto"/>
              <w:ind w:left="0" w:right="0"/>
              <w:cnfStyle w:val="000000000000"/>
              <w:rPr>
                <w:sz w:val="22"/>
                <w:szCs w:val="22"/>
              </w:rPr>
            </w:pPr>
          </w:p>
        </w:tc>
      </w:tr>
      <w:tr w:rsidR="00C941EF" w:rsidRPr="003A4656" w:rsidTr="00B835EB">
        <w:trPr>
          <w:cnfStyle w:val="000000100000"/>
          <w:trHeight w:val="821"/>
          <w:jc w:val="center"/>
        </w:trPr>
        <w:tc>
          <w:tcPr>
            <w:cnfStyle w:val="001000000000"/>
            <w:tcW w:w="0" w:type="auto"/>
          </w:tcPr>
          <w:p w:rsidR="00C941EF" w:rsidRPr="003A4656" w:rsidRDefault="00C941EF" w:rsidP="0005572B">
            <w:pPr>
              <w:spacing w:line="276" w:lineRule="auto"/>
              <w:ind w:left="0" w:right="0"/>
              <w:rPr>
                <w:b w:val="0"/>
                <w:bCs w:val="0"/>
                <w:sz w:val="22"/>
                <w:szCs w:val="22"/>
              </w:rPr>
            </w:pPr>
            <w:r w:rsidRPr="003A4656">
              <w:rPr>
                <w:sz w:val="22"/>
                <w:szCs w:val="22"/>
              </w:rPr>
              <w:t>Italian (Tuscany)</w:t>
            </w:r>
          </w:p>
        </w:tc>
        <w:tc>
          <w:tcPr>
            <w:tcW w:w="0" w:type="auto"/>
          </w:tcPr>
          <w:p w:rsidR="00C941EF" w:rsidRPr="003A4656" w:rsidRDefault="00C941EF" w:rsidP="0005572B">
            <w:pPr>
              <w:spacing w:line="276" w:lineRule="auto"/>
              <w:ind w:left="0" w:right="0"/>
              <w:cnfStyle w:val="000000100000"/>
              <w:rPr>
                <w:sz w:val="22"/>
                <w:szCs w:val="22"/>
              </w:rPr>
            </w:pPr>
            <w:r w:rsidRPr="003A4656">
              <w:rPr>
                <w:sz w:val="22"/>
                <w:szCs w:val="22"/>
              </w:rPr>
              <w:t>1499insA</w:t>
            </w:r>
          </w:p>
          <w:p w:rsidR="00C941EF" w:rsidRPr="003A4656" w:rsidRDefault="00C941EF" w:rsidP="0005572B">
            <w:pPr>
              <w:spacing w:line="276" w:lineRule="auto"/>
              <w:ind w:left="0" w:right="0"/>
              <w:cnfStyle w:val="000000100000"/>
              <w:rPr>
                <w:sz w:val="22"/>
                <w:szCs w:val="22"/>
              </w:rPr>
            </w:pPr>
            <w:r w:rsidRPr="003A4656">
              <w:rPr>
                <w:sz w:val="22"/>
                <w:szCs w:val="22"/>
              </w:rPr>
              <w:t>3347delAG</w:t>
            </w:r>
          </w:p>
          <w:p w:rsidR="00C941EF" w:rsidRPr="003A4656" w:rsidRDefault="00C941EF" w:rsidP="0005572B">
            <w:pPr>
              <w:spacing w:line="276" w:lineRule="auto"/>
              <w:ind w:left="0" w:right="0"/>
              <w:cnfStyle w:val="000000100000"/>
              <w:rPr>
                <w:sz w:val="22"/>
                <w:szCs w:val="22"/>
              </w:rPr>
            </w:pPr>
            <w:r w:rsidRPr="003A4656">
              <w:rPr>
                <w:sz w:val="22"/>
                <w:szCs w:val="22"/>
              </w:rPr>
              <w:t>3404delA</w:t>
            </w:r>
          </w:p>
        </w:tc>
        <w:tc>
          <w:tcPr>
            <w:tcW w:w="0" w:type="auto"/>
          </w:tcPr>
          <w:p w:rsidR="00C941EF" w:rsidRPr="003A4656" w:rsidRDefault="00C941EF" w:rsidP="0005572B">
            <w:pPr>
              <w:spacing w:line="276" w:lineRule="auto"/>
              <w:ind w:left="0" w:right="0"/>
              <w:cnfStyle w:val="000000100000"/>
              <w:rPr>
                <w:sz w:val="22"/>
                <w:szCs w:val="22"/>
              </w:rPr>
            </w:pPr>
          </w:p>
        </w:tc>
      </w:tr>
      <w:tr w:rsidR="00EF71D4" w:rsidRPr="003A4656" w:rsidTr="00B835EB">
        <w:trPr>
          <w:trHeight w:val="543"/>
          <w:jc w:val="center"/>
        </w:trPr>
        <w:tc>
          <w:tcPr>
            <w:cnfStyle w:val="001000000000"/>
            <w:tcW w:w="0" w:type="auto"/>
          </w:tcPr>
          <w:p w:rsidR="00EF71D4" w:rsidRPr="003A4656" w:rsidRDefault="00EF71D4" w:rsidP="00101298">
            <w:pPr>
              <w:spacing w:before="100" w:beforeAutospacing="1" w:after="100" w:afterAutospacing="1" w:line="276" w:lineRule="auto"/>
              <w:ind w:left="0" w:right="0"/>
              <w:rPr>
                <w:sz w:val="22"/>
                <w:szCs w:val="22"/>
              </w:rPr>
            </w:pPr>
            <w:r w:rsidRPr="003A4656">
              <w:rPr>
                <w:sz w:val="22"/>
                <w:szCs w:val="22"/>
              </w:rPr>
              <w:t>Italian (Bergamo)</w:t>
            </w:r>
          </w:p>
        </w:tc>
        <w:tc>
          <w:tcPr>
            <w:tcW w:w="0" w:type="auto"/>
          </w:tcPr>
          <w:p w:rsidR="00EF71D4" w:rsidRPr="003A4656" w:rsidRDefault="00865C2B" w:rsidP="00101298">
            <w:pPr>
              <w:spacing w:before="100" w:beforeAutospacing="1" w:after="100" w:afterAutospacing="1" w:line="276" w:lineRule="auto"/>
              <w:ind w:left="0" w:right="0"/>
              <w:cnfStyle w:val="000000000000"/>
              <w:rPr>
                <w:sz w:val="22"/>
                <w:szCs w:val="22"/>
              </w:rPr>
            </w:pPr>
            <w:r w:rsidRPr="003A4656">
              <w:rPr>
                <w:sz w:val="22"/>
                <w:szCs w:val="22"/>
              </w:rPr>
              <w:t>309T&gt;C (C64R)</w:t>
            </w:r>
          </w:p>
        </w:tc>
        <w:tc>
          <w:tcPr>
            <w:tcW w:w="0" w:type="auto"/>
          </w:tcPr>
          <w:p w:rsidR="00EF71D4" w:rsidRPr="003A4656" w:rsidRDefault="00EF71D4" w:rsidP="00101298">
            <w:pPr>
              <w:spacing w:before="100" w:beforeAutospacing="1" w:after="100" w:afterAutospacing="1" w:line="276" w:lineRule="auto"/>
              <w:ind w:left="0" w:right="0"/>
              <w:cnfStyle w:val="000000000000"/>
              <w:rPr>
                <w:sz w:val="22"/>
                <w:szCs w:val="22"/>
              </w:rPr>
            </w:pPr>
          </w:p>
        </w:tc>
      </w:tr>
    </w:tbl>
    <w:p w:rsidR="0061692F" w:rsidRPr="003A4656" w:rsidRDefault="0061692F" w:rsidP="00101298">
      <w:pPr>
        <w:ind w:left="0" w:right="0" w:firstLine="720"/>
        <w:rPr>
          <w:b/>
          <w:sz w:val="22"/>
          <w:szCs w:val="22"/>
        </w:rPr>
      </w:pPr>
    </w:p>
    <w:p w:rsidR="00985322" w:rsidRPr="003A4656" w:rsidRDefault="00985322" w:rsidP="00985322">
      <w:pPr>
        <w:ind w:left="0" w:right="0" w:firstLine="720"/>
        <w:rPr>
          <w:b/>
          <w:sz w:val="22"/>
          <w:szCs w:val="22"/>
        </w:rPr>
      </w:pPr>
      <w:r w:rsidRPr="003A4656">
        <w:rPr>
          <w:b/>
          <w:sz w:val="22"/>
          <w:szCs w:val="22"/>
        </w:rPr>
        <w:t>2.3 Identification of cancer-predisposed families</w:t>
      </w:r>
    </w:p>
    <w:p w:rsidR="00985322" w:rsidRPr="003A4656" w:rsidRDefault="00985322" w:rsidP="00985322">
      <w:pPr>
        <w:ind w:left="0" w:right="0"/>
        <w:rPr>
          <w:sz w:val="22"/>
          <w:szCs w:val="22"/>
        </w:rPr>
      </w:pPr>
    </w:p>
    <w:p w:rsidR="00985322" w:rsidRPr="003A4656" w:rsidRDefault="00985322" w:rsidP="00985322">
      <w:pPr>
        <w:ind w:left="0" w:right="0"/>
        <w:rPr>
          <w:sz w:val="22"/>
          <w:szCs w:val="22"/>
        </w:rPr>
      </w:pPr>
      <w:r w:rsidRPr="003A4656">
        <w:rPr>
          <w:sz w:val="22"/>
          <w:szCs w:val="22"/>
        </w:rPr>
        <w:t xml:space="preserve">Families with HBOC syndrome are at substantially greater risk for breast and ovarian cancer than the general population. </w:t>
      </w:r>
    </w:p>
    <w:p w:rsidR="00985322" w:rsidRPr="003A4656" w:rsidRDefault="00985322" w:rsidP="00985322">
      <w:pPr>
        <w:ind w:left="0" w:right="0"/>
        <w:rPr>
          <w:sz w:val="22"/>
          <w:szCs w:val="22"/>
        </w:rPr>
      </w:pPr>
      <w:r w:rsidRPr="003A4656">
        <w:rPr>
          <w:sz w:val="22"/>
          <w:szCs w:val="22"/>
        </w:rPr>
        <w:t xml:space="preserve">Following the discovery of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genes and the introduction of clinical testing for the identification of associated mutations, a wealth of evidence has been accumulated documenting the personal, familial and population advantages of identifying individuals at risk for HBOC, providing genetic counselling and testing, and offering enhanced surveillance and risk reduction options. </w:t>
      </w:r>
    </w:p>
    <w:p w:rsidR="0061692F" w:rsidRPr="003A4656" w:rsidRDefault="0061692F" w:rsidP="0061692F">
      <w:pPr>
        <w:ind w:left="0" w:right="0" w:firstLine="720"/>
        <w:rPr>
          <w:b/>
          <w:sz w:val="22"/>
          <w:szCs w:val="22"/>
        </w:rPr>
      </w:pPr>
    </w:p>
    <w:p w:rsidR="0061692F" w:rsidRPr="003A4656" w:rsidRDefault="0061692F" w:rsidP="0061692F">
      <w:pPr>
        <w:ind w:left="0" w:right="0" w:firstLine="720"/>
        <w:rPr>
          <w:b/>
          <w:sz w:val="22"/>
          <w:szCs w:val="22"/>
        </w:rPr>
      </w:pPr>
      <w:r w:rsidRPr="003A4656">
        <w:rPr>
          <w:b/>
          <w:sz w:val="22"/>
          <w:szCs w:val="22"/>
        </w:rPr>
        <w:t>2.3.1 Eligibility Criteria</w:t>
      </w:r>
    </w:p>
    <w:p w:rsidR="0061692F" w:rsidRPr="003A4656" w:rsidRDefault="0061692F" w:rsidP="0061692F">
      <w:pPr>
        <w:ind w:left="0" w:right="0"/>
        <w:rPr>
          <w:sz w:val="22"/>
          <w:szCs w:val="22"/>
        </w:rPr>
      </w:pPr>
    </w:p>
    <w:p w:rsidR="0061692F" w:rsidRPr="003A4656" w:rsidRDefault="0061692F" w:rsidP="0061692F">
      <w:pPr>
        <w:ind w:left="0" w:right="0"/>
        <w:rPr>
          <w:sz w:val="22"/>
          <w:szCs w:val="22"/>
        </w:rPr>
      </w:pPr>
      <w:r w:rsidRPr="003A4656">
        <w:rPr>
          <w:sz w:val="22"/>
          <w:szCs w:val="22"/>
        </w:rPr>
        <w:t xml:space="preserve">Eligibility criteria for </w:t>
      </w:r>
      <w:r w:rsidRPr="003A4656">
        <w:rPr>
          <w:i/>
          <w:sz w:val="22"/>
          <w:szCs w:val="22"/>
        </w:rPr>
        <w:t>BRCA</w:t>
      </w:r>
      <w:r w:rsidRPr="003A4656">
        <w:rPr>
          <w:sz w:val="22"/>
          <w:szCs w:val="22"/>
        </w:rPr>
        <w:t xml:space="preserve"> testing are related to personal and family history of cancer. The National Comprehensive Cancer Network (NCCN; </w:t>
      </w:r>
      <w:hyperlink r:id="rId33" w:history="1">
        <w:r w:rsidRPr="003A4656">
          <w:rPr>
            <w:rStyle w:val="Hyperlink"/>
            <w:sz w:val="22"/>
            <w:szCs w:val="22"/>
          </w:rPr>
          <w:t>http://www.nccn.org</w:t>
        </w:r>
      </w:hyperlink>
      <w:r w:rsidRPr="003A4656">
        <w:rPr>
          <w:sz w:val="22"/>
          <w:szCs w:val="22"/>
        </w:rPr>
        <w:t xml:space="preserve">) recommends </w:t>
      </w:r>
      <w:r w:rsidRPr="003A4656">
        <w:rPr>
          <w:i/>
          <w:sz w:val="22"/>
          <w:szCs w:val="22"/>
        </w:rPr>
        <w:t>BRCA</w:t>
      </w:r>
      <w:r w:rsidRPr="003A4656">
        <w:rPr>
          <w:sz w:val="22"/>
          <w:szCs w:val="22"/>
        </w:rPr>
        <w:t xml:space="preserve"> testing for the following people: </w:t>
      </w:r>
    </w:p>
    <w:p w:rsidR="0061692F" w:rsidRPr="003A4656" w:rsidRDefault="0061692F" w:rsidP="0061692F">
      <w:pPr>
        <w:widowControl/>
        <w:numPr>
          <w:ilvl w:val="0"/>
          <w:numId w:val="4"/>
        </w:numPr>
        <w:tabs>
          <w:tab w:val="left" w:pos="630"/>
        </w:tabs>
        <w:ind w:left="540" w:right="0"/>
        <w:textAlignment w:val="auto"/>
        <w:rPr>
          <w:sz w:val="22"/>
          <w:szCs w:val="22"/>
        </w:rPr>
      </w:pPr>
      <w:r w:rsidRPr="003A4656">
        <w:rPr>
          <w:sz w:val="22"/>
          <w:szCs w:val="22"/>
        </w:rPr>
        <w:t>Individuals from a family with a known BRCA mutation;</w:t>
      </w:r>
    </w:p>
    <w:p w:rsidR="00C941EF" w:rsidRPr="003A4656" w:rsidRDefault="0061692F" w:rsidP="0061692F">
      <w:pPr>
        <w:widowControl/>
        <w:numPr>
          <w:ilvl w:val="0"/>
          <w:numId w:val="4"/>
        </w:numPr>
        <w:tabs>
          <w:tab w:val="left" w:pos="630"/>
        </w:tabs>
        <w:ind w:left="540" w:right="0"/>
        <w:textAlignment w:val="auto"/>
        <w:rPr>
          <w:sz w:val="22"/>
          <w:szCs w:val="22"/>
        </w:rPr>
      </w:pPr>
      <w:r w:rsidRPr="003A4656">
        <w:rPr>
          <w:sz w:val="22"/>
          <w:szCs w:val="22"/>
        </w:rPr>
        <w:t xml:space="preserve">Individuals with a personal history of breast cancer and: </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Diagnosed age </w:t>
      </w:r>
      <w:r w:rsidRPr="003A4656">
        <w:rPr>
          <w:sz w:val="22"/>
          <w:szCs w:val="22"/>
          <w:lang w:eastAsia="it-IT"/>
        </w:rPr>
        <w:t>≤</w:t>
      </w:r>
      <w:r w:rsidRPr="003A4656">
        <w:rPr>
          <w:sz w:val="22"/>
          <w:szCs w:val="22"/>
        </w:rPr>
        <w:t xml:space="preserve"> 45 yr</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Diagnosed age &lt;50 yr with ≥1 close blood relative with breast cancer &lt;50 yr and/or 1 close blood relative with epithelial ovarian/fallopian tube/primary peritoneal cancer at any age</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Two breast primaries when first breast cancer diagnosis occurred before age 50 yr</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Diagnosed age &lt;60 yr with a triple negative breast cancer</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Diagnosed age &lt;50 yr with a limited family history</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Diagnosed at any age, with ≥2 close blood relatives with breast and/or epithelial ovarian/fallopian tube/primary peritoneal cancer at any age</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Close male blood relative with breast cancer</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Personal history of epithelial ovarian/fallopian tube/primary peritoneal cancer</w:t>
      </w:r>
      <w:r w:rsidR="0061692F" w:rsidRPr="003A4656">
        <w:rPr>
          <w:sz w:val="22"/>
          <w:szCs w:val="22"/>
        </w:rPr>
        <w:t>:</w:t>
      </w:r>
    </w:p>
    <w:p w:rsidR="00B835EB" w:rsidRPr="003A4656" w:rsidRDefault="00B835EB" w:rsidP="00101298">
      <w:pPr>
        <w:widowControl/>
        <w:numPr>
          <w:ilvl w:val="0"/>
          <w:numId w:val="5"/>
        </w:numPr>
        <w:ind w:left="1080" w:right="0"/>
        <w:textAlignment w:val="auto"/>
        <w:rPr>
          <w:sz w:val="22"/>
          <w:szCs w:val="22"/>
        </w:rPr>
      </w:pPr>
      <w:r w:rsidRPr="003A4656">
        <w:rPr>
          <w:sz w:val="22"/>
          <w:szCs w:val="22"/>
        </w:rPr>
        <w:t xml:space="preserve"> Ethnicity associated with higher mutation frequency (e.g,, Ashkenazi Jewish)</w:t>
      </w:r>
      <w:r w:rsidR="0061692F" w:rsidRPr="003A4656">
        <w:rPr>
          <w:sz w:val="22"/>
          <w:szCs w:val="22"/>
        </w:rPr>
        <w:t>;</w:t>
      </w:r>
    </w:p>
    <w:p w:rsidR="00B835EB" w:rsidRPr="003A4656" w:rsidRDefault="00B835EB" w:rsidP="00101298">
      <w:pPr>
        <w:widowControl/>
        <w:numPr>
          <w:ilvl w:val="0"/>
          <w:numId w:val="4"/>
        </w:numPr>
        <w:ind w:left="540" w:right="0"/>
        <w:textAlignment w:val="auto"/>
        <w:rPr>
          <w:sz w:val="22"/>
          <w:szCs w:val="22"/>
        </w:rPr>
      </w:pPr>
      <w:r w:rsidRPr="003A4656">
        <w:rPr>
          <w:sz w:val="22"/>
          <w:szCs w:val="22"/>
        </w:rPr>
        <w:t>Individuals with a personal history of epithelial ovarian/fallopian tube/primary peritoneal cancer;</w:t>
      </w:r>
    </w:p>
    <w:p w:rsidR="00B835EB" w:rsidRPr="003A4656" w:rsidRDefault="00B835EB" w:rsidP="00101298">
      <w:pPr>
        <w:widowControl/>
        <w:numPr>
          <w:ilvl w:val="0"/>
          <w:numId w:val="4"/>
        </w:numPr>
        <w:ind w:left="540" w:right="0"/>
        <w:textAlignment w:val="auto"/>
        <w:rPr>
          <w:sz w:val="22"/>
          <w:szCs w:val="22"/>
        </w:rPr>
      </w:pPr>
      <w:r w:rsidRPr="003A4656">
        <w:rPr>
          <w:sz w:val="22"/>
          <w:szCs w:val="22"/>
        </w:rPr>
        <w:t>Individuals with a personal history of breast and/or ovarian cancer at any age with ≥2 close blood relatives with pancreatic cancer at any age;</w:t>
      </w:r>
    </w:p>
    <w:p w:rsidR="00B835EB" w:rsidRPr="003A4656" w:rsidRDefault="00B835EB" w:rsidP="00101298">
      <w:pPr>
        <w:widowControl/>
        <w:numPr>
          <w:ilvl w:val="0"/>
          <w:numId w:val="4"/>
        </w:numPr>
        <w:ind w:left="540" w:right="0"/>
        <w:textAlignment w:val="auto"/>
        <w:rPr>
          <w:sz w:val="22"/>
          <w:szCs w:val="22"/>
        </w:rPr>
      </w:pPr>
      <w:r w:rsidRPr="003A4656">
        <w:rPr>
          <w:sz w:val="22"/>
          <w:szCs w:val="22"/>
        </w:rPr>
        <w:t>Individuals with a personal history of pancreatic cancer at any age with ≥2  close blood relatives with breast and/or ovarian cancer and/or pancreatic cancer at any age;</w:t>
      </w:r>
    </w:p>
    <w:p w:rsidR="00B835EB" w:rsidRPr="003A4656" w:rsidRDefault="00B835EB" w:rsidP="00101298">
      <w:pPr>
        <w:widowControl/>
        <w:numPr>
          <w:ilvl w:val="0"/>
          <w:numId w:val="4"/>
        </w:numPr>
        <w:ind w:left="540" w:right="0"/>
        <w:textAlignment w:val="auto"/>
        <w:rPr>
          <w:sz w:val="22"/>
          <w:szCs w:val="22"/>
        </w:rPr>
      </w:pPr>
      <w:r w:rsidRPr="003A4656">
        <w:rPr>
          <w:sz w:val="22"/>
          <w:szCs w:val="22"/>
        </w:rPr>
        <w:t>Individuals whose family history of cancer reflects:</w:t>
      </w:r>
    </w:p>
    <w:p w:rsidR="00B835EB" w:rsidRPr="003A4656" w:rsidRDefault="00B835EB" w:rsidP="00101298">
      <w:pPr>
        <w:widowControl/>
        <w:numPr>
          <w:ilvl w:val="0"/>
          <w:numId w:val="6"/>
        </w:numPr>
        <w:ind w:left="1080" w:right="0"/>
        <w:textAlignment w:val="auto"/>
        <w:rPr>
          <w:sz w:val="22"/>
          <w:szCs w:val="22"/>
        </w:rPr>
      </w:pPr>
      <w:r w:rsidRPr="003A4656">
        <w:rPr>
          <w:sz w:val="22"/>
          <w:szCs w:val="22"/>
        </w:rPr>
        <w:t>First- or second-degree blood relative meeting any of the above criteria</w:t>
      </w:r>
    </w:p>
    <w:p w:rsidR="00B835EB" w:rsidRPr="003A4656" w:rsidRDefault="00B835EB" w:rsidP="00101298">
      <w:pPr>
        <w:widowControl/>
        <w:numPr>
          <w:ilvl w:val="0"/>
          <w:numId w:val="6"/>
        </w:numPr>
        <w:ind w:left="1080" w:right="0"/>
        <w:textAlignment w:val="auto"/>
        <w:rPr>
          <w:sz w:val="22"/>
          <w:szCs w:val="22"/>
        </w:rPr>
      </w:pPr>
      <w:r w:rsidRPr="003A4656">
        <w:rPr>
          <w:sz w:val="22"/>
          <w:szCs w:val="22"/>
        </w:rPr>
        <w:t>Third-degree blood relative with breast cancer and/or ovarian/fallopian tube/primary peritoneal cancer with ≥2 close blood relatives with breast cancer (at least one with breast cancer &lt;50 yr) and/or ovarian cancer</w:t>
      </w:r>
      <w:r w:rsidR="0061692F" w:rsidRPr="003A4656">
        <w:rPr>
          <w:sz w:val="22"/>
          <w:szCs w:val="22"/>
        </w:rPr>
        <w:t>.</w:t>
      </w:r>
    </w:p>
    <w:p w:rsidR="00C941EF" w:rsidRPr="003A4656" w:rsidRDefault="00C941EF" w:rsidP="0005572B">
      <w:pPr>
        <w:ind w:left="0" w:right="0"/>
        <w:rPr>
          <w:sz w:val="22"/>
          <w:szCs w:val="22"/>
        </w:rPr>
      </w:pPr>
    </w:p>
    <w:p w:rsidR="00101298" w:rsidRPr="003A4656" w:rsidRDefault="00CC35F3" w:rsidP="00101298">
      <w:pPr>
        <w:ind w:left="0" w:right="0" w:firstLine="360"/>
        <w:rPr>
          <w:b/>
          <w:sz w:val="22"/>
          <w:szCs w:val="22"/>
        </w:rPr>
      </w:pPr>
      <w:r w:rsidRPr="003A4656">
        <w:rPr>
          <w:b/>
          <w:sz w:val="22"/>
          <w:szCs w:val="22"/>
        </w:rPr>
        <w:t>2.4</w:t>
      </w:r>
      <w:r w:rsidR="00C941EF" w:rsidRPr="003A4656">
        <w:rPr>
          <w:b/>
          <w:sz w:val="22"/>
          <w:szCs w:val="22"/>
        </w:rPr>
        <w:t xml:space="preserve"> Predictive Genetic Testing </w:t>
      </w:r>
    </w:p>
    <w:p w:rsidR="00C941EF" w:rsidRPr="003A4656" w:rsidRDefault="00101298" w:rsidP="00101298">
      <w:pPr>
        <w:ind w:left="0" w:right="0" w:firstLine="360"/>
        <w:rPr>
          <w:sz w:val="22"/>
          <w:szCs w:val="22"/>
        </w:rPr>
      </w:pPr>
      <w:r w:rsidRPr="003A4656">
        <w:rPr>
          <w:sz w:val="22"/>
          <w:szCs w:val="22"/>
        </w:rPr>
        <w:tab/>
      </w:r>
    </w:p>
    <w:p w:rsidR="00C941EF" w:rsidRPr="003A4656" w:rsidRDefault="00C941EF" w:rsidP="0005572B">
      <w:pPr>
        <w:ind w:left="0" w:right="0"/>
        <w:rPr>
          <w:sz w:val="22"/>
          <w:szCs w:val="22"/>
        </w:rPr>
      </w:pPr>
      <w:r w:rsidRPr="003A4656">
        <w:rPr>
          <w:sz w:val="22"/>
          <w:szCs w:val="22"/>
        </w:rPr>
        <w:t xml:space="preserve">Several key issues that need consideration in the development of </w:t>
      </w:r>
      <w:r w:rsidRPr="003A4656">
        <w:rPr>
          <w:i/>
          <w:sz w:val="22"/>
          <w:szCs w:val="22"/>
        </w:rPr>
        <w:t xml:space="preserve">BRCA1 </w:t>
      </w:r>
      <w:r w:rsidRPr="003A4656">
        <w:rPr>
          <w:sz w:val="22"/>
          <w:szCs w:val="22"/>
        </w:rPr>
        <w:t xml:space="preserve">and </w:t>
      </w:r>
      <w:r w:rsidRPr="003A4656">
        <w:rPr>
          <w:i/>
          <w:sz w:val="22"/>
          <w:szCs w:val="22"/>
        </w:rPr>
        <w:t>BRCA2</w:t>
      </w:r>
      <w:r w:rsidRPr="003A4656">
        <w:rPr>
          <w:sz w:val="22"/>
          <w:szCs w:val="22"/>
        </w:rPr>
        <w:t xml:space="preserve"> testing protocols include: (1) the sensitivity of the screening technique; (2) the significance of missense mutations to cancer predisposition; (3) the frequency and significance of mutations in noncoding regions of the gene; (4) the ability to assign specific risk to each mutation; (5) the interpretation of a "negative" test in a women whose family history puts </w:t>
      </w:r>
      <w:r w:rsidR="0061692F" w:rsidRPr="003A4656">
        <w:rPr>
          <w:sz w:val="22"/>
          <w:szCs w:val="22"/>
        </w:rPr>
        <w:t>them</w:t>
      </w:r>
      <w:r w:rsidRPr="003A4656">
        <w:rPr>
          <w:sz w:val="22"/>
          <w:szCs w:val="22"/>
        </w:rPr>
        <w:t xml:space="preserve"> at risk. Several types of testing </w:t>
      </w:r>
      <w:r w:rsidR="00E22991" w:rsidRPr="003A4656">
        <w:rPr>
          <w:sz w:val="22"/>
          <w:szCs w:val="22"/>
        </w:rPr>
        <w:t>strategies are currently in use.</w:t>
      </w:r>
    </w:p>
    <w:p w:rsidR="00C941EF" w:rsidRPr="003A4656" w:rsidRDefault="00C941EF" w:rsidP="0005572B">
      <w:pPr>
        <w:ind w:left="0" w:right="0"/>
        <w:rPr>
          <w:sz w:val="22"/>
          <w:szCs w:val="22"/>
        </w:rPr>
      </w:pPr>
      <w:r w:rsidRPr="003A4656">
        <w:rPr>
          <w:sz w:val="22"/>
          <w:szCs w:val="22"/>
        </w:rPr>
        <w:t>For individuals with a strong family history of breast and ovarian cancer and multiple affected liv</w:t>
      </w:r>
      <w:r w:rsidR="00862BA9" w:rsidRPr="003A4656">
        <w:rPr>
          <w:sz w:val="22"/>
          <w:szCs w:val="22"/>
        </w:rPr>
        <w:t>ing relatives, linkage analysis</w:t>
      </w:r>
      <w:r w:rsidRPr="003A4656">
        <w:rPr>
          <w:sz w:val="22"/>
          <w:szCs w:val="22"/>
        </w:rPr>
        <w:t xml:space="preserve"> and/or analysis of haplotype sharing at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w:t>
      </w:r>
      <w:r w:rsidR="0061692F" w:rsidRPr="003A4656">
        <w:rPr>
          <w:sz w:val="22"/>
          <w:szCs w:val="22"/>
        </w:rPr>
        <w:t xml:space="preserve">loci </w:t>
      </w:r>
      <w:r w:rsidR="00E22991" w:rsidRPr="003A4656">
        <w:rPr>
          <w:sz w:val="22"/>
          <w:szCs w:val="22"/>
        </w:rPr>
        <w:t>was</w:t>
      </w:r>
      <w:r w:rsidRPr="003A4656">
        <w:rPr>
          <w:sz w:val="22"/>
          <w:szCs w:val="22"/>
        </w:rPr>
        <w:t xml:space="preserve"> used </w:t>
      </w:r>
      <w:r w:rsidR="00E22991" w:rsidRPr="003A4656">
        <w:rPr>
          <w:sz w:val="22"/>
          <w:szCs w:val="22"/>
        </w:rPr>
        <w:t xml:space="preserve">in the past </w:t>
      </w:r>
      <w:r w:rsidRPr="003A4656">
        <w:rPr>
          <w:sz w:val="22"/>
          <w:szCs w:val="22"/>
        </w:rPr>
        <w:t xml:space="preserve">as an initial step prior to mutation screening. Analysis of genotypes is performed using polymorphic microsatellite repeat markers that define the </w:t>
      </w:r>
      <w:r w:rsidRPr="003A4656">
        <w:rPr>
          <w:i/>
          <w:sz w:val="22"/>
          <w:szCs w:val="22"/>
        </w:rPr>
        <w:t>BRCA1</w:t>
      </w:r>
      <w:r w:rsidRPr="003A4656">
        <w:rPr>
          <w:sz w:val="22"/>
          <w:szCs w:val="22"/>
        </w:rPr>
        <w:t xml:space="preserve"> region on </w:t>
      </w:r>
      <w:r w:rsidR="00E22991" w:rsidRPr="003A4656">
        <w:rPr>
          <w:sz w:val="22"/>
          <w:szCs w:val="22"/>
        </w:rPr>
        <w:t xml:space="preserve">17q and the </w:t>
      </w:r>
      <w:r w:rsidR="00E22991" w:rsidRPr="003A4656">
        <w:rPr>
          <w:i/>
          <w:sz w:val="22"/>
          <w:szCs w:val="22"/>
        </w:rPr>
        <w:t>BRCA2</w:t>
      </w:r>
      <w:r w:rsidR="00E22991" w:rsidRPr="003A4656">
        <w:rPr>
          <w:sz w:val="22"/>
          <w:szCs w:val="22"/>
        </w:rPr>
        <w:t xml:space="preserve"> region on 13q. T</w:t>
      </w:r>
      <w:r w:rsidRPr="003A4656">
        <w:rPr>
          <w:sz w:val="22"/>
          <w:szCs w:val="22"/>
        </w:rPr>
        <w:t xml:space="preserve">his method </w:t>
      </w:r>
      <w:r w:rsidR="0061692F" w:rsidRPr="003A4656">
        <w:rPr>
          <w:sz w:val="22"/>
          <w:szCs w:val="22"/>
        </w:rPr>
        <w:t xml:space="preserve">does </w:t>
      </w:r>
      <w:r w:rsidRPr="003A4656">
        <w:rPr>
          <w:sz w:val="22"/>
          <w:szCs w:val="22"/>
        </w:rPr>
        <w:t xml:space="preserve">not identify the mutation, </w:t>
      </w:r>
      <w:r w:rsidR="0061692F" w:rsidRPr="003A4656">
        <w:rPr>
          <w:sz w:val="22"/>
          <w:szCs w:val="22"/>
        </w:rPr>
        <w:t>but</w:t>
      </w:r>
      <w:r w:rsidRPr="003A4656">
        <w:rPr>
          <w:sz w:val="22"/>
          <w:szCs w:val="22"/>
        </w:rPr>
        <w:t xml:space="preserve"> the likelihood that cancer in a family is due to a predisposing mutation in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(Neuhausen S</w:t>
      </w:r>
      <w:r w:rsidR="003A24A9" w:rsidRPr="003A4656">
        <w:rPr>
          <w:sz w:val="22"/>
          <w:szCs w:val="22"/>
        </w:rPr>
        <w:t xml:space="preserve">.L. </w:t>
      </w:r>
      <w:r w:rsidRPr="003A4656">
        <w:rPr>
          <w:sz w:val="22"/>
          <w:szCs w:val="22"/>
        </w:rPr>
        <w:t>and Ostrander E</w:t>
      </w:r>
      <w:r w:rsidR="003A24A9" w:rsidRPr="003A4656">
        <w:rPr>
          <w:sz w:val="22"/>
          <w:szCs w:val="22"/>
        </w:rPr>
        <w:t>.</w:t>
      </w:r>
      <w:r w:rsidRPr="003A4656">
        <w:rPr>
          <w:sz w:val="22"/>
          <w:szCs w:val="22"/>
        </w:rPr>
        <w:t>A., 1997).</w:t>
      </w:r>
    </w:p>
    <w:p w:rsidR="00C941EF" w:rsidRPr="003A4656" w:rsidRDefault="00C941EF" w:rsidP="0005572B">
      <w:pPr>
        <w:ind w:left="0" w:right="0"/>
        <w:rPr>
          <w:sz w:val="22"/>
          <w:szCs w:val="22"/>
        </w:rPr>
      </w:pPr>
      <w:r w:rsidRPr="003A4656">
        <w:rPr>
          <w:sz w:val="22"/>
          <w:szCs w:val="22"/>
        </w:rPr>
        <w:t xml:space="preserve">One difficulty in selecting a specific technique for mutation testing is the large size and the relative complexity of the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genes. A variety of technologies are available to detect mutations.  Gel shift assays, which include multiplex heteroduplex analysis (</w:t>
      </w:r>
      <w:r w:rsidRPr="003A4656">
        <w:rPr>
          <w:rFonts w:eastAsia="TimesNewRomanPS"/>
          <w:sz w:val="22"/>
          <w:szCs w:val="22"/>
        </w:rPr>
        <w:t>Gayther S</w:t>
      </w:r>
      <w:r w:rsidR="001F1E3E" w:rsidRPr="003A4656">
        <w:rPr>
          <w:rFonts w:eastAsia="TimesNewRomanPS"/>
          <w:sz w:val="22"/>
          <w:szCs w:val="22"/>
        </w:rPr>
        <w:t>.</w:t>
      </w:r>
      <w:r w:rsidRPr="003A4656">
        <w:rPr>
          <w:rFonts w:eastAsia="TimesNewRomanPS"/>
          <w:sz w:val="22"/>
          <w:szCs w:val="22"/>
        </w:rPr>
        <w:t>A</w:t>
      </w:r>
      <w:r w:rsidR="001F1E3E" w:rsidRPr="003A4656">
        <w:rPr>
          <w:rFonts w:eastAsia="TimesNewRomanPS"/>
          <w:sz w:val="22"/>
          <w:szCs w:val="22"/>
        </w:rPr>
        <w:t>.</w:t>
      </w:r>
      <w:r w:rsidRPr="003A4656">
        <w:rPr>
          <w:rFonts w:eastAsia="TimesNewRomanPS"/>
          <w:sz w:val="22"/>
          <w:szCs w:val="22"/>
        </w:rPr>
        <w:t xml:space="preserve"> et al., 1996</w:t>
      </w:r>
      <w:r w:rsidRPr="003A4656">
        <w:rPr>
          <w:sz w:val="22"/>
          <w:szCs w:val="22"/>
        </w:rPr>
        <w:t>), and single strand conformation polymorphism analysis (SSCA) (Castilla L</w:t>
      </w:r>
      <w:r w:rsidR="001F1E3E" w:rsidRPr="003A4656">
        <w:rPr>
          <w:sz w:val="22"/>
          <w:szCs w:val="22"/>
        </w:rPr>
        <w:t>.</w:t>
      </w:r>
      <w:r w:rsidRPr="003A4656">
        <w:rPr>
          <w:sz w:val="22"/>
          <w:szCs w:val="22"/>
        </w:rPr>
        <w:t>H</w:t>
      </w:r>
      <w:r w:rsidR="001F1E3E" w:rsidRPr="003A4656">
        <w:rPr>
          <w:sz w:val="22"/>
          <w:szCs w:val="22"/>
        </w:rPr>
        <w:t>.</w:t>
      </w:r>
      <w:r w:rsidRPr="003A4656">
        <w:rPr>
          <w:sz w:val="22"/>
          <w:szCs w:val="22"/>
        </w:rPr>
        <w:t xml:space="preserve"> et al., 1994) can reduce the number of </w:t>
      </w:r>
      <w:r w:rsidR="0061692F" w:rsidRPr="003A4656">
        <w:rPr>
          <w:sz w:val="22"/>
          <w:szCs w:val="22"/>
        </w:rPr>
        <w:t xml:space="preserve">DNA amplimers to </w:t>
      </w:r>
      <w:r w:rsidRPr="003A4656">
        <w:rPr>
          <w:sz w:val="22"/>
          <w:szCs w:val="22"/>
        </w:rPr>
        <w:t>be sequenced, but the sensitivity of these assays i</w:t>
      </w:r>
      <w:r w:rsidR="00E22991" w:rsidRPr="003A4656">
        <w:rPr>
          <w:sz w:val="22"/>
          <w:szCs w:val="22"/>
        </w:rPr>
        <w:t>s variable. Other assays, including</w:t>
      </w:r>
      <w:r w:rsidRPr="003A4656">
        <w:rPr>
          <w:sz w:val="22"/>
          <w:szCs w:val="22"/>
        </w:rPr>
        <w:t xml:space="preserve"> allele specific oligonucleotide (ASO) hybridization and protein truncation assay (PTT) (Hogervorst F</w:t>
      </w:r>
      <w:r w:rsidR="003A24A9" w:rsidRPr="003A4656">
        <w:rPr>
          <w:sz w:val="22"/>
          <w:szCs w:val="22"/>
        </w:rPr>
        <w:t>.</w:t>
      </w:r>
      <w:r w:rsidRPr="003A4656">
        <w:rPr>
          <w:sz w:val="22"/>
          <w:szCs w:val="22"/>
        </w:rPr>
        <w:t>B</w:t>
      </w:r>
      <w:r w:rsidR="007558F9" w:rsidRPr="003A4656">
        <w:rPr>
          <w:sz w:val="22"/>
          <w:szCs w:val="22"/>
        </w:rPr>
        <w:t>.</w:t>
      </w:r>
      <w:r w:rsidRPr="003A4656">
        <w:rPr>
          <w:sz w:val="22"/>
          <w:szCs w:val="22"/>
        </w:rPr>
        <w:t xml:space="preserve"> et al., 1995)</w:t>
      </w:r>
      <w:r w:rsidR="00E22991" w:rsidRPr="003A4656">
        <w:rPr>
          <w:sz w:val="22"/>
          <w:szCs w:val="22"/>
        </w:rPr>
        <w:t>,</w:t>
      </w:r>
      <w:r w:rsidRPr="003A4656">
        <w:rPr>
          <w:sz w:val="22"/>
          <w:szCs w:val="22"/>
        </w:rPr>
        <w:t xml:space="preserve"> are also available</w:t>
      </w:r>
      <w:r w:rsidR="00E22991" w:rsidRPr="003A4656">
        <w:rPr>
          <w:sz w:val="22"/>
          <w:szCs w:val="22"/>
        </w:rPr>
        <w:t>,</w:t>
      </w:r>
      <w:r w:rsidRPr="003A4656">
        <w:rPr>
          <w:sz w:val="22"/>
          <w:szCs w:val="22"/>
        </w:rPr>
        <w:t xml:space="preserve"> but have the limitation of identifying only specific types of mutations. </w:t>
      </w:r>
      <w:r w:rsidR="00E22991" w:rsidRPr="003A4656">
        <w:rPr>
          <w:sz w:val="22"/>
          <w:szCs w:val="22"/>
        </w:rPr>
        <w:t xml:space="preserve">To overcome this difficulty, </w:t>
      </w:r>
      <w:r w:rsidRPr="003A4656">
        <w:rPr>
          <w:sz w:val="22"/>
          <w:szCs w:val="22"/>
        </w:rPr>
        <w:t xml:space="preserve">a combination of the above mentioned methods </w:t>
      </w:r>
      <w:r w:rsidR="00E22991" w:rsidRPr="003A4656">
        <w:rPr>
          <w:sz w:val="22"/>
          <w:szCs w:val="22"/>
        </w:rPr>
        <w:t>may be</w:t>
      </w:r>
      <w:r w:rsidRPr="003A4656">
        <w:rPr>
          <w:sz w:val="22"/>
          <w:szCs w:val="22"/>
        </w:rPr>
        <w:t xml:space="preserve"> adopted. </w:t>
      </w:r>
    </w:p>
    <w:p w:rsidR="00C941EF" w:rsidRPr="003A4656" w:rsidRDefault="00C941EF" w:rsidP="0005572B">
      <w:pPr>
        <w:ind w:left="0" w:right="0"/>
        <w:rPr>
          <w:sz w:val="22"/>
          <w:szCs w:val="22"/>
        </w:rPr>
      </w:pPr>
      <w:r w:rsidRPr="003A4656">
        <w:rPr>
          <w:sz w:val="22"/>
          <w:szCs w:val="22"/>
        </w:rPr>
        <w:t xml:space="preserve">Every technique has both advantages and disadvantages and none can be defined ideal or can guarantee the identification of all cancer-predisposing mutations in the </w:t>
      </w:r>
      <w:r w:rsidRPr="003A4656">
        <w:rPr>
          <w:i/>
          <w:sz w:val="22"/>
          <w:szCs w:val="22"/>
        </w:rPr>
        <w:t>BRCA1</w:t>
      </w:r>
      <w:r w:rsidRPr="003A4656">
        <w:rPr>
          <w:sz w:val="22"/>
          <w:szCs w:val="22"/>
        </w:rPr>
        <w:t xml:space="preserve"> or </w:t>
      </w:r>
      <w:r w:rsidRPr="003A4656">
        <w:rPr>
          <w:i/>
          <w:sz w:val="22"/>
          <w:szCs w:val="22"/>
        </w:rPr>
        <w:t>BRCA2</w:t>
      </w:r>
      <w:r w:rsidRPr="003A4656">
        <w:rPr>
          <w:sz w:val="22"/>
          <w:szCs w:val="22"/>
        </w:rPr>
        <w:t xml:space="preserve"> genes (Ford D. et al., 1998). </w:t>
      </w:r>
    </w:p>
    <w:p w:rsidR="00C941EF" w:rsidRPr="003A4656" w:rsidRDefault="00E22991" w:rsidP="0005572B">
      <w:pPr>
        <w:ind w:left="0" w:right="0"/>
        <w:rPr>
          <w:sz w:val="22"/>
          <w:szCs w:val="22"/>
        </w:rPr>
      </w:pPr>
      <w:r w:rsidRPr="003A4656">
        <w:rPr>
          <w:sz w:val="22"/>
          <w:szCs w:val="22"/>
        </w:rPr>
        <w:t>DNA</w:t>
      </w:r>
      <w:r w:rsidR="00C941EF" w:rsidRPr="003A4656">
        <w:rPr>
          <w:sz w:val="22"/>
          <w:szCs w:val="22"/>
        </w:rPr>
        <w:t xml:space="preserve"> direct sequencing (DS) is the most reliable approach with </w:t>
      </w:r>
      <w:r w:rsidRPr="003A4656">
        <w:rPr>
          <w:sz w:val="22"/>
          <w:szCs w:val="22"/>
        </w:rPr>
        <w:t>a</w:t>
      </w:r>
      <w:r w:rsidR="00C941EF" w:rsidRPr="003A4656">
        <w:rPr>
          <w:sz w:val="22"/>
          <w:szCs w:val="22"/>
        </w:rPr>
        <w:t xml:space="preserve"> high specificity and sensitivity and </w:t>
      </w:r>
      <w:r w:rsidRPr="003A4656">
        <w:rPr>
          <w:sz w:val="22"/>
          <w:szCs w:val="22"/>
        </w:rPr>
        <w:t xml:space="preserve">nowadays is by large the </w:t>
      </w:r>
      <w:r w:rsidR="0061692F" w:rsidRPr="003A4656">
        <w:rPr>
          <w:sz w:val="22"/>
          <w:szCs w:val="22"/>
        </w:rPr>
        <w:t xml:space="preserve">most </w:t>
      </w:r>
      <w:r w:rsidRPr="003A4656">
        <w:rPr>
          <w:sz w:val="22"/>
          <w:szCs w:val="22"/>
        </w:rPr>
        <w:t>adopted method in the clinical setting</w:t>
      </w:r>
      <w:r w:rsidR="00C941EF" w:rsidRPr="003A4656">
        <w:rPr>
          <w:sz w:val="22"/>
          <w:szCs w:val="22"/>
        </w:rPr>
        <w:t xml:space="preserve">. This method </w:t>
      </w:r>
      <w:r w:rsidR="00EB10DB" w:rsidRPr="003A4656">
        <w:rPr>
          <w:sz w:val="22"/>
          <w:szCs w:val="22"/>
        </w:rPr>
        <w:t xml:space="preserve">is used to identify the precise nature of the </w:t>
      </w:r>
      <w:r w:rsidR="00C941EF" w:rsidRPr="003A4656">
        <w:rPr>
          <w:sz w:val="22"/>
          <w:szCs w:val="22"/>
        </w:rPr>
        <w:t>mutation</w:t>
      </w:r>
      <w:r w:rsidR="00EB10DB" w:rsidRPr="003A4656">
        <w:rPr>
          <w:sz w:val="22"/>
          <w:szCs w:val="22"/>
        </w:rPr>
        <w:t>,</w:t>
      </w:r>
      <w:r w:rsidR="00C941EF" w:rsidRPr="003A4656">
        <w:rPr>
          <w:sz w:val="22"/>
          <w:szCs w:val="22"/>
        </w:rPr>
        <w:t xml:space="preserve"> even if</w:t>
      </w:r>
      <w:r w:rsidR="00EB10DB" w:rsidRPr="003A4656">
        <w:rPr>
          <w:sz w:val="22"/>
          <w:szCs w:val="22"/>
        </w:rPr>
        <w:t>, in comparison with other methods,</w:t>
      </w:r>
      <w:r w:rsidR="00C941EF" w:rsidRPr="003A4656">
        <w:rPr>
          <w:sz w:val="22"/>
          <w:szCs w:val="22"/>
        </w:rPr>
        <w:t xml:space="preserve"> it is </w:t>
      </w:r>
      <w:r w:rsidR="00EB10DB" w:rsidRPr="003A4656">
        <w:rPr>
          <w:sz w:val="22"/>
          <w:szCs w:val="22"/>
        </w:rPr>
        <w:t xml:space="preserve">more </w:t>
      </w:r>
      <w:r w:rsidR="00C941EF" w:rsidRPr="003A4656">
        <w:rPr>
          <w:sz w:val="22"/>
          <w:szCs w:val="22"/>
        </w:rPr>
        <w:t xml:space="preserve">time consuming, expensive and still imperfect because sequencing enzyme occasionally produce </w:t>
      </w:r>
      <w:r w:rsidR="00862BA9" w:rsidRPr="003A4656">
        <w:rPr>
          <w:sz w:val="22"/>
          <w:szCs w:val="22"/>
        </w:rPr>
        <w:t>artefacts</w:t>
      </w:r>
      <w:r w:rsidR="00C941EF" w:rsidRPr="003A4656">
        <w:rPr>
          <w:sz w:val="22"/>
          <w:szCs w:val="22"/>
        </w:rPr>
        <w:t xml:space="preserve">. </w:t>
      </w:r>
      <w:r w:rsidR="00EB10DB" w:rsidRPr="003A4656">
        <w:rPr>
          <w:sz w:val="22"/>
          <w:szCs w:val="22"/>
        </w:rPr>
        <w:t xml:space="preserve">However, these can be easily uncovered by replicating positive tests. </w:t>
      </w:r>
    </w:p>
    <w:p w:rsidR="00C941EF" w:rsidRPr="003A4656" w:rsidRDefault="00C941EF" w:rsidP="0005572B">
      <w:pPr>
        <w:ind w:left="0" w:right="0"/>
        <w:rPr>
          <w:sz w:val="22"/>
          <w:szCs w:val="22"/>
        </w:rPr>
      </w:pPr>
      <w:r w:rsidRPr="003A4656">
        <w:rPr>
          <w:sz w:val="22"/>
          <w:szCs w:val="22"/>
        </w:rPr>
        <w:t>Th</w:t>
      </w:r>
      <w:r w:rsidR="00EB10DB" w:rsidRPr="003A4656">
        <w:rPr>
          <w:sz w:val="22"/>
          <w:szCs w:val="22"/>
        </w:rPr>
        <w:t>ough</w:t>
      </w:r>
      <w:r w:rsidRPr="003A4656">
        <w:rPr>
          <w:sz w:val="22"/>
          <w:szCs w:val="22"/>
        </w:rPr>
        <w:t xml:space="preserve"> the elution profiles of another method (Denaturing High Performance Liquid Chromatography-DHPLC) are claimed to be able to accurately identify previously characterized DNA alterations without the need for sequencing (Gross E. et al., 2000) at </w:t>
      </w:r>
      <w:r w:rsidR="00EB10DB" w:rsidRPr="003A4656">
        <w:rPr>
          <w:sz w:val="22"/>
          <w:szCs w:val="22"/>
        </w:rPr>
        <w:t>present</w:t>
      </w:r>
      <w:r w:rsidRPr="003A4656">
        <w:rPr>
          <w:sz w:val="22"/>
          <w:szCs w:val="22"/>
        </w:rPr>
        <w:t xml:space="preserve">, DS is still the necessary final step of any mutation detection method. </w:t>
      </w:r>
    </w:p>
    <w:p w:rsidR="00C941EF" w:rsidRPr="003A4656" w:rsidRDefault="00C941EF" w:rsidP="0005572B">
      <w:pPr>
        <w:ind w:left="0" w:right="0"/>
        <w:rPr>
          <w:sz w:val="22"/>
          <w:szCs w:val="22"/>
        </w:rPr>
      </w:pPr>
      <w:r w:rsidRPr="003A4656">
        <w:rPr>
          <w:sz w:val="22"/>
          <w:szCs w:val="22"/>
        </w:rPr>
        <w:t xml:space="preserve">Newly developed ‘next generation’ DNA sequencing (NGS) technologies provide remarkable power for the </w:t>
      </w:r>
      <w:r w:rsidR="00BF64A3" w:rsidRPr="003A4656">
        <w:rPr>
          <w:sz w:val="22"/>
          <w:szCs w:val="22"/>
        </w:rPr>
        <w:t xml:space="preserve">study </w:t>
      </w:r>
      <w:r w:rsidR="0061692F" w:rsidRPr="003A4656">
        <w:rPr>
          <w:sz w:val="22"/>
          <w:szCs w:val="22"/>
        </w:rPr>
        <w:t xml:space="preserve">of genome </w:t>
      </w:r>
      <w:r w:rsidR="00BF64A3" w:rsidRPr="003A4656">
        <w:rPr>
          <w:sz w:val="22"/>
          <w:szCs w:val="22"/>
        </w:rPr>
        <w:t>with relatively low costs, high speed and</w:t>
      </w:r>
      <w:r w:rsidRPr="003A4656">
        <w:rPr>
          <w:sz w:val="22"/>
          <w:szCs w:val="22"/>
        </w:rPr>
        <w:t xml:space="preserve"> mass</w:t>
      </w:r>
      <w:r w:rsidR="00BF64A3" w:rsidRPr="003A4656">
        <w:rPr>
          <w:sz w:val="22"/>
          <w:szCs w:val="22"/>
        </w:rPr>
        <w:t>ively data</w:t>
      </w:r>
      <w:r w:rsidRPr="003A4656">
        <w:rPr>
          <w:sz w:val="22"/>
          <w:szCs w:val="22"/>
        </w:rPr>
        <w:t xml:space="preserve"> production</w:t>
      </w:r>
      <w:r w:rsidR="00BF64A3" w:rsidRPr="003A4656">
        <w:rPr>
          <w:sz w:val="22"/>
          <w:szCs w:val="22"/>
        </w:rPr>
        <w:t xml:space="preserve">. An added value is represented by the possibility to investigate the relative contribution to human disease of genetic variants in both coding and non coding genomic regions. </w:t>
      </w:r>
    </w:p>
    <w:p w:rsidR="00BF64A3" w:rsidRPr="003A4656" w:rsidRDefault="00BF64A3" w:rsidP="0005572B">
      <w:pPr>
        <w:ind w:left="0" w:right="0"/>
        <w:rPr>
          <w:sz w:val="22"/>
          <w:szCs w:val="22"/>
        </w:rPr>
      </w:pPr>
      <w:r w:rsidRPr="003A4656">
        <w:rPr>
          <w:sz w:val="22"/>
          <w:szCs w:val="22"/>
        </w:rPr>
        <w:t xml:space="preserve">As for other cancer predisposing genes, the search for mutations in </w:t>
      </w:r>
      <w:r w:rsidRPr="003A4656">
        <w:rPr>
          <w:i/>
          <w:sz w:val="22"/>
          <w:szCs w:val="22"/>
        </w:rPr>
        <w:t>BRCA</w:t>
      </w:r>
      <w:r w:rsidR="00DB37A3" w:rsidRPr="003A4656">
        <w:rPr>
          <w:i/>
          <w:sz w:val="22"/>
          <w:szCs w:val="22"/>
        </w:rPr>
        <w:t>1</w:t>
      </w:r>
      <w:r w:rsidR="00DB37A3" w:rsidRPr="003A4656">
        <w:rPr>
          <w:sz w:val="22"/>
          <w:szCs w:val="22"/>
        </w:rPr>
        <w:t xml:space="preserve"> and </w:t>
      </w:r>
      <w:r w:rsidR="00DB37A3" w:rsidRPr="003A4656">
        <w:rPr>
          <w:i/>
          <w:sz w:val="22"/>
          <w:szCs w:val="22"/>
        </w:rPr>
        <w:t>BRCA2</w:t>
      </w:r>
      <w:r w:rsidR="00DB37A3" w:rsidRPr="003A4656">
        <w:rPr>
          <w:sz w:val="22"/>
          <w:szCs w:val="22"/>
        </w:rPr>
        <w:t xml:space="preserve"> usually </w:t>
      </w:r>
      <w:r w:rsidRPr="003A4656">
        <w:rPr>
          <w:sz w:val="22"/>
          <w:szCs w:val="22"/>
        </w:rPr>
        <w:t xml:space="preserve">starts from the analysis of the affected family member (proband) who developed the disease at the earliest age, if available. Once the analysis is completed, and the mutation identified, the other components of the family can </w:t>
      </w:r>
      <w:r w:rsidR="00DB37A3" w:rsidRPr="003A4656">
        <w:rPr>
          <w:sz w:val="22"/>
          <w:szCs w:val="22"/>
        </w:rPr>
        <w:t>be selectively</w:t>
      </w:r>
      <w:r w:rsidRPr="003A4656">
        <w:rPr>
          <w:sz w:val="22"/>
          <w:szCs w:val="22"/>
        </w:rPr>
        <w:t xml:space="preserve"> screened for the presence of th</w:t>
      </w:r>
      <w:r w:rsidR="00DB37A3" w:rsidRPr="003A4656">
        <w:rPr>
          <w:sz w:val="22"/>
          <w:szCs w:val="22"/>
        </w:rPr>
        <w:t xml:space="preserve">e mutation. This analysis is of particular relevance in healthy individuals, where it can be regarded as a predictive test. </w:t>
      </w:r>
    </w:p>
    <w:p w:rsidR="00DB37A3" w:rsidRPr="003A4656" w:rsidRDefault="00DB37A3" w:rsidP="0005572B">
      <w:pPr>
        <w:ind w:left="0" w:right="0"/>
        <w:rPr>
          <w:sz w:val="22"/>
          <w:szCs w:val="22"/>
        </w:rPr>
      </w:pPr>
      <w:r w:rsidRPr="003A4656">
        <w:rPr>
          <w:sz w:val="22"/>
          <w:szCs w:val="22"/>
        </w:rPr>
        <w:t xml:space="preserve">Predictive genetic testing is the use of a genetic test in an asymptomatic person to predict future risk of disease. These tests represent a new and growing class of medical tests, differing from conventional diagnostic tests. The hope underlying such testing is that early identification of individuals at risk of a specific condition </w:t>
      </w:r>
      <w:r w:rsidR="0061692F" w:rsidRPr="003A4656">
        <w:rPr>
          <w:sz w:val="22"/>
          <w:szCs w:val="22"/>
        </w:rPr>
        <w:t>may</w:t>
      </w:r>
      <w:r w:rsidRPr="003A4656">
        <w:rPr>
          <w:sz w:val="22"/>
          <w:szCs w:val="22"/>
        </w:rPr>
        <w:t xml:space="preserve"> lead to reduced morbidity and mortality through targeted screening, surveillance, and prevention (Evans J</w:t>
      </w:r>
      <w:r w:rsidR="00AC3FD5" w:rsidRPr="003A4656">
        <w:rPr>
          <w:sz w:val="22"/>
          <w:szCs w:val="22"/>
        </w:rPr>
        <w:t>.</w:t>
      </w:r>
      <w:r w:rsidRPr="003A4656">
        <w:rPr>
          <w:sz w:val="22"/>
          <w:szCs w:val="22"/>
        </w:rPr>
        <w:t>P</w:t>
      </w:r>
      <w:r w:rsidR="00AC3FD5" w:rsidRPr="003A4656">
        <w:rPr>
          <w:sz w:val="22"/>
          <w:szCs w:val="22"/>
        </w:rPr>
        <w:t>.</w:t>
      </w:r>
      <w:r w:rsidRPr="003A4656">
        <w:rPr>
          <w:sz w:val="22"/>
          <w:szCs w:val="22"/>
        </w:rPr>
        <w:t xml:space="preserve"> et al, 2001).</w:t>
      </w:r>
    </w:p>
    <w:p w:rsidR="00DB37A3" w:rsidRPr="003A4656" w:rsidRDefault="00DB37A3" w:rsidP="0005572B">
      <w:pPr>
        <w:ind w:left="0" w:right="0"/>
        <w:rPr>
          <w:sz w:val="22"/>
          <w:szCs w:val="22"/>
        </w:rPr>
      </w:pPr>
      <w:r w:rsidRPr="003A4656">
        <w:rPr>
          <w:sz w:val="22"/>
          <w:szCs w:val="22"/>
        </w:rPr>
        <w:t xml:space="preserve">A predictive genetic test informs us about a future condition that may (or may not) develop. The identified risk is </w:t>
      </w:r>
      <w:r w:rsidR="00F41A22">
        <w:rPr>
          <w:sz w:val="22"/>
          <w:szCs w:val="22"/>
        </w:rPr>
        <w:t xml:space="preserve">expected to be </w:t>
      </w:r>
      <w:r w:rsidRPr="003A4656">
        <w:rPr>
          <w:sz w:val="22"/>
          <w:szCs w:val="22"/>
        </w:rPr>
        <w:t>high</w:t>
      </w:r>
      <w:r w:rsidR="00F41A22">
        <w:rPr>
          <w:sz w:val="22"/>
          <w:szCs w:val="22"/>
        </w:rPr>
        <w:t>,</w:t>
      </w:r>
      <w:r w:rsidRPr="003A4656">
        <w:rPr>
          <w:sz w:val="22"/>
          <w:szCs w:val="22"/>
        </w:rPr>
        <w:t xml:space="preserve"> but always contains a substantial component of uncertainty, not only</w:t>
      </w:r>
      <w:r w:rsidR="00020B2D" w:rsidRPr="003A4656">
        <w:rPr>
          <w:sz w:val="22"/>
          <w:szCs w:val="22"/>
        </w:rPr>
        <w:t xml:space="preserve"> on</w:t>
      </w:r>
      <w:r w:rsidRPr="003A4656">
        <w:rPr>
          <w:sz w:val="22"/>
          <w:szCs w:val="22"/>
        </w:rPr>
        <w:t xml:space="preserve"> whether a specific condition will develop, but also </w:t>
      </w:r>
      <w:r w:rsidR="00020B2D" w:rsidRPr="003A4656">
        <w:rPr>
          <w:sz w:val="22"/>
          <w:szCs w:val="22"/>
        </w:rPr>
        <w:t>on</w:t>
      </w:r>
      <w:r w:rsidRPr="003A4656">
        <w:rPr>
          <w:sz w:val="22"/>
          <w:szCs w:val="22"/>
        </w:rPr>
        <w:t xml:space="preserve"> when it </w:t>
      </w:r>
      <w:r w:rsidR="00020B2D" w:rsidRPr="003A4656">
        <w:rPr>
          <w:sz w:val="22"/>
          <w:szCs w:val="22"/>
        </w:rPr>
        <w:t>will</w:t>
      </w:r>
      <w:r w:rsidRPr="003A4656">
        <w:rPr>
          <w:sz w:val="22"/>
          <w:szCs w:val="22"/>
        </w:rPr>
        <w:t xml:space="preserve"> appear and how severe it will be (Burke W</w:t>
      </w:r>
      <w:r w:rsidR="00AC3FD5" w:rsidRPr="003A4656">
        <w:rPr>
          <w:sz w:val="22"/>
          <w:szCs w:val="22"/>
        </w:rPr>
        <w:t>.</w:t>
      </w:r>
      <w:r w:rsidRPr="003A4656">
        <w:rPr>
          <w:sz w:val="22"/>
          <w:szCs w:val="22"/>
        </w:rPr>
        <w:t xml:space="preserve"> et al., 1997</w:t>
      </w:r>
      <w:r w:rsidR="003A24A9" w:rsidRPr="003A4656">
        <w:rPr>
          <w:sz w:val="22"/>
          <w:szCs w:val="22"/>
        </w:rPr>
        <w:t>a</w:t>
      </w:r>
      <w:r w:rsidRPr="003A4656">
        <w:rPr>
          <w:sz w:val="22"/>
          <w:szCs w:val="22"/>
        </w:rPr>
        <w:t>; Burke W</w:t>
      </w:r>
      <w:r w:rsidR="00AC3FD5" w:rsidRPr="003A4656">
        <w:rPr>
          <w:sz w:val="22"/>
          <w:szCs w:val="22"/>
        </w:rPr>
        <w:t>.</w:t>
      </w:r>
      <w:r w:rsidRPr="003A4656">
        <w:rPr>
          <w:sz w:val="22"/>
          <w:szCs w:val="22"/>
        </w:rPr>
        <w:t xml:space="preserve"> et al. 1997</w:t>
      </w:r>
      <w:r w:rsidR="003A24A9" w:rsidRPr="003A4656">
        <w:rPr>
          <w:sz w:val="22"/>
          <w:szCs w:val="22"/>
        </w:rPr>
        <w:t>b</w:t>
      </w:r>
      <w:r w:rsidRPr="003A4656">
        <w:rPr>
          <w:sz w:val="22"/>
          <w:szCs w:val="22"/>
        </w:rPr>
        <w:t>).</w:t>
      </w:r>
    </w:p>
    <w:p w:rsidR="00BF64A3" w:rsidRPr="003A4656" w:rsidRDefault="00BF64A3" w:rsidP="0005572B">
      <w:pPr>
        <w:ind w:left="0" w:right="0"/>
        <w:rPr>
          <w:sz w:val="22"/>
          <w:szCs w:val="22"/>
        </w:rPr>
      </w:pPr>
    </w:p>
    <w:p w:rsidR="00C941EF" w:rsidRPr="003A4656" w:rsidRDefault="00CC35F3" w:rsidP="0005572B">
      <w:pPr>
        <w:ind w:left="0" w:right="0" w:firstLine="360"/>
        <w:rPr>
          <w:b/>
          <w:sz w:val="22"/>
          <w:szCs w:val="22"/>
        </w:rPr>
      </w:pPr>
      <w:r w:rsidRPr="003A4656">
        <w:rPr>
          <w:b/>
          <w:sz w:val="22"/>
          <w:szCs w:val="22"/>
        </w:rPr>
        <w:t>2.4.</w:t>
      </w:r>
      <w:r w:rsidR="00AC20A5">
        <w:rPr>
          <w:b/>
          <w:sz w:val="22"/>
          <w:szCs w:val="22"/>
        </w:rPr>
        <w:t>1</w:t>
      </w:r>
      <w:r w:rsidR="00C941EF" w:rsidRPr="003A4656">
        <w:rPr>
          <w:b/>
          <w:sz w:val="22"/>
          <w:szCs w:val="22"/>
        </w:rPr>
        <w:t xml:space="preserve"> Test Results</w:t>
      </w:r>
    </w:p>
    <w:p w:rsidR="00C941EF" w:rsidRPr="003A4656" w:rsidRDefault="00C941EF" w:rsidP="0005572B">
      <w:pPr>
        <w:ind w:left="0" w:right="0"/>
        <w:rPr>
          <w:sz w:val="22"/>
          <w:szCs w:val="22"/>
        </w:rPr>
      </w:pPr>
    </w:p>
    <w:p w:rsidR="00C941EF" w:rsidRPr="003A4656" w:rsidRDefault="00C90B59" w:rsidP="0005572B">
      <w:pPr>
        <w:ind w:left="0" w:right="0"/>
        <w:rPr>
          <w:sz w:val="22"/>
          <w:szCs w:val="22"/>
        </w:rPr>
      </w:pPr>
      <w:r w:rsidRPr="003A4656">
        <w:rPr>
          <w:sz w:val="22"/>
          <w:szCs w:val="22"/>
        </w:rPr>
        <w:t>The</w:t>
      </w:r>
      <w:r w:rsidR="00C941EF" w:rsidRPr="003A4656">
        <w:rPr>
          <w:sz w:val="22"/>
          <w:szCs w:val="22"/>
        </w:rPr>
        <w:t xml:space="preserve"> screening of </w:t>
      </w:r>
      <w:r w:rsidR="00C941EF" w:rsidRPr="003A4656">
        <w:rPr>
          <w:i/>
          <w:sz w:val="22"/>
          <w:szCs w:val="22"/>
        </w:rPr>
        <w:t>BRCA1</w:t>
      </w:r>
      <w:r w:rsidR="00C941EF" w:rsidRPr="003A4656">
        <w:rPr>
          <w:sz w:val="22"/>
          <w:szCs w:val="22"/>
        </w:rPr>
        <w:t xml:space="preserve"> and </w:t>
      </w:r>
      <w:r w:rsidR="00C941EF" w:rsidRPr="003A4656">
        <w:rPr>
          <w:i/>
          <w:sz w:val="22"/>
          <w:szCs w:val="22"/>
        </w:rPr>
        <w:t>BRCA2</w:t>
      </w:r>
      <w:r w:rsidRPr="003A4656">
        <w:rPr>
          <w:sz w:val="22"/>
          <w:szCs w:val="22"/>
        </w:rPr>
        <w:t xml:space="preserve"> may lead to </w:t>
      </w:r>
      <w:r w:rsidR="00C941EF" w:rsidRPr="003A4656">
        <w:rPr>
          <w:sz w:val="22"/>
          <w:szCs w:val="22"/>
        </w:rPr>
        <w:t xml:space="preserve">four possible findings: </w:t>
      </w:r>
    </w:p>
    <w:p w:rsidR="00C941EF" w:rsidRPr="003A4656" w:rsidRDefault="00DB37A3" w:rsidP="00101298">
      <w:pPr>
        <w:pStyle w:val="ListParagraph"/>
        <w:numPr>
          <w:ilvl w:val="0"/>
          <w:numId w:val="18"/>
        </w:numPr>
        <w:ind w:left="720" w:right="0"/>
        <w:rPr>
          <w:rFonts w:ascii="Times New Roman" w:hAnsi="Times New Roman"/>
          <w:lang w:val="en-GB"/>
        </w:rPr>
      </w:pPr>
      <w:r w:rsidRPr="003A4656">
        <w:rPr>
          <w:rFonts w:ascii="Times New Roman" w:hAnsi="Times New Roman"/>
          <w:lang w:val="en-GB"/>
        </w:rPr>
        <w:t>no</w:t>
      </w:r>
      <w:r w:rsidR="00C941EF" w:rsidRPr="003A4656">
        <w:rPr>
          <w:rFonts w:ascii="Times New Roman" w:hAnsi="Times New Roman"/>
          <w:lang w:val="en-GB"/>
        </w:rPr>
        <w:t xml:space="preserve"> alterations </w:t>
      </w:r>
      <w:r w:rsidRPr="003A4656">
        <w:rPr>
          <w:rFonts w:ascii="Times New Roman" w:hAnsi="Times New Roman"/>
          <w:lang w:val="en-GB"/>
        </w:rPr>
        <w:t>compared to gene consensus sequence</w:t>
      </w:r>
      <w:r w:rsidR="00C90B59" w:rsidRPr="003A4656">
        <w:rPr>
          <w:rFonts w:ascii="Times New Roman" w:hAnsi="Times New Roman"/>
          <w:lang w:val="en-GB"/>
        </w:rPr>
        <w:t>s</w:t>
      </w:r>
      <w:r w:rsidRPr="003A4656">
        <w:rPr>
          <w:rFonts w:ascii="Times New Roman" w:hAnsi="Times New Roman"/>
          <w:lang w:val="en-GB"/>
        </w:rPr>
        <w:t>;</w:t>
      </w:r>
      <w:r w:rsidR="00C941EF" w:rsidRPr="003A4656">
        <w:rPr>
          <w:rFonts w:ascii="Times New Roman" w:hAnsi="Times New Roman"/>
          <w:lang w:val="en-GB"/>
        </w:rPr>
        <w:t xml:space="preserve"> </w:t>
      </w:r>
    </w:p>
    <w:p w:rsidR="00DB37A3" w:rsidRPr="003A4656" w:rsidRDefault="00DB37A3" w:rsidP="00101298">
      <w:pPr>
        <w:pStyle w:val="ListParagraph"/>
        <w:numPr>
          <w:ilvl w:val="0"/>
          <w:numId w:val="18"/>
        </w:numPr>
        <w:ind w:left="720" w:right="0"/>
        <w:rPr>
          <w:rFonts w:ascii="Times New Roman" w:hAnsi="Times New Roman"/>
          <w:lang w:val="en-GB"/>
        </w:rPr>
      </w:pPr>
      <w:r w:rsidRPr="003A4656">
        <w:rPr>
          <w:rFonts w:ascii="Times New Roman" w:hAnsi="Times New Roman"/>
          <w:lang w:val="en-GB"/>
        </w:rPr>
        <w:t>pathogenic variant</w:t>
      </w:r>
      <w:r w:rsidR="00EA5BBE" w:rsidRPr="003A4656">
        <w:rPr>
          <w:rFonts w:ascii="Times New Roman" w:hAnsi="Times New Roman"/>
          <w:lang w:val="en-GB"/>
        </w:rPr>
        <w:t>s</w:t>
      </w:r>
      <w:r w:rsidRPr="003A4656">
        <w:rPr>
          <w:rFonts w:ascii="Times New Roman" w:hAnsi="Times New Roman"/>
          <w:lang w:val="en-GB"/>
        </w:rPr>
        <w:t>;</w:t>
      </w:r>
    </w:p>
    <w:p w:rsidR="00C941EF" w:rsidRPr="003A4656" w:rsidRDefault="00EA5BBE" w:rsidP="00101298">
      <w:pPr>
        <w:pStyle w:val="ListParagraph"/>
        <w:numPr>
          <w:ilvl w:val="0"/>
          <w:numId w:val="18"/>
        </w:numPr>
        <w:ind w:left="720" w:right="0"/>
        <w:rPr>
          <w:rFonts w:ascii="Times New Roman" w:hAnsi="Times New Roman"/>
          <w:lang w:val="en-GB"/>
        </w:rPr>
      </w:pPr>
      <w:r w:rsidRPr="003A4656">
        <w:rPr>
          <w:rFonts w:ascii="Times New Roman" w:hAnsi="Times New Roman"/>
          <w:lang w:val="en-GB"/>
        </w:rPr>
        <w:t xml:space="preserve">common </w:t>
      </w:r>
      <w:r w:rsidR="00C941EF" w:rsidRPr="003A4656">
        <w:rPr>
          <w:rFonts w:ascii="Times New Roman" w:hAnsi="Times New Roman"/>
          <w:lang w:val="en-GB"/>
        </w:rPr>
        <w:t>polymorphism</w:t>
      </w:r>
      <w:r w:rsidRPr="003A4656">
        <w:rPr>
          <w:rFonts w:ascii="Times New Roman" w:hAnsi="Times New Roman"/>
          <w:lang w:val="en-GB"/>
        </w:rPr>
        <w:t>s</w:t>
      </w:r>
      <w:r w:rsidR="00C941EF" w:rsidRPr="003A4656">
        <w:rPr>
          <w:rFonts w:ascii="Times New Roman" w:hAnsi="Times New Roman"/>
          <w:lang w:val="en-GB"/>
        </w:rPr>
        <w:t xml:space="preserve"> or</w:t>
      </w:r>
      <w:r w:rsidR="00DB37A3" w:rsidRPr="003A4656">
        <w:rPr>
          <w:rFonts w:ascii="Times New Roman" w:hAnsi="Times New Roman"/>
          <w:lang w:val="en-GB"/>
        </w:rPr>
        <w:t xml:space="preserve"> </w:t>
      </w:r>
      <w:r w:rsidRPr="003A4656">
        <w:rPr>
          <w:rFonts w:ascii="Times New Roman" w:hAnsi="Times New Roman"/>
          <w:lang w:val="en-GB"/>
        </w:rPr>
        <w:t xml:space="preserve">rare </w:t>
      </w:r>
      <w:r w:rsidR="00DB37A3" w:rsidRPr="003A4656">
        <w:rPr>
          <w:rFonts w:ascii="Times New Roman" w:hAnsi="Times New Roman"/>
          <w:lang w:val="en-GB"/>
        </w:rPr>
        <w:t>neutral variant</w:t>
      </w:r>
      <w:r w:rsidRPr="003A4656">
        <w:rPr>
          <w:rFonts w:ascii="Times New Roman" w:hAnsi="Times New Roman"/>
          <w:lang w:val="en-GB"/>
        </w:rPr>
        <w:t>s</w:t>
      </w:r>
      <w:r w:rsidR="00DB37A3" w:rsidRPr="003A4656">
        <w:rPr>
          <w:rFonts w:ascii="Times New Roman" w:hAnsi="Times New Roman"/>
          <w:lang w:val="en-GB"/>
        </w:rPr>
        <w:t>;</w:t>
      </w:r>
    </w:p>
    <w:p w:rsidR="00C941EF" w:rsidRPr="003A4656" w:rsidRDefault="00EA5BBE" w:rsidP="00101298">
      <w:pPr>
        <w:pStyle w:val="ListParagraph"/>
        <w:numPr>
          <w:ilvl w:val="0"/>
          <w:numId w:val="18"/>
        </w:numPr>
        <w:ind w:left="720" w:right="0"/>
        <w:rPr>
          <w:rFonts w:ascii="Times New Roman" w:hAnsi="Times New Roman"/>
          <w:lang w:val="en-GB"/>
        </w:rPr>
      </w:pPr>
      <w:proofErr w:type="gramStart"/>
      <w:r w:rsidRPr="003A4656">
        <w:rPr>
          <w:rFonts w:ascii="Times New Roman" w:hAnsi="Times New Roman"/>
          <w:lang w:val="en-GB"/>
        </w:rPr>
        <w:t>v</w:t>
      </w:r>
      <w:r w:rsidR="00DB37A3" w:rsidRPr="003A4656">
        <w:rPr>
          <w:rFonts w:ascii="Times New Roman" w:hAnsi="Times New Roman"/>
          <w:lang w:val="en-GB"/>
        </w:rPr>
        <w:t>ariant</w:t>
      </w:r>
      <w:r w:rsidRPr="003A4656">
        <w:rPr>
          <w:rFonts w:ascii="Times New Roman" w:hAnsi="Times New Roman"/>
          <w:lang w:val="en-GB"/>
        </w:rPr>
        <w:t>s</w:t>
      </w:r>
      <w:proofErr w:type="gramEnd"/>
      <w:r w:rsidR="0079788F" w:rsidRPr="003A4656">
        <w:rPr>
          <w:rFonts w:ascii="Times New Roman" w:hAnsi="Times New Roman"/>
          <w:lang w:val="en-GB"/>
        </w:rPr>
        <w:t xml:space="preserve"> of uncertain s</w:t>
      </w:r>
      <w:r w:rsidR="00DB37A3" w:rsidRPr="003A4656">
        <w:rPr>
          <w:rFonts w:ascii="Times New Roman" w:hAnsi="Times New Roman"/>
          <w:lang w:val="en-GB"/>
        </w:rPr>
        <w:t xml:space="preserve">ignificance (VUS) or </w:t>
      </w:r>
      <w:r w:rsidRPr="003A4656">
        <w:rPr>
          <w:rFonts w:ascii="Times New Roman" w:hAnsi="Times New Roman"/>
          <w:lang w:val="en-GB"/>
        </w:rPr>
        <w:t>u</w:t>
      </w:r>
      <w:r w:rsidR="00DB37A3" w:rsidRPr="003A4656">
        <w:rPr>
          <w:rFonts w:ascii="Times New Roman" w:hAnsi="Times New Roman"/>
          <w:lang w:val="en-GB"/>
        </w:rPr>
        <w:t xml:space="preserve">nclassified </w:t>
      </w:r>
      <w:r w:rsidRPr="003A4656">
        <w:rPr>
          <w:rFonts w:ascii="Times New Roman" w:hAnsi="Times New Roman"/>
          <w:lang w:val="en-GB"/>
        </w:rPr>
        <w:t>v</w:t>
      </w:r>
      <w:r w:rsidR="00DB37A3" w:rsidRPr="003A4656">
        <w:rPr>
          <w:rFonts w:ascii="Times New Roman" w:hAnsi="Times New Roman"/>
          <w:lang w:val="en-GB"/>
        </w:rPr>
        <w:t>ariant</w:t>
      </w:r>
      <w:r w:rsidRPr="003A4656">
        <w:rPr>
          <w:rFonts w:ascii="Times New Roman" w:hAnsi="Times New Roman"/>
          <w:lang w:val="en-GB"/>
        </w:rPr>
        <w:t>s</w:t>
      </w:r>
      <w:r w:rsidR="00DB37A3" w:rsidRPr="003A4656">
        <w:rPr>
          <w:rFonts w:ascii="Times New Roman" w:hAnsi="Times New Roman"/>
          <w:lang w:val="en-GB"/>
        </w:rPr>
        <w:t xml:space="preserve"> (UV</w:t>
      </w:r>
      <w:r w:rsidRPr="003A4656">
        <w:rPr>
          <w:rFonts w:ascii="Times New Roman" w:hAnsi="Times New Roman"/>
          <w:lang w:val="en-GB"/>
        </w:rPr>
        <w:t>s</w:t>
      </w:r>
      <w:r w:rsidR="00DB37A3" w:rsidRPr="003A4656">
        <w:rPr>
          <w:rFonts w:ascii="Times New Roman" w:hAnsi="Times New Roman"/>
          <w:lang w:val="en-GB"/>
        </w:rPr>
        <w:t>)</w:t>
      </w:r>
      <w:r w:rsidR="00C941EF" w:rsidRPr="003A4656">
        <w:rPr>
          <w:rFonts w:ascii="Times New Roman" w:hAnsi="Times New Roman"/>
          <w:lang w:val="en-GB"/>
        </w:rPr>
        <w:t xml:space="preserve">. </w:t>
      </w:r>
    </w:p>
    <w:p w:rsidR="00C941EF" w:rsidRPr="003A4656" w:rsidRDefault="00DB37A3" w:rsidP="0005572B">
      <w:pPr>
        <w:ind w:left="0" w:right="0"/>
        <w:rPr>
          <w:rFonts w:eastAsia="MinionPro-Regular"/>
          <w:sz w:val="22"/>
          <w:szCs w:val="22"/>
        </w:rPr>
      </w:pPr>
      <w:r w:rsidRPr="003A4656">
        <w:rPr>
          <w:sz w:val="22"/>
          <w:szCs w:val="22"/>
        </w:rPr>
        <w:t>As described</w:t>
      </w:r>
      <w:r w:rsidR="0035013F" w:rsidRPr="003A4656">
        <w:rPr>
          <w:sz w:val="22"/>
          <w:szCs w:val="22"/>
        </w:rPr>
        <w:t xml:space="preserve"> above</w:t>
      </w:r>
      <w:r w:rsidRPr="003A4656">
        <w:rPr>
          <w:sz w:val="22"/>
          <w:szCs w:val="22"/>
        </w:rPr>
        <w:t xml:space="preserve">, </w:t>
      </w:r>
      <w:r w:rsidR="00C941EF" w:rsidRPr="003A4656">
        <w:rPr>
          <w:sz w:val="22"/>
          <w:szCs w:val="22"/>
        </w:rPr>
        <w:t xml:space="preserve">pathogenic variants </w:t>
      </w:r>
      <w:r w:rsidRPr="003A4656">
        <w:rPr>
          <w:rFonts w:eastAsia="MinionPro-Regular"/>
          <w:sz w:val="22"/>
          <w:szCs w:val="22"/>
        </w:rPr>
        <w:t>include</w:t>
      </w:r>
      <w:r w:rsidR="00C941EF" w:rsidRPr="003A4656">
        <w:rPr>
          <w:rFonts w:eastAsia="MinionPro-Regular"/>
          <w:sz w:val="22"/>
          <w:szCs w:val="22"/>
        </w:rPr>
        <w:t xml:space="preserve"> small insertion/deletion frameshift</w:t>
      </w:r>
      <w:r w:rsidRPr="003A4656">
        <w:rPr>
          <w:rFonts w:eastAsia="MinionPro-Regular"/>
          <w:sz w:val="22"/>
          <w:szCs w:val="22"/>
        </w:rPr>
        <w:t>s</w:t>
      </w:r>
      <w:r w:rsidR="00C941EF" w:rsidRPr="003A4656">
        <w:rPr>
          <w:rFonts w:eastAsia="MinionPro-Regular"/>
          <w:sz w:val="22"/>
          <w:szCs w:val="22"/>
        </w:rPr>
        <w:t xml:space="preserve">, </w:t>
      </w:r>
      <w:r w:rsidR="0035013F" w:rsidRPr="003A4656">
        <w:rPr>
          <w:rFonts w:eastAsia="MinionPro-Regular"/>
          <w:sz w:val="22"/>
          <w:szCs w:val="22"/>
        </w:rPr>
        <w:t xml:space="preserve">nonsense mutation nucleotide changes that disrupt </w:t>
      </w:r>
      <w:r w:rsidR="00C941EF" w:rsidRPr="003A4656">
        <w:rPr>
          <w:rFonts w:eastAsia="MinionPro-Regular"/>
          <w:sz w:val="22"/>
          <w:szCs w:val="22"/>
        </w:rPr>
        <w:t>splice site</w:t>
      </w:r>
      <w:r w:rsidR="0035013F" w:rsidRPr="003A4656">
        <w:rPr>
          <w:rFonts w:eastAsia="MinionPro-Regular"/>
          <w:sz w:val="22"/>
          <w:szCs w:val="22"/>
        </w:rPr>
        <w:t>s,</w:t>
      </w:r>
      <w:r w:rsidR="00C941EF" w:rsidRPr="003A4656">
        <w:rPr>
          <w:rFonts w:eastAsia="MinionPro-Regular"/>
          <w:sz w:val="22"/>
          <w:szCs w:val="22"/>
        </w:rPr>
        <w:t xml:space="preserve"> </w:t>
      </w:r>
      <w:r w:rsidR="0035013F" w:rsidRPr="003A4656">
        <w:rPr>
          <w:rFonts w:eastAsia="MinionPro-Regular"/>
          <w:sz w:val="22"/>
          <w:szCs w:val="22"/>
        </w:rPr>
        <w:t>and large genomic rearrangements (LGRs),</w:t>
      </w:r>
      <w:r w:rsidR="00125E7A" w:rsidRPr="003A4656">
        <w:rPr>
          <w:rFonts w:eastAsia="MinionPro-Regular"/>
          <w:sz w:val="22"/>
          <w:szCs w:val="22"/>
        </w:rPr>
        <w:t xml:space="preserve"> </w:t>
      </w:r>
      <w:r w:rsidR="00C941EF" w:rsidRPr="003A4656">
        <w:rPr>
          <w:rFonts w:eastAsia="MinionPro-Regular"/>
          <w:sz w:val="22"/>
          <w:szCs w:val="22"/>
        </w:rPr>
        <w:t>leading to non</w:t>
      </w:r>
      <w:r w:rsidR="0035013F" w:rsidRPr="003A4656">
        <w:rPr>
          <w:rFonts w:eastAsia="MinionPro-Regular"/>
          <w:sz w:val="22"/>
          <w:szCs w:val="22"/>
        </w:rPr>
        <w:t>-</w:t>
      </w:r>
      <w:r w:rsidR="00C941EF" w:rsidRPr="003A4656">
        <w:rPr>
          <w:rFonts w:eastAsia="MinionPro-Regular"/>
          <w:sz w:val="22"/>
          <w:szCs w:val="22"/>
        </w:rPr>
        <w:t xml:space="preserve">functional BRCA proteins. </w:t>
      </w:r>
      <w:r w:rsidR="00EA5BBE" w:rsidRPr="003A4656">
        <w:rPr>
          <w:rFonts w:eastAsia="MinionPro-Regular"/>
          <w:sz w:val="22"/>
          <w:szCs w:val="22"/>
        </w:rPr>
        <w:t>Interestingly, i</w:t>
      </w:r>
      <w:r w:rsidR="00125E7A" w:rsidRPr="003A4656">
        <w:rPr>
          <w:rFonts w:eastAsia="MinionPro-Regular"/>
          <w:sz w:val="22"/>
          <w:szCs w:val="22"/>
        </w:rPr>
        <w:t xml:space="preserve">n </w:t>
      </w:r>
      <w:r w:rsidR="00125E7A" w:rsidRPr="003A4656">
        <w:rPr>
          <w:rFonts w:eastAsia="MinionPro-Regular"/>
          <w:i/>
          <w:iCs/>
          <w:sz w:val="22"/>
          <w:szCs w:val="22"/>
        </w:rPr>
        <w:t>BRCA1,</w:t>
      </w:r>
      <w:r w:rsidR="00125E7A" w:rsidRPr="003A4656">
        <w:rPr>
          <w:rFonts w:eastAsia="MinionPro-Regular"/>
          <w:sz w:val="22"/>
          <w:szCs w:val="22"/>
        </w:rPr>
        <w:t xml:space="preserve"> </w:t>
      </w:r>
      <w:r w:rsidR="0035013F" w:rsidRPr="003A4656">
        <w:rPr>
          <w:rFonts w:eastAsia="MinionPro-Regular"/>
          <w:sz w:val="22"/>
          <w:szCs w:val="22"/>
        </w:rPr>
        <w:t xml:space="preserve">LGRs </w:t>
      </w:r>
      <w:r w:rsidR="00C941EF" w:rsidRPr="003A4656">
        <w:rPr>
          <w:rFonts w:eastAsia="MinionPro-Regular"/>
          <w:sz w:val="22"/>
          <w:szCs w:val="22"/>
        </w:rPr>
        <w:t xml:space="preserve">are typically a result of homologous recombination </w:t>
      </w:r>
      <w:r w:rsidR="00125E7A" w:rsidRPr="003A4656">
        <w:rPr>
          <w:rFonts w:eastAsia="MinionPro-Regular"/>
          <w:sz w:val="22"/>
          <w:szCs w:val="22"/>
        </w:rPr>
        <w:t>with</w:t>
      </w:r>
      <w:r w:rsidR="00C941EF" w:rsidRPr="003A4656">
        <w:rPr>
          <w:rFonts w:eastAsia="MinionPro-Regular"/>
          <w:sz w:val="22"/>
          <w:szCs w:val="22"/>
        </w:rPr>
        <w:t xml:space="preserve"> pseudogene sequences (Zhang J.</w:t>
      </w:r>
      <w:r w:rsidR="002417DA" w:rsidRPr="003A4656">
        <w:rPr>
          <w:rFonts w:eastAsia="MinionPro-Regular"/>
          <w:sz w:val="22"/>
          <w:szCs w:val="22"/>
        </w:rPr>
        <w:t>D.</w:t>
      </w:r>
      <w:r w:rsidR="00C941EF" w:rsidRPr="003A4656">
        <w:rPr>
          <w:rFonts w:eastAsia="MinionPro-Regular"/>
          <w:sz w:val="22"/>
          <w:szCs w:val="22"/>
        </w:rPr>
        <w:t xml:space="preserve"> et al, 2010).</w:t>
      </w:r>
      <w:r w:rsidR="00EA5BBE" w:rsidRPr="003A4656">
        <w:rPr>
          <w:rFonts w:eastAsia="MinionPro-Regular"/>
          <w:sz w:val="22"/>
          <w:szCs w:val="22"/>
        </w:rPr>
        <w:t xml:space="preserve"> In both </w:t>
      </w:r>
      <w:r w:rsidR="00EA5BBE" w:rsidRPr="003A4656">
        <w:rPr>
          <w:rFonts w:eastAsia="MinionPro-Regular"/>
          <w:i/>
          <w:sz w:val="22"/>
          <w:szCs w:val="22"/>
        </w:rPr>
        <w:t>BRCA</w:t>
      </w:r>
      <w:r w:rsidR="00EA5BBE" w:rsidRPr="003A4656">
        <w:rPr>
          <w:rFonts w:eastAsia="MinionPro-Regular"/>
          <w:sz w:val="22"/>
          <w:szCs w:val="22"/>
        </w:rPr>
        <w:t xml:space="preserve"> genes most pathogenic mutations cause the loss of the protein C-terminus that contains important functional domains, as illustrated above. Gene a</w:t>
      </w:r>
      <w:r w:rsidR="00C941EF" w:rsidRPr="003A4656">
        <w:rPr>
          <w:rFonts w:eastAsia="MinionPro-Regular"/>
          <w:sz w:val="22"/>
          <w:szCs w:val="22"/>
        </w:rPr>
        <w:t xml:space="preserve">lterations that </w:t>
      </w:r>
      <w:r w:rsidR="00EA5BBE" w:rsidRPr="003A4656">
        <w:rPr>
          <w:rFonts w:eastAsia="MinionPro-Regular"/>
          <w:sz w:val="22"/>
          <w:szCs w:val="22"/>
        </w:rPr>
        <w:t>do</w:t>
      </w:r>
      <w:r w:rsidR="00C941EF" w:rsidRPr="003A4656">
        <w:rPr>
          <w:rFonts w:eastAsia="MinionPro-Regular"/>
          <w:sz w:val="22"/>
          <w:szCs w:val="22"/>
        </w:rPr>
        <w:t xml:space="preserve"> not </w:t>
      </w:r>
      <w:r w:rsidR="00EA5BBE" w:rsidRPr="003A4656">
        <w:rPr>
          <w:rFonts w:eastAsia="MinionPro-Regular"/>
          <w:sz w:val="22"/>
          <w:szCs w:val="22"/>
        </w:rPr>
        <w:t>affect</w:t>
      </w:r>
      <w:r w:rsidR="00C941EF" w:rsidRPr="003A4656">
        <w:rPr>
          <w:rFonts w:eastAsia="MinionPro-Regular"/>
          <w:sz w:val="22"/>
          <w:szCs w:val="22"/>
        </w:rPr>
        <w:t xml:space="preserve"> the function of the encoded protein</w:t>
      </w:r>
      <w:r w:rsidR="00EA5BBE" w:rsidRPr="003A4656">
        <w:rPr>
          <w:rFonts w:eastAsia="MinionPro-Regular"/>
          <w:sz w:val="22"/>
          <w:szCs w:val="22"/>
        </w:rPr>
        <w:t xml:space="preserve"> are considered as clinically neutral. </w:t>
      </w:r>
    </w:p>
    <w:p w:rsidR="00C941EF" w:rsidRPr="003A4656" w:rsidRDefault="00C90B59" w:rsidP="0005572B">
      <w:pPr>
        <w:ind w:left="0" w:right="0"/>
        <w:rPr>
          <w:sz w:val="22"/>
          <w:szCs w:val="22"/>
        </w:rPr>
      </w:pPr>
      <w:r w:rsidRPr="003A4656">
        <w:rPr>
          <w:sz w:val="22"/>
          <w:szCs w:val="22"/>
        </w:rPr>
        <w:t>The</w:t>
      </w:r>
      <w:r w:rsidR="00C941EF" w:rsidRPr="003A4656">
        <w:rPr>
          <w:sz w:val="22"/>
          <w:szCs w:val="22"/>
        </w:rPr>
        <w:t xml:space="preserve"> interpretation of the clinical significance </w:t>
      </w:r>
      <w:r w:rsidR="00EA5BBE" w:rsidRPr="003A4656">
        <w:rPr>
          <w:sz w:val="22"/>
          <w:szCs w:val="22"/>
        </w:rPr>
        <w:t xml:space="preserve">of a negative </w:t>
      </w:r>
      <w:r w:rsidR="00EA5BBE" w:rsidRPr="003A4656">
        <w:rPr>
          <w:i/>
          <w:sz w:val="22"/>
          <w:szCs w:val="22"/>
        </w:rPr>
        <w:t>BRCA</w:t>
      </w:r>
      <w:r w:rsidR="00EA5BBE" w:rsidRPr="003A4656">
        <w:rPr>
          <w:sz w:val="22"/>
          <w:szCs w:val="22"/>
        </w:rPr>
        <w:t xml:space="preserve"> test result</w:t>
      </w:r>
      <w:r w:rsidR="00C941EF" w:rsidRPr="003A4656">
        <w:rPr>
          <w:sz w:val="22"/>
          <w:szCs w:val="22"/>
        </w:rPr>
        <w:t xml:space="preserve"> is </w:t>
      </w:r>
      <w:r w:rsidR="00EA5BBE" w:rsidRPr="003A4656">
        <w:rPr>
          <w:sz w:val="22"/>
          <w:szCs w:val="22"/>
        </w:rPr>
        <w:t>challenging</w:t>
      </w:r>
      <w:r w:rsidR="00C941EF" w:rsidRPr="003A4656">
        <w:rPr>
          <w:sz w:val="22"/>
          <w:szCs w:val="22"/>
        </w:rPr>
        <w:t>. In</w:t>
      </w:r>
      <w:r w:rsidR="0079788F" w:rsidRPr="003A4656">
        <w:rPr>
          <w:sz w:val="22"/>
          <w:szCs w:val="22"/>
        </w:rPr>
        <w:t xml:space="preserve"> fact</w:t>
      </w:r>
      <w:r w:rsidR="00EA5BBE" w:rsidRPr="003A4656">
        <w:rPr>
          <w:sz w:val="22"/>
          <w:szCs w:val="22"/>
        </w:rPr>
        <w:t>,</w:t>
      </w:r>
      <w:r w:rsidR="00C941EF" w:rsidRPr="003A4656">
        <w:rPr>
          <w:sz w:val="22"/>
          <w:szCs w:val="22"/>
        </w:rPr>
        <w:t xml:space="preserve"> if genetic testing fails to identify a pathogenic mutation in a woman with a verified strong </w:t>
      </w:r>
      <w:r w:rsidRPr="003A4656">
        <w:rPr>
          <w:sz w:val="22"/>
          <w:szCs w:val="22"/>
        </w:rPr>
        <w:t xml:space="preserve">personal and </w:t>
      </w:r>
      <w:r w:rsidR="00C941EF" w:rsidRPr="003A4656">
        <w:rPr>
          <w:sz w:val="22"/>
          <w:szCs w:val="22"/>
        </w:rPr>
        <w:t>family history of breast and</w:t>
      </w:r>
      <w:r w:rsidR="0079788F" w:rsidRPr="003A4656">
        <w:rPr>
          <w:sz w:val="22"/>
          <w:szCs w:val="22"/>
        </w:rPr>
        <w:t>/or</w:t>
      </w:r>
      <w:r w:rsidR="00C941EF" w:rsidRPr="003A4656">
        <w:rPr>
          <w:sz w:val="22"/>
          <w:szCs w:val="22"/>
        </w:rPr>
        <w:t xml:space="preserve"> ovarian cancer, this result is interpreted as “uninformative”</w:t>
      </w:r>
      <w:r w:rsidR="0079788F" w:rsidRPr="003A4656">
        <w:rPr>
          <w:sz w:val="22"/>
          <w:szCs w:val="22"/>
        </w:rPr>
        <w:t xml:space="preserve">, since it might be due </w:t>
      </w:r>
      <w:r w:rsidRPr="003A4656">
        <w:rPr>
          <w:sz w:val="22"/>
          <w:szCs w:val="22"/>
        </w:rPr>
        <w:t xml:space="preserve">either </w:t>
      </w:r>
      <w:r w:rsidR="0079788F" w:rsidRPr="003A4656">
        <w:rPr>
          <w:sz w:val="22"/>
          <w:szCs w:val="22"/>
        </w:rPr>
        <w:t xml:space="preserve">to the presence of an aberration in a </w:t>
      </w:r>
      <w:r w:rsidR="0079788F" w:rsidRPr="003A4656">
        <w:rPr>
          <w:i/>
          <w:sz w:val="22"/>
          <w:szCs w:val="22"/>
        </w:rPr>
        <w:t>BRCA</w:t>
      </w:r>
      <w:r w:rsidRPr="003A4656">
        <w:rPr>
          <w:sz w:val="22"/>
          <w:szCs w:val="22"/>
        </w:rPr>
        <w:t xml:space="preserve"> gene</w:t>
      </w:r>
      <w:r w:rsidR="0079788F" w:rsidRPr="003A4656">
        <w:rPr>
          <w:sz w:val="22"/>
          <w:szCs w:val="22"/>
        </w:rPr>
        <w:t xml:space="preserve"> not detectable by the employed screening method(s), or to the familial risk being attributable</w:t>
      </w:r>
      <w:r w:rsidR="00C941EF" w:rsidRPr="003A4656">
        <w:rPr>
          <w:sz w:val="22"/>
          <w:szCs w:val="22"/>
        </w:rPr>
        <w:t xml:space="preserve"> </w:t>
      </w:r>
      <w:r w:rsidR="0079788F" w:rsidRPr="003A4656">
        <w:rPr>
          <w:sz w:val="22"/>
          <w:szCs w:val="22"/>
        </w:rPr>
        <w:t xml:space="preserve">to a </w:t>
      </w:r>
      <w:r w:rsidR="00C941EF" w:rsidRPr="003A4656">
        <w:rPr>
          <w:sz w:val="22"/>
          <w:szCs w:val="22"/>
        </w:rPr>
        <w:t>disease-causing mutation elsewhere in the genome.</w:t>
      </w:r>
    </w:p>
    <w:p w:rsidR="00C941EF" w:rsidRPr="003A4656" w:rsidRDefault="00C941EF" w:rsidP="0005572B">
      <w:pPr>
        <w:ind w:left="0" w:right="0"/>
        <w:rPr>
          <w:sz w:val="22"/>
          <w:szCs w:val="22"/>
        </w:rPr>
      </w:pPr>
      <w:r w:rsidRPr="003A4656">
        <w:rPr>
          <w:sz w:val="22"/>
          <w:szCs w:val="22"/>
        </w:rPr>
        <w:tab/>
      </w:r>
    </w:p>
    <w:p w:rsidR="00C941EF" w:rsidRPr="003A4656" w:rsidRDefault="007E3B79" w:rsidP="0005572B">
      <w:pPr>
        <w:ind w:left="0" w:right="0" w:firstLine="360"/>
        <w:rPr>
          <w:b/>
          <w:sz w:val="22"/>
          <w:szCs w:val="22"/>
        </w:rPr>
      </w:pPr>
      <w:r w:rsidRPr="003A4656">
        <w:rPr>
          <w:b/>
          <w:sz w:val="22"/>
          <w:szCs w:val="22"/>
        </w:rPr>
        <w:t>2.4</w:t>
      </w:r>
      <w:r w:rsidR="00C941EF" w:rsidRPr="003A4656">
        <w:rPr>
          <w:b/>
          <w:sz w:val="22"/>
          <w:szCs w:val="22"/>
        </w:rPr>
        <w:t>.</w:t>
      </w:r>
      <w:r w:rsidR="00AC20A5">
        <w:rPr>
          <w:b/>
          <w:sz w:val="22"/>
          <w:szCs w:val="22"/>
        </w:rPr>
        <w:t>2</w:t>
      </w:r>
      <w:r w:rsidR="00C941EF" w:rsidRPr="003A4656">
        <w:rPr>
          <w:b/>
          <w:sz w:val="22"/>
          <w:szCs w:val="22"/>
        </w:rPr>
        <w:t xml:space="preserve"> Variants of Uncertain Significance </w:t>
      </w:r>
    </w:p>
    <w:p w:rsidR="0079788F" w:rsidRPr="003A4656" w:rsidRDefault="0079788F" w:rsidP="0005572B">
      <w:pPr>
        <w:ind w:left="0" w:right="0"/>
        <w:rPr>
          <w:sz w:val="22"/>
          <w:szCs w:val="22"/>
        </w:rPr>
      </w:pPr>
    </w:p>
    <w:p w:rsidR="00C941EF" w:rsidRPr="003A4656" w:rsidRDefault="00C941EF" w:rsidP="0005572B">
      <w:pPr>
        <w:ind w:left="0" w:right="0"/>
        <w:rPr>
          <w:sz w:val="22"/>
          <w:szCs w:val="22"/>
        </w:rPr>
      </w:pPr>
      <w:r w:rsidRPr="003A4656">
        <w:rPr>
          <w:sz w:val="22"/>
          <w:szCs w:val="22"/>
        </w:rPr>
        <w:t xml:space="preserve">In many countries as many as 30% to 50% of variants identified during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gene testing are Variants of Uncertain Significance (</w:t>
      </w:r>
      <w:r w:rsidR="0079788F" w:rsidRPr="003A4656">
        <w:rPr>
          <w:sz w:val="22"/>
          <w:szCs w:val="22"/>
        </w:rPr>
        <w:t>VUS</w:t>
      </w:r>
      <w:r w:rsidRPr="003A4656">
        <w:rPr>
          <w:sz w:val="22"/>
          <w:szCs w:val="22"/>
        </w:rPr>
        <w:t xml:space="preserve">), also referred to as unclassified variants </w:t>
      </w:r>
      <w:r w:rsidR="0079788F" w:rsidRPr="003A4656">
        <w:rPr>
          <w:sz w:val="22"/>
          <w:szCs w:val="22"/>
        </w:rPr>
        <w:t xml:space="preserve">(UVs) </w:t>
      </w:r>
      <w:r w:rsidRPr="003A4656">
        <w:rPr>
          <w:sz w:val="22"/>
          <w:szCs w:val="22"/>
        </w:rPr>
        <w:t>(Hofstra R.M. et al., 2008).</w:t>
      </w:r>
    </w:p>
    <w:p w:rsidR="00C941EF" w:rsidRPr="003A4656" w:rsidRDefault="004D0F54" w:rsidP="0005572B">
      <w:pPr>
        <w:ind w:left="0" w:right="0"/>
        <w:rPr>
          <w:sz w:val="22"/>
          <w:szCs w:val="22"/>
        </w:rPr>
      </w:pPr>
      <w:r w:rsidRPr="003A4656">
        <w:rPr>
          <w:sz w:val="22"/>
          <w:szCs w:val="22"/>
        </w:rPr>
        <w:t xml:space="preserve">At present hundreds of unique </w:t>
      </w:r>
      <w:r w:rsidR="00A853C8" w:rsidRPr="003A4656">
        <w:rPr>
          <w:sz w:val="22"/>
          <w:szCs w:val="22"/>
        </w:rPr>
        <w:t>VUS</w:t>
      </w:r>
      <w:r w:rsidRPr="003A4656">
        <w:rPr>
          <w:sz w:val="22"/>
          <w:szCs w:val="22"/>
        </w:rPr>
        <w:t xml:space="preserve"> in </w:t>
      </w:r>
      <w:r w:rsidRPr="003A4656">
        <w:rPr>
          <w:i/>
          <w:sz w:val="22"/>
          <w:szCs w:val="22"/>
        </w:rPr>
        <w:t>BRCA</w:t>
      </w:r>
      <w:r w:rsidRPr="003A4656">
        <w:rPr>
          <w:sz w:val="22"/>
          <w:szCs w:val="22"/>
        </w:rPr>
        <w:t xml:space="preserve"> genes h</w:t>
      </w:r>
      <w:r w:rsidR="00337B90" w:rsidRPr="003A4656">
        <w:rPr>
          <w:sz w:val="22"/>
          <w:szCs w:val="22"/>
        </w:rPr>
        <w:t>ave</w:t>
      </w:r>
      <w:r w:rsidRPr="003A4656">
        <w:rPr>
          <w:sz w:val="22"/>
          <w:szCs w:val="22"/>
        </w:rPr>
        <w:t xml:space="preserve"> been reported </w:t>
      </w:r>
      <w:r w:rsidR="00337B90" w:rsidRPr="003A4656">
        <w:rPr>
          <w:sz w:val="22"/>
          <w:szCs w:val="22"/>
        </w:rPr>
        <w:t xml:space="preserve">and </w:t>
      </w:r>
      <w:r w:rsidR="00C941EF" w:rsidRPr="003A4656">
        <w:rPr>
          <w:sz w:val="22"/>
          <w:szCs w:val="22"/>
        </w:rPr>
        <w:t xml:space="preserve">account for over 35% </w:t>
      </w:r>
      <w:r w:rsidRPr="003A4656">
        <w:rPr>
          <w:sz w:val="22"/>
          <w:szCs w:val="22"/>
        </w:rPr>
        <w:t>an</w:t>
      </w:r>
      <w:r w:rsidR="00A853C8" w:rsidRPr="003A4656">
        <w:rPr>
          <w:sz w:val="22"/>
          <w:szCs w:val="22"/>
        </w:rPr>
        <w:t>d</w:t>
      </w:r>
      <w:r w:rsidRPr="003A4656">
        <w:rPr>
          <w:sz w:val="22"/>
          <w:szCs w:val="22"/>
        </w:rPr>
        <w:t xml:space="preserve"> 50% </w:t>
      </w:r>
      <w:r w:rsidR="00C941EF" w:rsidRPr="003A4656">
        <w:rPr>
          <w:sz w:val="22"/>
          <w:szCs w:val="22"/>
        </w:rPr>
        <w:t xml:space="preserve">of all </w:t>
      </w:r>
      <w:r w:rsidR="00C941EF" w:rsidRPr="003A4656">
        <w:rPr>
          <w:i/>
          <w:sz w:val="22"/>
          <w:szCs w:val="22"/>
        </w:rPr>
        <w:t>BRCA1</w:t>
      </w:r>
      <w:r w:rsidR="00C941EF" w:rsidRPr="003A4656">
        <w:rPr>
          <w:sz w:val="22"/>
          <w:szCs w:val="22"/>
        </w:rPr>
        <w:t xml:space="preserve"> </w:t>
      </w:r>
      <w:r w:rsidRPr="003A4656">
        <w:rPr>
          <w:sz w:val="22"/>
          <w:szCs w:val="22"/>
        </w:rPr>
        <w:t>an</w:t>
      </w:r>
      <w:r w:rsidR="00337B90" w:rsidRPr="003A4656">
        <w:rPr>
          <w:sz w:val="22"/>
          <w:szCs w:val="22"/>
        </w:rPr>
        <w:t xml:space="preserve">d </w:t>
      </w:r>
      <w:r w:rsidR="00337B90" w:rsidRPr="003A4656">
        <w:rPr>
          <w:i/>
          <w:sz w:val="22"/>
          <w:szCs w:val="22"/>
        </w:rPr>
        <w:t>BRCA2</w:t>
      </w:r>
      <w:r w:rsidR="00337B90" w:rsidRPr="003A4656">
        <w:rPr>
          <w:sz w:val="22"/>
          <w:szCs w:val="22"/>
        </w:rPr>
        <w:t xml:space="preserve"> variants, respectively</w:t>
      </w:r>
      <w:r w:rsidR="00C941EF" w:rsidRPr="003A4656">
        <w:rPr>
          <w:sz w:val="22"/>
          <w:szCs w:val="22"/>
        </w:rPr>
        <w:t xml:space="preserve"> (Breast Cancer Information Core Database: http://research.nhgri.nih.gov/bic/).</w:t>
      </w:r>
    </w:p>
    <w:p w:rsidR="00C941EF" w:rsidRPr="003A4656" w:rsidRDefault="004D0F54" w:rsidP="0005572B">
      <w:pPr>
        <w:ind w:left="0" w:right="0"/>
        <w:rPr>
          <w:sz w:val="22"/>
          <w:szCs w:val="22"/>
        </w:rPr>
      </w:pPr>
      <w:r w:rsidRPr="003A4656">
        <w:rPr>
          <w:sz w:val="22"/>
          <w:szCs w:val="22"/>
        </w:rPr>
        <w:t xml:space="preserve">As mentioned above, </w:t>
      </w:r>
      <w:r w:rsidR="00C941EF" w:rsidRPr="003A4656">
        <w:rPr>
          <w:i/>
          <w:sz w:val="22"/>
          <w:szCs w:val="22"/>
        </w:rPr>
        <w:t>BRCA</w:t>
      </w:r>
      <w:r w:rsidRPr="003A4656">
        <w:rPr>
          <w:sz w:val="22"/>
          <w:szCs w:val="22"/>
        </w:rPr>
        <w:t xml:space="preserve"> gene</w:t>
      </w:r>
      <w:r w:rsidR="00C941EF" w:rsidRPr="003A4656">
        <w:rPr>
          <w:sz w:val="22"/>
          <w:szCs w:val="22"/>
        </w:rPr>
        <w:t xml:space="preserve"> </w:t>
      </w:r>
      <w:r w:rsidR="00A853C8" w:rsidRPr="003A4656">
        <w:rPr>
          <w:sz w:val="22"/>
          <w:szCs w:val="22"/>
        </w:rPr>
        <w:t>VUS</w:t>
      </w:r>
      <w:r w:rsidR="00C941EF" w:rsidRPr="003A4656">
        <w:rPr>
          <w:sz w:val="22"/>
          <w:szCs w:val="22"/>
        </w:rPr>
        <w:t xml:space="preserve"> are mainly missense substitutions, but also include small </w:t>
      </w:r>
      <w:r w:rsidRPr="003A4656">
        <w:rPr>
          <w:sz w:val="22"/>
          <w:szCs w:val="22"/>
        </w:rPr>
        <w:t xml:space="preserve">in-frame </w:t>
      </w:r>
      <w:r w:rsidR="00C941EF" w:rsidRPr="003A4656">
        <w:rPr>
          <w:sz w:val="22"/>
          <w:szCs w:val="22"/>
        </w:rPr>
        <w:t>deletions or insertions</w:t>
      </w:r>
      <w:r w:rsidRPr="003A4656">
        <w:rPr>
          <w:sz w:val="22"/>
          <w:szCs w:val="22"/>
        </w:rPr>
        <w:t xml:space="preserve">, </w:t>
      </w:r>
      <w:r w:rsidR="00C941EF" w:rsidRPr="003A4656">
        <w:rPr>
          <w:sz w:val="22"/>
          <w:szCs w:val="22"/>
        </w:rPr>
        <w:t xml:space="preserve">silent coding alterations that may influence </w:t>
      </w:r>
      <w:r w:rsidRPr="003A4656">
        <w:rPr>
          <w:sz w:val="22"/>
          <w:szCs w:val="22"/>
        </w:rPr>
        <w:t xml:space="preserve">mRNA </w:t>
      </w:r>
      <w:r w:rsidR="00F8759D" w:rsidRPr="003A4656">
        <w:rPr>
          <w:sz w:val="22"/>
          <w:szCs w:val="22"/>
        </w:rPr>
        <w:t xml:space="preserve">splicing or translation, or </w:t>
      </w:r>
      <w:r w:rsidR="00C941EF" w:rsidRPr="003A4656">
        <w:rPr>
          <w:sz w:val="22"/>
          <w:szCs w:val="22"/>
        </w:rPr>
        <w:t xml:space="preserve">changes </w:t>
      </w:r>
      <w:r w:rsidR="00F8759D" w:rsidRPr="003A4656">
        <w:rPr>
          <w:sz w:val="22"/>
          <w:szCs w:val="22"/>
        </w:rPr>
        <w:t xml:space="preserve">in non coding regions </w:t>
      </w:r>
      <w:r w:rsidR="00C941EF" w:rsidRPr="003A4656">
        <w:rPr>
          <w:sz w:val="22"/>
          <w:szCs w:val="22"/>
        </w:rPr>
        <w:t xml:space="preserve">of unknown influence on </w:t>
      </w:r>
      <w:r w:rsidR="00F41A22">
        <w:rPr>
          <w:sz w:val="22"/>
          <w:szCs w:val="22"/>
        </w:rPr>
        <w:t xml:space="preserve">the level and </w:t>
      </w:r>
      <w:r w:rsidR="00F8759D" w:rsidRPr="003A4656">
        <w:rPr>
          <w:sz w:val="22"/>
          <w:szCs w:val="22"/>
        </w:rPr>
        <w:t>gene transcript</w:t>
      </w:r>
      <w:r w:rsidR="00F41A22">
        <w:rPr>
          <w:sz w:val="22"/>
          <w:szCs w:val="22"/>
        </w:rPr>
        <w:t>s,</w:t>
      </w:r>
      <w:r w:rsidR="00F8759D" w:rsidRPr="003A4656">
        <w:rPr>
          <w:sz w:val="22"/>
          <w:szCs w:val="22"/>
        </w:rPr>
        <w:t xml:space="preserve"> </w:t>
      </w:r>
      <w:r w:rsidR="00C941EF" w:rsidRPr="003A4656">
        <w:rPr>
          <w:sz w:val="22"/>
          <w:szCs w:val="22"/>
        </w:rPr>
        <w:t>These alterations have unknown functional effects and</w:t>
      </w:r>
      <w:r w:rsidRPr="003A4656">
        <w:rPr>
          <w:sz w:val="22"/>
          <w:szCs w:val="22"/>
        </w:rPr>
        <w:t>, in the absence of additional investigations,</w:t>
      </w:r>
      <w:r w:rsidR="00C941EF" w:rsidRPr="003A4656">
        <w:rPr>
          <w:sz w:val="22"/>
          <w:szCs w:val="22"/>
        </w:rPr>
        <w:t xml:space="preserve"> cannot be classified as either </w:t>
      </w:r>
      <w:r w:rsidRPr="003A4656">
        <w:rPr>
          <w:sz w:val="22"/>
          <w:szCs w:val="22"/>
        </w:rPr>
        <w:t xml:space="preserve">“pathogenic” or “not pathogenic or at </w:t>
      </w:r>
      <w:r w:rsidR="00C941EF" w:rsidRPr="003A4656">
        <w:rPr>
          <w:sz w:val="22"/>
          <w:szCs w:val="22"/>
        </w:rPr>
        <w:t xml:space="preserve">low clinical significance.” As a result, individuals found to carry these variants in their DNA and members of their families cannot benefit from risk assessment measures offered to </w:t>
      </w:r>
      <w:r w:rsidRPr="003A4656">
        <w:rPr>
          <w:sz w:val="22"/>
          <w:szCs w:val="22"/>
        </w:rPr>
        <w:t>individuals</w:t>
      </w:r>
      <w:r w:rsidR="00C941EF" w:rsidRPr="003A4656">
        <w:rPr>
          <w:sz w:val="22"/>
          <w:szCs w:val="22"/>
        </w:rPr>
        <w:t xml:space="preserve"> known to carry </w:t>
      </w:r>
      <w:r w:rsidRPr="003A4656">
        <w:rPr>
          <w:i/>
          <w:iCs/>
          <w:sz w:val="22"/>
          <w:szCs w:val="22"/>
        </w:rPr>
        <w:t>BRCA</w:t>
      </w:r>
      <w:r w:rsidRPr="003A4656">
        <w:rPr>
          <w:iCs/>
          <w:sz w:val="22"/>
          <w:szCs w:val="22"/>
        </w:rPr>
        <w:t xml:space="preserve"> gene</w:t>
      </w:r>
      <w:r w:rsidR="00C941EF" w:rsidRPr="003A4656">
        <w:rPr>
          <w:i/>
          <w:iCs/>
          <w:sz w:val="22"/>
          <w:szCs w:val="22"/>
        </w:rPr>
        <w:t xml:space="preserve"> </w:t>
      </w:r>
      <w:r w:rsidR="00C941EF" w:rsidRPr="003A4656">
        <w:rPr>
          <w:sz w:val="22"/>
          <w:szCs w:val="22"/>
        </w:rPr>
        <w:t>deleterious mutations.</w:t>
      </w:r>
    </w:p>
    <w:p w:rsidR="00C941EF" w:rsidRPr="003A4656" w:rsidRDefault="00C941EF" w:rsidP="0005572B">
      <w:pPr>
        <w:ind w:left="0" w:right="0"/>
        <w:rPr>
          <w:sz w:val="22"/>
          <w:szCs w:val="22"/>
        </w:rPr>
      </w:pPr>
    </w:p>
    <w:p w:rsidR="00C941EF" w:rsidRPr="003A4656" w:rsidRDefault="007E3B79" w:rsidP="00101298">
      <w:pPr>
        <w:ind w:left="0" w:right="0" w:firstLine="720"/>
        <w:rPr>
          <w:b/>
          <w:sz w:val="22"/>
          <w:szCs w:val="22"/>
        </w:rPr>
      </w:pPr>
      <w:r w:rsidRPr="003A4656">
        <w:rPr>
          <w:b/>
          <w:sz w:val="22"/>
          <w:szCs w:val="22"/>
        </w:rPr>
        <w:t>3</w:t>
      </w:r>
      <w:r w:rsidR="00C941EF" w:rsidRPr="003A4656">
        <w:rPr>
          <w:b/>
          <w:sz w:val="22"/>
          <w:szCs w:val="22"/>
        </w:rPr>
        <w:t>. Classification of Var</w:t>
      </w:r>
      <w:r w:rsidR="004A2316" w:rsidRPr="003A4656">
        <w:rPr>
          <w:b/>
          <w:sz w:val="22"/>
          <w:szCs w:val="22"/>
        </w:rPr>
        <w:t>iants of Uncertain Significance</w:t>
      </w:r>
    </w:p>
    <w:p w:rsidR="00C941EF" w:rsidRPr="003A4656" w:rsidRDefault="00C941EF" w:rsidP="0005572B">
      <w:pPr>
        <w:ind w:left="0" w:right="0"/>
        <w:rPr>
          <w:sz w:val="22"/>
          <w:szCs w:val="22"/>
        </w:rPr>
      </w:pPr>
    </w:p>
    <w:p w:rsidR="00C941EF" w:rsidRPr="003A4656" w:rsidRDefault="00C941EF" w:rsidP="0005572B">
      <w:pPr>
        <w:ind w:left="0" w:right="0"/>
        <w:rPr>
          <w:sz w:val="22"/>
          <w:szCs w:val="22"/>
        </w:rPr>
      </w:pPr>
      <w:r w:rsidRPr="003A4656">
        <w:rPr>
          <w:sz w:val="22"/>
          <w:szCs w:val="22"/>
        </w:rPr>
        <w:t xml:space="preserve">During the last few years, several approaches have been proposed for the evaluation of the clinical relevance of </w:t>
      </w:r>
      <w:r w:rsidR="004A2316" w:rsidRPr="003A4656">
        <w:rPr>
          <w:sz w:val="22"/>
          <w:szCs w:val="22"/>
        </w:rPr>
        <w:t>VUS</w:t>
      </w:r>
      <w:r w:rsidRPr="003A4656">
        <w:rPr>
          <w:sz w:val="22"/>
          <w:szCs w:val="22"/>
        </w:rPr>
        <w:t xml:space="preserve">. </w:t>
      </w:r>
      <w:r w:rsidR="0095130F" w:rsidRPr="003A4656">
        <w:rPr>
          <w:sz w:val="22"/>
          <w:szCs w:val="22"/>
        </w:rPr>
        <w:t>These approaches take into account different parameters, including</w:t>
      </w:r>
      <w:r w:rsidRPr="003A4656">
        <w:rPr>
          <w:sz w:val="22"/>
          <w:szCs w:val="22"/>
        </w:rPr>
        <w:t xml:space="preserve"> co-segregation with the disease, co</w:t>
      </w:r>
      <w:r w:rsidR="004A2316" w:rsidRPr="003A4656">
        <w:rPr>
          <w:sz w:val="22"/>
          <w:szCs w:val="22"/>
        </w:rPr>
        <w:t>-occurrence</w:t>
      </w:r>
      <w:r w:rsidRPr="003A4656">
        <w:rPr>
          <w:sz w:val="22"/>
          <w:szCs w:val="22"/>
        </w:rPr>
        <w:t xml:space="preserve"> with deleterious mutation</w:t>
      </w:r>
      <w:r w:rsidR="004A2316" w:rsidRPr="003A4656">
        <w:rPr>
          <w:sz w:val="22"/>
          <w:szCs w:val="22"/>
        </w:rPr>
        <w:t>s</w:t>
      </w:r>
      <w:r w:rsidRPr="003A4656">
        <w:rPr>
          <w:sz w:val="22"/>
          <w:szCs w:val="22"/>
        </w:rPr>
        <w:t>, personal and family history of cancer</w:t>
      </w:r>
      <w:r w:rsidR="004A2316" w:rsidRPr="003A4656">
        <w:rPr>
          <w:sz w:val="22"/>
          <w:szCs w:val="22"/>
        </w:rPr>
        <w:t xml:space="preserve"> of carriers of the VUS and pathological charac</w:t>
      </w:r>
      <w:r w:rsidR="00F8759D" w:rsidRPr="003A4656">
        <w:rPr>
          <w:sz w:val="22"/>
          <w:szCs w:val="22"/>
        </w:rPr>
        <w:t>teristics of associated tumours.</w:t>
      </w:r>
      <w:r w:rsidR="004A2316" w:rsidRPr="003A4656">
        <w:rPr>
          <w:sz w:val="22"/>
          <w:szCs w:val="22"/>
        </w:rPr>
        <w:t xml:space="preserve"> In addition</w:t>
      </w:r>
      <w:r w:rsidRPr="003A4656">
        <w:rPr>
          <w:sz w:val="22"/>
          <w:szCs w:val="22"/>
        </w:rPr>
        <w:t xml:space="preserve"> </w:t>
      </w:r>
      <w:r w:rsidRPr="003A4656">
        <w:rPr>
          <w:i/>
          <w:iCs/>
          <w:sz w:val="22"/>
          <w:szCs w:val="22"/>
        </w:rPr>
        <w:t xml:space="preserve">in silico </w:t>
      </w:r>
      <w:r w:rsidR="00363992" w:rsidRPr="003A4656">
        <w:rPr>
          <w:iCs/>
          <w:sz w:val="22"/>
          <w:szCs w:val="22"/>
        </w:rPr>
        <w:t>tools</w:t>
      </w:r>
      <w:r w:rsidR="00363992" w:rsidRPr="003A4656">
        <w:rPr>
          <w:i/>
          <w:iCs/>
          <w:sz w:val="22"/>
          <w:szCs w:val="22"/>
        </w:rPr>
        <w:t xml:space="preserve"> </w:t>
      </w:r>
      <w:r w:rsidR="004A2316" w:rsidRPr="003A4656">
        <w:rPr>
          <w:iCs/>
          <w:sz w:val="22"/>
          <w:szCs w:val="22"/>
        </w:rPr>
        <w:t>have been</w:t>
      </w:r>
      <w:r w:rsidR="004A2316" w:rsidRPr="003A4656">
        <w:rPr>
          <w:i/>
          <w:iCs/>
          <w:sz w:val="22"/>
          <w:szCs w:val="22"/>
        </w:rPr>
        <w:t xml:space="preserve"> </w:t>
      </w:r>
      <w:r w:rsidR="00363992" w:rsidRPr="003A4656">
        <w:rPr>
          <w:iCs/>
          <w:sz w:val="22"/>
          <w:szCs w:val="22"/>
        </w:rPr>
        <w:t>developed</w:t>
      </w:r>
      <w:r w:rsidR="004A2316" w:rsidRPr="003A4656">
        <w:rPr>
          <w:iCs/>
          <w:sz w:val="22"/>
          <w:szCs w:val="22"/>
        </w:rPr>
        <w:t xml:space="preserve"> for </w:t>
      </w:r>
      <w:r w:rsidR="00363992" w:rsidRPr="003A4656">
        <w:rPr>
          <w:iCs/>
          <w:sz w:val="22"/>
          <w:szCs w:val="22"/>
        </w:rPr>
        <w:t xml:space="preserve">the </w:t>
      </w:r>
      <w:r w:rsidR="004A2316" w:rsidRPr="003A4656">
        <w:rPr>
          <w:iCs/>
          <w:sz w:val="22"/>
          <w:szCs w:val="22"/>
        </w:rPr>
        <w:t xml:space="preserve">classification of missense variants based on the </w:t>
      </w:r>
      <w:r w:rsidRPr="003A4656">
        <w:rPr>
          <w:sz w:val="22"/>
          <w:szCs w:val="22"/>
        </w:rPr>
        <w:t xml:space="preserve">assessment of phylogenetic conservation </w:t>
      </w:r>
      <w:r w:rsidR="004A2316" w:rsidRPr="003A4656">
        <w:rPr>
          <w:sz w:val="22"/>
          <w:szCs w:val="22"/>
        </w:rPr>
        <w:t xml:space="preserve">of affected </w:t>
      </w:r>
      <w:r w:rsidR="00363992" w:rsidRPr="003A4656">
        <w:rPr>
          <w:sz w:val="22"/>
          <w:szCs w:val="22"/>
        </w:rPr>
        <w:t>protein residues</w:t>
      </w:r>
      <w:r w:rsidR="004A2316" w:rsidRPr="003A4656">
        <w:rPr>
          <w:sz w:val="22"/>
          <w:szCs w:val="22"/>
        </w:rPr>
        <w:t xml:space="preserve"> and the se</w:t>
      </w:r>
      <w:r w:rsidR="00363992" w:rsidRPr="003A4656">
        <w:rPr>
          <w:sz w:val="22"/>
          <w:szCs w:val="22"/>
        </w:rPr>
        <w:t>verity of amin</w:t>
      </w:r>
      <w:r w:rsidR="004A2316" w:rsidRPr="003A4656">
        <w:rPr>
          <w:sz w:val="22"/>
          <w:szCs w:val="22"/>
        </w:rPr>
        <w:t xml:space="preserve">o </w:t>
      </w:r>
      <w:r w:rsidR="00363992" w:rsidRPr="003A4656">
        <w:rPr>
          <w:sz w:val="22"/>
          <w:szCs w:val="22"/>
        </w:rPr>
        <w:t>acid changes, and for the identification of variants potentially affecting splicing. Finally, functional assays may be used to experimentally verify the effects of a VUS on gene</w:t>
      </w:r>
      <w:r w:rsidRPr="003A4656">
        <w:rPr>
          <w:sz w:val="22"/>
          <w:szCs w:val="22"/>
        </w:rPr>
        <w:t xml:space="preserve"> </w:t>
      </w:r>
      <w:r w:rsidR="00363992" w:rsidRPr="003A4656">
        <w:rPr>
          <w:sz w:val="22"/>
          <w:szCs w:val="22"/>
        </w:rPr>
        <w:t xml:space="preserve">activity </w:t>
      </w:r>
      <w:r w:rsidRPr="003A4656">
        <w:rPr>
          <w:sz w:val="22"/>
          <w:szCs w:val="22"/>
        </w:rPr>
        <w:t>(</w:t>
      </w:r>
      <w:r w:rsidRPr="003A4656">
        <w:rPr>
          <w:rFonts w:eastAsia="TimesNewRomanPS"/>
          <w:sz w:val="22"/>
          <w:szCs w:val="22"/>
        </w:rPr>
        <w:t>Goldgar D</w:t>
      </w:r>
      <w:r w:rsidR="00816261" w:rsidRPr="003A4656">
        <w:rPr>
          <w:rFonts w:eastAsia="TimesNewRomanPS"/>
          <w:sz w:val="22"/>
          <w:szCs w:val="22"/>
        </w:rPr>
        <w:t>.</w:t>
      </w:r>
      <w:r w:rsidRPr="003A4656">
        <w:rPr>
          <w:rFonts w:eastAsia="TimesNewRomanPS"/>
          <w:sz w:val="22"/>
          <w:szCs w:val="22"/>
        </w:rPr>
        <w:t>E</w:t>
      </w:r>
      <w:r w:rsidR="00816261" w:rsidRPr="003A4656">
        <w:rPr>
          <w:rFonts w:eastAsia="TimesNewRomanPS"/>
          <w:sz w:val="22"/>
          <w:szCs w:val="22"/>
        </w:rPr>
        <w:t>.</w:t>
      </w:r>
      <w:r w:rsidRPr="003A4656">
        <w:rPr>
          <w:rFonts w:eastAsia="TimesNewRomanPS"/>
          <w:sz w:val="22"/>
          <w:szCs w:val="22"/>
        </w:rPr>
        <w:t xml:space="preserve"> et al., 2004; Chenevix-Trench G</w:t>
      </w:r>
      <w:r w:rsidR="00816261" w:rsidRPr="003A4656">
        <w:rPr>
          <w:rFonts w:eastAsia="TimesNewRomanPS"/>
          <w:sz w:val="22"/>
          <w:szCs w:val="22"/>
        </w:rPr>
        <w:t>.</w:t>
      </w:r>
      <w:r w:rsidRPr="003A4656">
        <w:rPr>
          <w:rFonts w:eastAsia="TimesNewRomanPS"/>
          <w:sz w:val="22"/>
          <w:szCs w:val="22"/>
        </w:rPr>
        <w:t xml:space="preserve"> et al., 2006; Osorio A. et al., 2007; Easton D</w:t>
      </w:r>
      <w:r w:rsidR="00816261" w:rsidRPr="003A4656">
        <w:rPr>
          <w:rFonts w:eastAsia="TimesNewRomanPS"/>
          <w:sz w:val="22"/>
          <w:szCs w:val="22"/>
        </w:rPr>
        <w:t>.</w:t>
      </w:r>
      <w:r w:rsidRPr="003A4656">
        <w:rPr>
          <w:rFonts w:eastAsia="TimesNewRomanPS"/>
          <w:sz w:val="22"/>
          <w:szCs w:val="22"/>
        </w:rPr>
        <w:t>F</w:t>
      </w:r>
      <w:r w:rsidR="00816261" w:rsidRPr="003A4656">
        <w:rPr>
          <w:rFonts w:eastAsia="TimesNewRomanPS"/>
          <w:sz w:val="22"/>
          <w:szCs w:val="22"/>
        </w:rPr>
        <w:t>.</w:t>
      </w:r>
      <w:r w:rsidRPr="003A4656">
        <w:rPr>
          <w:rFonts w:eastAsia="TimesNewRomanPS"/>
          <w:sz w:val="22"/>
          <w:szCs w:val="22"/>
        </w:rPr>
        <w:t xml:space="preserve"> et al., 2007).</w:t>
      </w:r>
    </w:p>
    <w:p w:rsidR="00F8759D" w:rsidRPr="003A4656" w:rsidRDefault="00F8759D" w:rsidP="0005572B">
      <w:pPr>
        <w:ind w:left="0" w:right="0" w:firstLine="360"/>
        <w:rPr>
          <w:b/>
          <w:sz w:val="22"/>
          <w:szCs w:val="22"/>
        </w:rPr>
      </w:pPr>
    </w:p>
    <w:p w:rsidR="00C941EF" w:rsidRPr="003A4656" w:rsidRDefault="007E3B79" w:rsidP="0005572B">
      <w:pPr>
        <w:ind w:left="0" w:right="0" w:firstLine="360"/>
        <w:rPr>
          <w:b/>
          <w:sz w:val="22"/>
          <w:szCs w:val="22"/>
        </w:rPr>
      </w:pPr>
      <w:r w:rsidRPr="003A4656">
        <w:rPr>
          <w:b/>
          <w:sz w:val="22"/>
          <w:szCs w:val="22"/>
        </w:rPr>
        <w:t>3</w:t>
      </w:r>
      <w:r w:rsidR="00C941EF" w:rsidRPr="003A4656">
        <w:rPr>
          <w:b/>
          <w:sz w:val="22"/>
          <w:szCs w:val="22"/>
        </w:rPr>
        <w:t xml:space="preserve">.1 In Silico Tools </w:t>
      </w:r>
    </w:p>
    <w:p w:rsidR="00C941EF" w:rsidRPr="003A4656" w:rsidRDefault="00C941EF" w:rsidP="0005572B">
      <w:pPr>
        <w:ind w:left="0" w:right="0"/>
        <w:rPr>
          <w:sz w:val="22"/>
          <w:szCs w:val="22"/>
        </w:rPr>
      </w:pPr>
    </w:p>
    <w:p w:rsidR="00C941EF" w:rsidRPr="003A4656" w:rsidRDefault="00C941EF" w:rsidP="0005572B">
      <w:pPr>
        <w:ind w:left="0" w:right="0"/>
        <w:rPr>
          <w:sz w:val="22"/>
          <w:szCs w:val="22"/>
        </w:rPr>
      </w:pPr>
      <w:r w:rsidRPr="003A4656">
        <w:rPr>
          <w:sz w:val="22"/>
          <w:szCs w:val="22"/>
        </w:rPr>
        <w:t xml:space="preserve">A number of </w:t>
      </w:r>
      <w:r w:rsidRPr="003A4656">
        <w:rPr>
          <w:i/>
          <w:sz w:val="22"/>
          <w:szCs w:val="22"/>
        </w:rPr>
        <w:t>in silico</w:t>
      </w:r>
      <w:r w:rsidRPr="003A4656">
        <w:rPr>
          <w:sz w:val="22"/>
          <w:szCs w:val="22"/>
        </w:rPr>
        <w:t xml:space="preserve"> methods based on orthologous protein sequence alignments are available for predicting the influence of variants on protein activity. </w:t>
      </w:r>
      <w:r w:rsidR="00363992" w:rsidRPr="003A4656">
        <w:rPr>
          <w:sz w:val="22"/>
          <w:szCs w:val="22"/>
        </w:rPr>
        <w:t>One of these is</w:t>
      </w:r>
      <w:r w:rsidRPr="003A4656">
        <w:rPr>
          <w:sz w:val="22"/>
          <w:szCs w:val="22"/>
        </w:rPr>
        <w:t xml:space="preserve"> </w:t>
      </w:r>
      <w:r w:rsidR="00363992" w:rsidRPr="003A4656">
        <w:rPr>
          <w:sz w:val="22"/>
          <w:szCs w:val="22"/>
        </w:rPr>
        <w:t xml:space="preserve">the </w:t>
      </w:r>
      <w:r w:rsidRPr="003A4656">
        <w:rPr>
          <w:sz w:val="22"/>
          <w:szCs w:val="22"/>
        </w:rPr>
        <w:t>Align-GVGD</w:t>
      </w:r>
      <w:r w:rsidR="00DE4BE6" w:rsidRPr="003A4656">
        <w:rPr>
          <w:sz w:val="22"/>
          <w:szCs w:val="22"/>
        </w:rPr>
        <w:t xml:space="preserve"> algorithm (</w:t>
      </w:r>
      <w:hyperlink r:id="rId34" w:history="1">
        <w:r w:rsidRPr="003A4656">
          <w:rPr>
            <w:rStyle w:val="Hyperlink"/>
            <w:sz w:val="22"/>
            <w:szCs w:val="22"/>
          </w:rPr>
          <w:t>http://agvgd.iarc.fr/alignments.php</w:t>
        </w:r>
      </w:hyperlink>
      <w:r w:rsidRPr="003A4656">
        <w:rPr>
          <w:sz w:val="22"/>
          <w:szCs w:val="22"/>
        </w:rPr>
        <w:t xml:space="preserve">). </w:t>
      </w:r>
      <w:r w:rsidR="00DE4BE6" w:rsidRPr="003A4656">
        <w:rPr>
          <w:sz w:val="22"/>
          <w:szCs w:val="22"/>
        </w:rPr>
        <w:t xml:space="preserve">Align-GVGD </w:t>
      </w:r>
      <w:r w:rsidRPr="003A4656">
        <w:rPr>
          <w:sz w:val="22"/>
          <w:szCs w:val="22"/>
        </w:rPr>
        <w:t xml:space="preserve">combines the biophysical characteristics of amino acids and multiple sequence alignments of proteins, weighing the cross species conservation of a particular amino acid and its specific physical characteristics, to predict where missense </w:t>
      </w:r>
      <w:r w:rsidR="00DE4BE6" w:rsidRPr="003A4656">
        <w:rPr>
          <w:sz w:val="22"/>
          <w:szCs w:val="22"/>
        </w:rPr>
        <w:t xml:space="preserve">variants </w:t>
      </w:r>
      <w:r w:rsidRPr="003A4656">
        <w:rPr>
          <w:sz w:val="22"/>
          <w:szCs w:val="22"/>
        </w:rPr>
        <w:t xml:space="preserve">fall in a spectrum from enriched deleterious to enriched neutral </w:t>
      </w:r>
      <w:r w:rsidR="00DE4BE6" w:rsidRPr="003A4656">
        <w:rPr>
          <w:sz w:val="22"/>
          <w:szCs w:val="22"/>
        </w:rPr>
        <w:t xml:space="preserve">substitutions </w:t>
      </w:r>
      <w:r w:rsidRPr="003A4656">
        <w:rPr>
          <w:sz w:val="22"/>
          <w:szCs w:val="22"/>
        </w:rPr>
        <w:t>(Tavtigian S</w:t>
      </w:r>
      <w:r w:rsidR="00523BF4" w:rsidRPr="003A4656">
        <w:rPr>
          <w:sz w:val="22"/>
          <w:szCs w:val="22"/>
        </w:rPr>
        <w:t>.</w:t>
      </w:r>
      <w:r w:rsidRPr="003A4656">
        <w:rPr>
          <w:sz w:val="22"/>
          <w:szCs w:val="22"/>
        </w:rPr>
        <w:t>V</w:t>
      </w:r>
      <w:r w:rsidR="00523BF4" w:rsidRPr="003A4656">
        <w:rPr>
          <w:sz w:val="22"/>
          <w:szCs w:val="22"/>
        </w:rPr>
        <w:t>.</w:t>
      </w:r>
      <w:r w:rsidRPr="003A4656">
        <w:rPr>
          <w:sz w:val="22"/>
          <w:szCs w:val="22"/>
        </w:rPr>
        <w:t xml:space="preserve"> et al., 2006)</w:t>
      </w:r>
      <w:r w:rsidR="00DE4BE6" w:rsidRPr="003A4656">
        <w:rPr>
          <w:sz w:val="22"/>
          <w:szCs w:val="22"/>
        </w:rPr>
        <w:t>.</w:t>
      </w:r>
      <w:r w:rsidRPr="003A4656">
        <w:rPr>
          <w:sz w:val="22"/>
          <w:szCs w:val="22"/>
        </w:rPr>
        <w:t xml:space="preserve"> Align-GVGD scores amino acid substitutions on a 7-scale scoring system, from C0 to C65. An amino acid substitution with a C0 score is considered to be neutral, C15 and C25 scores are considered </w:t>
      </w:r>
      <w:r w:rsidR="00F8759D" w:rsidRPr="003A4656">
        <w:rPr>
          <w:sz w:val="22"/>
          <w:szCs w:val="22"/>
        </w:rPr>
        <w:t xml:space="preserve">at </w:t>
      </w:r>
      <w:r w:rsidRPr="003A4656">
        <w:rPr>
          <w:sz w:val="22"/>
          <w:szCs w:val="22"/>
        </w:rPr>
        <w:t>intermediate</w:t>
      </w:r>
      <w:r w:rsidR="00F8759D" w:rsidRPr="003A4656">
        <w:rPr>
          <w:sz w:val="22"/>
          <w:szCs w:val="22"/>
        </w:rPr>
        <w:t xml:space="preserve"> level of pathogenicity</w:t>
      </w:r>
      <w:r w:rsidRPr="003A4656">
        <w:rPr>
          <w:sz w:val="22"/>
          <w:szCs w:val="22"/>
        </w:rPr>
        <w:t xml:space="preserve">, as </w:t>
      </w:r>
      <w:r w:rsidR="00DE4BE6" w:rsidRPr="003A4656">
        <w:rPr>
          <w:sz w:val="22"/>
          <w:szCs w:val="22"/>
        </w:rPr>
        <w:t xml:space="preserve">the consequence of </w:t>
      </w:r>
      <w:r w:rsidRPr="003A4656">
        <w:rPr>
          <w:sz w:val="22"/>
          <w:szCs w:val="22"/>
        </w:rPr>
        <w:t xml:space="preserve">changes </w:t>
      </w:r>
      <w:r w:rsidR="00DE4BE6" w:rsidRPr="003A4656">
        <w:rPr>
          <w:sz w:val="22"/>
          <w:szCs w:val="22"/>
        </w:rPr>
        <w:t>on</w:t>
      </w:r>
      <w:r w:rsidRPr="003A4656">
        <w:rPr>
          <w:sz w:val="22"/>
          <w:szCs w:val="22"/>
        </w:rPr>
        <w:t xml:space="preserve"> protein structure or function are uncertain, and C35 scores or higher are considered as </w:t>
      </w:r>
      <w:r w:rsidR="00DE4BE6" w:rsidRPr="003A4656">
        <w:rPr>
          <w:sz w:val="22"/>
          <w:szCs w:val="22"/>
        </w:rPr>
        <w:t>possible or likely</w:t>
      </w:r>
      <w:r w:rsidRPr="003A4656">
        <w:rPr>
          <w:sz w:val="22"/>
          <w:szCs w:val="22"/>
        </w:rPr>
        <w:t xml:space="preserve"> deleterious</w:t>
      </w:r>
      <w:r w:rsidR="00DE4BE6" w:rsidRPr="003A4656">
        <w:rPr>
          <w:sz w:val="22"/>
          <w:szCs w:val="22"/>
        </w:rPr>
        <w:t xml:space="preserve">. </w:t>
      </w:r>
    </w:p>
    <w:p w:rsidR="00C941EF" w:rsidRPr="003A4656" w:rsidRDefault="00C941EF" w:rsidP="0005572B">
      <w:pPr>
        <w:ind w:left="0" w:right="0"/>
        <w:rPr>
          <w:sz w:val="22"/>
          <w:szCs w:val="22"/>
        </w:rPr>
      </w:pPr>
      <w:r w:rsidRPr="003A4656">
        <w:rPr>
          <w:sz w:val="22"/>
          <w:szCs w:val="22"/>
        </w:rPr>
        <w:t xml:space="preserve">Other </w:t>
      </w:r>
      <w:r w:rsidRPr="003A4656">
        <w:rPr>
          <w:i/>
          <w:sz w:val="22"/>
          <w:szCs w:val="22"/>
        </w:rPr>
        <w:t>in silico</w:t>
      </w:r>
      <w:r w:rsidRPr="003A4656">
        <w:rPr>
          <w:sz w:val="22"/>
          <w:szCs w:val="22"/>
        </w:rPr>
        <w:t xml:space="preserve"> programs are Sorting I</w:t>
      </w:r>
      <w:r w:rsidR="00F80DC5" w:rsidRPr="003A4656">
        <w:rPr>
          <w:sz w:val="22"/>
          <w:szCs w:val="22"/>
        </w:rPr>
        <w:t xml:space="preserve">ntolerant </w:t>
      </w:r>
      <w:proofErr w:type="gramStart"/>
      <w:r w:rsidR="00F80DC5" w:rsidRPr="003A4656">
        <w:rPr>
          <w:sz w:val="22"/>
          <w:szCs w:val="22"/>
        </w:rPr>
        <w:t>From</w:t>
      </w:r>
      <w:proofErr w:type="gramEnd"/>
      <w:r w:rsidR="00F80DC5" w:rsidRPr="003A4656">
        <w:rPr>
          <w:sz w:val="22"/>
          <w:szCs w:val="22"/>
        </w:rPr>
        <w:t xml:space="preserve"> Tolerant (SIFT)</w:t>
      </w:r>
      <w:r w:rsidRPr="003A4656">
        <w:rPr>
          <w:sz w:val="22"/>
          <w:szCs w:val="22"/>
        </w:rPr>
        <w:t>, and Polymorphism Phenotyping (PolyPhen). These methods are based on the notion that phylogenetic conservation of protein sequence throughout evolution reflects the requirement for certain amino acids for protein activity.</w:t>
      </w:r>
    </w:p>
    <w:p w:rsidR="00A469D6" w:rsidRPr="003A4656" w:rsidRDefault="00C941EF" w:rsidP="0005572B">
      <w:pPr>
        <w:ind w:left="0" w:right="0"/>
        <w:rPr>
          <w:sz w:val="22"/>
          <w:szCs w:val="22"/>
        </w:rPr>
      </w:pPr>
      <w:r w:rsidRPr="003A4656">
        <w:rPr>
          <w:sz w:val="22"/>
          <w:szCs w:val="22"/>
        </w:rPr>
        <w:t xml:space="preserve">SIFT </w:t>
      </w:r>
      <w:r w:rsidR="00F80DC5" w:rsidRPr="003A4656">
        <w:rPr>
          <w:sz w:val="22"/>
          <w:szCs w:val="22"/>
        </w:rPr>
        <w:t>(</w:t>
      </w:r>
      <w:hyperlink r:id="rId35" w:history="1">
        <w:r w:rsidR="003F198E" w:rsidRPr="003A4656">
          <w:rPr>
            <w:rStyle w:val="Hyperlink"/>
            <w:sz w:val="22"/>
            <w:szCs w:val="22"/>
          </w:rPr>
          <w:t>http://sift.jcvi.org</w:t>
        </w:r>
      </w:hyperlink>
      <w:r w:rsidR="00F80DC5" w:rsidRPr="003A4656">
        <w:rPr>
          <w:sz w:val="22"/>
          <w:szCs w:val="22"/>
        </w:rPr>
        <w:t xml:space="preserve">), </w:t>
      </w:r>
      <w:r w:rsidRPr="003A4656">
        <w:rPr>
          <w:sz w:val="22"/>
          <w:szCs w:val="22"/>
        </w:rPr>
        <w:t xml:space="preserve">is a multiple sequence alignment tool that was developed based on the idea that amino acids </w:t>
      </w:r>
      <w:proofErr w:type="gramStart"/>
      <w:r w:rsidR="00F8759D" w:rsidRPr="003A4656">
        <w:rPr>
          <w:sz w:val="22"/>
          <w:szCs w:val="22"/>
        </w:rPr>
        <w:t xml:space="preserve">that </w:t>
      </w:r>
      <w:r w:rsidRPr="003A4656">
        <w:rPr>
          <w:sz w:val="22"/>
          <w:szCs w:val="22"/>
        </w:rPr>
        <w:t xml:space="preserve"> play</w:t>
      </w:r>
      <w:proofErr w:type="gramEnd"/>
      <w:r w:rsidRPr="003A4656">
        <w:rPr>
          <w:sz w:val="22"/>
          <w:szCs w:val="22"/>
        </w:rPr>
        <w:t xml:space="preserve"> an important role </w:t>
      </w:r>
      <w:r w:rsidR="00F8759D" w:rsidRPr="003A4656">
        <w:rPr>
          <w:sz w:val="22"/>
          <w:szCs w:val="22"/>
        </w:rPr>
        <w:t xml:space="preserve">on protein function </w:t>
      </w:r>
      <w:r w:rsidRPr="003A4656">
        <w:rPr>
          <w:sz w:val="22"/>
          <w:szCs w:val="22"/>
        </w:rPr>
        <w:t>tends to be conserved in the protein family, so changes at these sites would be deleterious (Ng P</w:t>
      </w:r>
      <w:r w:rsidR="00A469D6" w:rsidRPr="003A4656">
        <w:rPr>
          <w:sz w:val="22"/>
          <w:szCs w:val="22"/>
        </w:rPr>
        <w:t>.</w:t>
      </w:r>
      <w:r w:rsidR="00476910" w:rsidRPr="003A4656">
        <w:rPr>
          <w:sz w:val="22"/>
          <w:szCs w:val="22"/>
        </w:rPr>
        <w:t>C</w:t>
      </w:r>
      <w:r w:rsidR="00A469D6" w:rsidRPr="003A4656">
        <w:rPr>
          <w:sz w:val="22"/>
          <w:szCs w:val="22"/>
        </w:rPr>
        <w:t>.</w:t>
      </w:r>
      <w:r w:rsidRPr="003A4656">
        <w:rPr>
          <w:sz w:val="22"/>
          <w:szCs w:val="22"/>
        </w:rPr>
        <w:t xml:space="preserve"> and Henikoff S</w:t>
      </w:r>
      <w:r w:rsidR="00A469D6" w:rsidRPr="003A4656">
        <w:rPr>
          <w:sz w:val="22"/>
          <w:szCs w:val="22"/>
        </w:rPr>
        <w:t>.</w:t>
      </w:r>
      <w:r w:rsidRPr="003A4656">
        <w:rPr>
          <w:sz w:val="22"/>
          <w:szCs w:val="22"/>
        </w:rPr>
        <w:t>, 2003</w:t>
      </w:r>
      <w:r w:rsidR="00D01106" w:rsidRPr="003A4656">
        <w:rPr>
          <w:sz w:val="22"/>
          <w:szCs w:val="22"/>
        </w:rPr>
        <w:t>, Ng P.C. and Henikoff S., 2001; Tchernitchko D. et al., 2004; Ng P.C. and Henikoff S.,</w:t>
      </w:r>
      <w:r w:rsidR="00A853C8" w:rsidRPr="003A4656">
        <w:rPr>
          <w:sz w:val="22"/>
          <w:szCs w:val="22"/>
        </w:rPr>
        <w:t xml:space="preserve"> </w:t>
      </w:r>
      <w:r w:rsidR="00D01106" w:rsidRPr="003A4656">
        <w:rPr>
          <w:sz w:val="22"/>
          <w:szCs w:val="22"/>
        </w:rPr>
        <w:t>2002</w:t>
      </w:r>
      <w:r w:rsidRPr="003A4656">
        <w:rPr>
          <w:sz w:val="22"/>
          <w:szCs w:val="22"/>
        </w:rPr>
        <w:t>).</w:t>
      </w:r>
      <w:r w:rsidR="00373A89" w:rsidRPr="003A4656">
        <w:rPr>
          <w:sz w:val="22"/>
          <w:szCs w:val="22"/>
        </w:rPr>
        <w:t xml:space="preserve"> </w:t>
      </w:r>
      <w:r w:rsidR="00A469D6" w:rsidRPr="003A4656">
        <w:rPr>
          <w:rFonts w:eastAsiaTheme="minorHAnsi"/>
          <w:sz w:val="22"/>
          <w:szCs w:val="22"/>
          <w:lang w:eastAsia="en-US"/>
        </w:rPr>
        <w:t>For a given protein sequence, SIFT compiles a dataset of functionally related protein sequences by searching a protein database using the PSI-BLAST algorithm (Altschul S.F. et al., 1997). It then builds an alignment from the homologous sequences with the query sequence. In the second step of the algorithm, SIFT</w:t>
      </w:r>
      <w:r w:rsidR="00373A89" w:rsidRPr="003A4656">
        <w:rPr>
          <w:rFonts w:eastAsiaTheme="minorHAnsi"/>
          <w:sz w:val="22"/>
          <w:szCs w:val="22"/>
          <w:lang w:eastAsia="en-US"/>
        </w:rPr>
        <w:t xml:space="preserve"> </w:t>
      </w:r>
      <w:r w:rsidR="00A469D6" w:rsidRPr="003A4656">
        <w:rPr>
          <w:rFonts w:eastAsiaTheme="minorHAnsi"/>
          <w:sz w:val="22"/>
          <w:szCs w:val="22"/>
          <w:lang w:eastAsia="en-US"/>
        </w:rPr>
        <w:t>scans each position in the alignment and calculates the probabilities for all possible 20 amino acids at that position. These probabilities are normalized by the probability of the most frequent amino acid and are recorded in a scaled probability matrix. SIFT predicts a substitution to affect protein function if the scaled probability, also termed the SIFTscore, lies below a certain threshold value. Generally, a highly conserved position is intolerant to most substitutions, whereas a poorly conserved position can tolerate most substitutions (</w:t>
      </w:r>
      <w:r w:rsidR="00A469D6" w:rsidRPr="003A4656">
        <w:rPr>
          <w:rFonts w:eastAsia="TimesNewRomanPS"/>
          <w:sz w:val="22"/>
          <w:szCs w:val="22"/>
        </w:rPr>
        <w:t>Kumar P. et al, 2009</w:t>
      </w:r>
      <w:r w:rsidR="00A469D6" w:rsidRPr="003A4656">
        <w:rPr>
          <w:rFonts w:eastAsiaTheme="minorHAnsi"/>
          <w:sz w:val="22"/>
          <w:szCs w:val="22"/>
          <w:lang w:eastAsia="en-US"/>
        </w:rPr>
        <w:t>).</w:t>
      </w:r>
    </w:p>
    <w:p w:rsidR="009D0692" w:rsidRPr="003A4656" w:rsidRDefault="00C941EF" w:rsidP="0005572B">
      <w:pPr>
        <w:ind w:left="0" w:right="0"/>
        <w:rPr>
          <w:sz w:val="22"/>
          <w:szCs w:val="22"/>
        </w:rPr>
      </w:pPr>
      <w:r w:rsidRPr="003A4656">
        <w:rPr>
          <w:sz w:val="22"/>
          <w:szCs w:val="22"/>
        </w:rPr>
        <w:t>PolyPhen</w:t>
      </w:r>
      <w:r w:rsidR="003B0282" w:rsidRPr="003A4656">
        <w:rPr>
          <w:sz w:val="22"/>
          <w:szCs w:val="22"/>
        </w:rPr>
        <w:t>2</w:t>
      </w:r>
      <w:r w:rsidRPr="003A4656">
        <w:rPr>
          <w:sz w:val="22"/>
          <w:szCs w:val="22"/>
        </w:rPr>
        <w:t xml:space="preserve"> </w:t>
      </w:r>
      <w:r w:rsidR="003F198E" w:rsidRPr="003A4656">
        <w:rPr>
          <w:sz w:val="22"/>
          <w:szCs w:val="22"/>
        </w:rPr>
        <w:t>(</w:t>
      </w:r>
      <w:r w:rsidR="003B0282" w:rsidRPr="003A4656">
        <w:rPr>
          <w:sz w:val="22"/>
          <w:szCs w:val="22"/>
        </w:rPr>
        <w:t>Polymorphism Phenotyping v2;</w:t>
      </w:r>
      <w:r w:rsidR="003B0282" w:rsidRPr="003A4656">
        <w:rPr>
          <w:bCs/>
          <w:sz w:val="22"/>
          <w:szCs w:val="22"/>
        </w:rPr>
        <w:t xml:space="preserve"> </w:t>
      </w:r>
      <w:hyperlink r:id="rId36" w:history="1">
        <w:r w:rsidR="003F198E" w:rsidRPr="003A4656">
          <w:rPr>
            <w:rStyle w:val="Hyperlink"/>
            <w:sz w:val="22"/>
            <w:szCs w:val="22"/>
          </w:rPr>
          <w:t>http://genetics.bwh.harvard.edu/pph2/</w:t>
        </w:r>
      </w:hyperlink>
      <w:r w:rsidR="003F198E" w:rsidRPr="003A4656">
        <w:rPr>
          <w:sz w:val="22"/>
          <w:szCs w:val="22"/>
        </w:rPr>
        <w:t xml:space="preserve">) </w:t>
      </w:r>
      <w:r w:rsidR="009D0692" w:rsidRPr="003A4656">
        <w:rPr>
          <w:sz w:val="22"/>
          <w:szCs w:val="22"/>
        </w:rPr>
        <w:t>classifies VUS</w:t>
      </w:r>
      <w:r w:rsidRPr="003A4656">
        <w:rPr>
          <w:sz w:val="22"/>
          <w:szCs w:val="22"/>
        </w:rPr>
        <w:t xml:space="preserve"> based on the functional effect of each missense variant into three categories (probably damaging or deleterious, possibly damaging, and benign)</w:t>
      </w:r>
      <w:r w:rsidR="009D0692" w:rsidRPr="003A4656">
        <w:rPr>
          <w:sz w:val="22"/>
          <w:szCs w:val="22"/>
        </w:rPr>
        <w:t xml:space="preserve"> (Ramensky V. et al., 2002)</w:t>
      </w:r>
      <w:r w:rsidRPr="003A4656">
        <w:rPr>
          <w:sz w:val="22"/>
          <w:szCs w:val="22"/>
        </w:rPr>
        <w:t>. This model makes use of the chemical characteristics of the substitution site, the alignment of homologous sequences and protei</w:t>
      </w:r>
      <w:r w:rsidR="009D0692" w:rsidRPr="003A4656">
        <w:rPr>
          <w:sz w:val="22"/>
          <w:szCs w:val="22"/>
        </w:rPr>
        <w:t>n three-dimensional structures.</w:t>
      </w:r>
    </w:p>
    <w:p w:rsidR="009D0692" w:rsidRPr="003A4656" w:rsidRDefault="009D0692" w:rsidP="0005572B">
      <w:pPr>
        <w:ind w:left="0" w:right="0"/>
        <w:rPr>
          <w:sz w:val="22"/>
          <w:szCs w:val="22"/>
        </w:rPr>
      </w:pPr>
      <w:r w:rsidRPr="003A4656">
        <w:rPr>
          <w:sz w:val="22"/>
          <w:szCs w:val="22"/>
        </w:rPr>
        <w:t>All the above depicted bioinformatic programs are</w:t>
      </w:r>
      <w:r w:rsidR="00C941EF" w:rsidRPr="003A4656">
        <w:rPr>
          <w:sz w:val="22"/>
          <w:szCs w:val="22"/>
        </w:rPr>
        <w:t xml:space="preserve"> limited to the classification of missense variants, leaving unresolved the problem of how </w:t>
      </w:r>
      <w:r w:rsidRPr="003A4656">
        <w:rPr>
          <w:sz w:val="22"/>
          <w:szCs w:val="22"/>
        </w:rPr>
        <w:t>to interpret other types of VUS.</w:t>
      </w:r>
      <w:r w:rsidR="00F8759D" w:rsidRPr="003A4656">
        <w:rPr>
          <w:sz w:val="22"/>
          <w:szCs w:val="22"/>
        </w:rPr>
        <w:t xml:space="preserve"> In fact, o</w:t>
      </w:r>
      <w:r w:rsidRPr="003A4656">
        <w:rPr>
          <w:sz w:val="22"/>
          <w:szCs w:val="22"/>
        </w:rPr>
        <w:t xml:space="preserve">ther </w:t>
      </w:r>
      <w:r w:rsidRPr="003A4656">
        <w:rPr>
          <w:i/>
          <w:sz w:val="22"/>
          <w:szCs w:val="22"/>
        </w:rPr>
        <w:t>in silico</w:t>
      </w:r>
      <w:r w:rsidRPr="003A4656">
        <w:rPr>
          <w:sz w:val="22"/>
          <w:szCs w:val="22"/>
        </w:rPr>
        <w:t xml:space="preserve"> tools </w:t>
      </w:r>
      <w:proofErr w:type="gramStart"/>
      <w:r w:rsidR="00F8759D" w:rsidRPr="003A4656">
        <w:rPr>
          <w:sz w:val="22"/>
          <w:szCs w:val="22"/>
        </w:rPr>
        <w:t>have</w:t>
      </w:r>
      <w:proofErr w:type="gramEnd"/>
      <w:r w:rsidR="00F8759D" w:rsidRPr="003A4656">
        <w:rPr>
          <w:sz w:val="22"/>
          <w:szCs w:val="22"/>
        </w:rPr>
        <w:t xml:space="preserve"> been developed</w:t>
      </w:r>
      <w:r w:rsidR="004F186C" w:rsidRPr="003A4656">
        <w:rPr>
          <w:sz w:val="22"/>
          <w:szCs w:val="22"/>
        </w:rPr>
        <w:t xml:space="preserve"> for the prediction of VUS</w:t>
      </w:r>
      <w:r w:rsidR="00F8759D" w:rsidRPr="003A4656">
        <w:rPr>
          <w:sz w:val="22"/>
          <w:szCs w:val="22"/>
        </w:rPr>
        <w:t xml:space="preserve"> potentially affecting splicing. These</w:t>
      </w:r>
      <w:r w:rsidR="004F186C" w:rsidRPr="003A4656">
        <w:rPr>
          <w:sz w:val="22"/>
          <w:szCs w:val="22"/>
        </w:rPr>
        <w:t xml:space="preserve"> incl</w:t>
      </w:r>
      <w:r w:rsidR="001B1983" w:rsidRPr="003A4656">
        <w:rPr>
          <w:sz w:val="22"/>
          <w:szCs w:val="22"/>
        </w:rPr>
        <w:t xml:space="preserve">ude </w:t>
      </w:r>
      <w:r w:rsidR="00F8759D" w:rsidRPr="003A4656">
        <w:rPr>
          <w:sz w:val="22"/>
          <w:szCs w:val="22"/>
        </w:rPr>
        <w:t>‘</w:t>
      </w:r>
      <w:r w:rsidR="00BE2886" w:rsidRPr="003A4656">
        <w:rPr>
          <w:sz w:val="22"/>
          <w:szCs w:val="22"/>
        </w:rPr>
        <w:t>splice site predictio</w:t>
      </w:r>
      <w:r w:rsidR="001A0956" w:rsidRPr="003A4656">
        <w:rPr>
          <w:sz w:val="22"/>
          <w:szCs w:val="22"/>
        </w:rPr>
        <w:t>n by neural network</w:t>
      </w:r>
      <w:r w:rsidR="00F8759D" w:rsidRPr="003A4656">
        <w:rPr>
          <w:sz w:val="22"/>
          <w:szCs w:val="22"/>
        </w:rPr>
        <w:t>’</w:t>
      </w:r>
      <w:r w:rsidR="001A0956" w:rsidRPr="003A4656">
        <w:rPr>
          <w:sz w:val="22"/>
          <w:szCs w:val="22"/>
        </w:rPr>
        <w:t xml:space="preserve"> (NNSplice) (</w:t>
      </w:r>
      <w:r w:rsidR="00BE2886" w:rsidRPr="003A4656">
        <w:rPr>
          <w:sz w:val="22"/>
          <w:szCs w:val="22"/>
        </w:rPr>
        <w:t>Reese</w:t>
      </w:r>
      <w:r w:rsidR="00523BF4" w:rsidRPr="003A4656">
        <w:rPr>
          <w:sz w:val="22"/>
          <w:szCs w:val="22"/>
        </w:rPr>
        <w:t xml:space="preserve"> M.</w:t>
      </w:r>
      <w:r w:rsidR="00BE2886" w:rsidRPr="003A4656">
        <w:rPr>
          <w:sz w:val="22"/>
          <w:szCs w:val="22"/>
        </w:rPr>
        <w:t xml:space="preserve"> et al., 1997</w:t>
      </w:r>
      <w:r w:rsidR="001A0956" w:rsidRPr="003A4656">
        <w:rPr>
          <w:sz w:val="22"/>
          <w:szCs w:val="22"/>
        </w:rPr>
        <w:t xml:space="preserve">), </w:t>
      </w:r>
      <w:r w:rsidR="00F8759D" w:rsidRPr="003A4656">
        <w:rPr>
          <w:sz w:val="22"/>
          <w:szCs w:val="22"/>
        </w:rPr>
        <w:t>‘</w:t>
      </w:r>
      <w:r w:rsidR="001A0956" w:rsidRPr="003A4656">
        <w:rPr>
          <w:sz w:val="22"/>
          <w:szCs w:val="22"/>
        </w:rPr>
        <w:t xml:space="preserve">splice site finder </w:t>
      </w:r>
      <w:r w:rsidR="00F8759D" w:rsidRPr="003A4656">
        <w:rPr>
          <w:sz w:val="22"/>
          <w:szCs w:val="22"/>
        </w:rPr>
        <w:t>‘</w:t>
      </w:r>
      <w:r w:rsidR="001A0956" w:rsidRPr="003A4656">
        <w:rPr>
          <w:sz w:val="22"/>
          <w:szCs w:val="22"/>
        </w:rPr>
        <w:t xml:space="preserve">(SSF) (Shapiro </w:t>
      </w:r>
      <w:r w:rsidR="00523BF4" w:rsidRPr="003A4656">
        <w:rPr>
          <w:sz w:val="22"/>
          <w:szCs w:val="22"/>
        </w:rPr>
        <w:t xml:space="preserve">M.B. </w:t>
      </w:r>
      <w:r w:rsidR="001A0956" w:rsidRPr="003A4656">
        <w:rPr>
          <w:sz w:val="22"/>
          <w:szCs w:val="22"/>
        </w:rPr>
        <w:t>and Senapathy</w:t>
      </w:r>
      <w:r w:rsidR="00523BF4" w:rsidRPr="003A4656">
        <w:rPr>
          <w:sz w:val="22"/>
          <w:szCs w:val="22"/>
        </w:rPr>
        <w:t xml:space="preserve"> P.</w:t>
      </w:r>
      <w:r w:rsidR="001A0956" w:rsidRPr="003A4656">
        <w:rPr>
          <w:sz w:val="22"/>
          <w:szCs w:val="22"/>
        </w:rPr>
        <w:t>, 1987)</w:t>
      </w:r>
      <w:r w:rsidR="00BE2886" w:rsidRPr="003A4656">
        <w:rPr>
          <w:sz w:val="22"/>
          <w:szCs w:val="22"/>
        </w:rPr>
        <w:t xml:space="preserve">, </w:t>
      </w:r>
      <w:r w:rsidR="00F8759D" w:rsidRPr="003A4656">
        <w:rPr>
          <w:sz w:val="22"/>
          <w:szCs w:val="22"/>
        </w:rPr>
        <w:t>‘</w:t>
      </w:r>
      <w:r w:rsidR="00BE2886" w:rsidRPr="003A4656">
        <w:rPr>
          <w:sz w:val="22"/>
          <w:szCs w:val="22"/>
        </w:rPr>
        <w:t>Max-EntScan</w:t>
      </w:r>
      <w:r w:rsidR="00F8759D" w:rsidRPr="003A4656">
        <w:rPr>
          <w:sz w:val="22"/>
          <w:szCs w:val="22"/>
        </w:rPr>
        <w:t>’</w:t>
      </w:r>
      <w:r w:rsidR="00BE2886" w:rsidRPr="003A4656">
        <w:rPr>
          <w:sz w:val="22"/>
          <w:szCs w:val="22"/>
        </w:rPr>
        <w:t xml:space="preserve"> (MES) </w:t>
      </w:r>
      <w:r w:rsidR="001A0956" w:rsidRPr="003A4656">
        <w:rPr>
          <w:sz w:val="22"/>
          <w:szCs w:val="22"/>
        </w:rPr>
        <w:t>(</w:t>
      </w:r>
      <w:r w:rsidR="00BE2886" w:rsidRPr="003A4656">
        <w:rPr>
          <w:sz w:val="22"/>
          <w:szCs w:val="22"/>
        </w:rPr>
        <w:t>Yeo</w:t>
      </w:r>
      <w:r w:rsidR="00523BF4" w:rsidRPr="003A4656">
        <w:rPr>
          <w:sz w:val="22"/>
          <w:szCs w:val="22"/>
        </w:rPr>
        <w:t xml:space="preserve"> C.</w:t>
      </w:r>
      <w:r w:rsidR="00BE2886" w:rsidRPr="003A4656">
        <w:rPr>
          <w:sz w:val="22"/>
          <w:szCs w:val="22"/>
        </w:rPr>
        <w:t xml:space="preserve"> and Burge</w:t>
      </w:r>
      <w:r w:rsidR="00523BF4" w:rsidRPr="003A4656">
        <w:rPr>
          <w:sz w:val="22"/>
          <w:szCs w:val="22"/>
        </w:rPr>
        <w:t xml:space="preserve"> G.B.</w:t>
      </w:r>
      <w:r w:rsidR="00BE2886" w:rsidRPr="003A4656">
        <w:rPr>
          <w:sz w:val="22"/>
          <w:szCs w:val="22"/>
        </w:rPr>
        <w:t>, 2004</w:t>
      </w:r>
      <w:r w:rsidR="001A0956" w:rsidRPr="003A4656">
        <w:rPr>
          <w:sz w:val="22"/>
          <w:szCs w:val="22"/>
        </w:rPr>
        <w:t>)</w:t>
      </w:r>
      <w:r w:rsidR="00BE2886" w:rsidRPr="003A4656">
        <w:rPr>
          <w:sz w:val="22"/>
          <w:szCs w:val="22"/>
        </w:rPr>
        <w:t xml:space="preserve">, </w:t>
      </w:r>
      <w:r w:rsidR="00F8759D" w:rsidRPr="003A4656">
        <w:rPr>
          <w:sz w:val="22"/>
          <w:szCs w:val="22"/>
        </w:rPr>
        <w:t>‘</w:t>
      </w:r>
      <w:r w:rsidR="00BE2886" w:rsidRPr="003A4656">
        <w:rPr>
          <w:sz w:val="22"/>
          <w:szCs w:val="22"/>
        </w:rPr>
        <w:t>ESE finder</w:t>
      </w:r>
      <w:r w:rsidR="00F8759D" w:rsidRPr="003A4656">
        <w:rPr>
          <w:sz w:val="22"/>
          <w:szCs w:val="22"/>
        </w:rPr>
        <w:t>’</w:t>
      </w:r>
      <w:r w:rsidR="00BE2886" w:rsidRPr="003A4656">
        <w:rPr>
          <w:sz w:val="22"/>
          <w:szCs w:val="22"/>
        </w:rPr>
        <w:t xml:space="preserve"> </w:t>
      </w:r>
      <w:r w:rsidR="001A0956" w:rsidRPr="003A4656">
        <w:rPr>
          <w:sz w:val="22"/>
          <w:szCs w:val="22"/>
        </w:rPr>
        <w:t>(</w:t>
      </w:r>
      <w:r w:rsidR="00BE2886" w:rsidRPr="003A4656">
        <w:rPr>
          <w:sz w:val="22"/>
          <w:szCs w:val="22"/>
        </w:rPr>
        <w:t xml:space="preserve">Cartegni </w:t>
      </w:r>
      <w:r w:rsidR="00523BF4" w:rsidRPr="003A4656">
        <w:rPr>
          <w:sz w:val="22"/>
          <w:szCs w:val="22"/>
        </w:rPr>
        <w:t xml:space="preserve">L. </w:t>
      </w:r>
      <w:r w:rsidR="00BE2886" w:rsidRPr="003A4656">
        <w:rPr>
          <w:sz w:val="22"/>
          <w:szCs w:val="22"/>
        </w:rPr>
        <w:t>et al.,</w:t>
      </w:r>
      <w:r w:rsidR="001A0956" w:rsidRPr="003A4656">
        <w:rPr>
          <w:sz w:val="22"/>
          <w:szCs w:val="22"/>
        </w:rPr>
        <w:t xml:space="preserve"> 2003)</w:t>
      </w:r>
      <w:r w:rsidR="00BE2886" w:rsidRPr="003A4656">
        <w:rPr>
          <w:sz w:val="22"/>
          <w:szCs w:val="22"/>
        </w:rPr>
        <w:t xml:space="preserve">, </w:t>
      </w:r>
      <w:r w:rsidR="00F8759D" w:rsidRPr="003A4656">
        <w:rPr>
          <w:sz w:val="22"/>
          <w:szCs w:val="22"/>
        </w:rPr>
        <w:t>‘</w:t>
      </w:r>
      <w:r w:rsidR="00BE2886" w:rsidRPr="003A4656">
        <w:rPr>
          <w:sz w:val="22"/>
          <w:szCs w:val="22"/>
        </w:rPr>
        <w:t>relative enhancer and silencer classification by unanimous</w:t>
      </w:r>
      <w:r w:rsidR="001A0956" w:rsidRPr="003A4656">
        <w:rPr>
          <w:sz w:val="22"/>
          <w:szCs w:val="22"/>
        </w:rPr>
        <w:t xml:space="preserve"> enrichment</w:t>
      </w:r>
      <w:r w:rsidR="00F8759D" w:rsidRPr="003A4656">
        <w:rPr>
          <w:sz w:val="22"/>
          <w:szCs w:val="22"/>
        </w:rPr>
        <w:t>’</w:t>
      </w:r>
      <w:r w:rsidR="001A0956" w:rsidRPr="003A4656">
        <w:rPr>
          <w:sz w:val="22"/>
          <w:szCs w:val="22"/>
        </w:rPr>
        <w:t xml:space="preserve"> (RESCUE-ESE) (</w:t>
      </w:r>
      <w:r w:rsidR="00BE2886" w:rsidRPr="003A4656">
        <w:rPr>
          <w:sz w:val="22"/>
          <w:szCs w:val="22"/>
        </w:rPr>
        <w:t>Fairbrother</w:t>
      </w:r>
      <w:r w:rsidR="00523BF4" w:rsidRPr="003A4656">
        <w:rPr>
          <w:sz w:val="22"/>
          <w:szCs w:val="22"/>
        </w:rPr>
        <w:t xml:space="preserve"> W.G.</w:t>
      </w:r>
      <w:r w:rsidR="00BE2886" w:rsidRPr="003A4656">
        <w:rPr>
          <w:sz w:val="22"/>
          <w:szCs w:val="22"/>
        </w:rPr>
        <w:t xml:space="preserve"> et al., 2002</w:t>
      </w:r>
      <w:r w:rsidR="001A0956" w:rsidRPr="003A4656">
        <w:rPr>
          <w:sz w:val="22"/>
          <w:szCs w:val="22"/>
        </w:rPr>
        <w:t>)</w:t>
      </w:r>
      <w:r w:rsidR="00BE2886" w:rsidRPr="003A4656">
        <w:rPr>
          <w:sz w:val="22"/>
          <w:szCs w:val="22"/>
        </w:rPr>
        <w:t xml:space="preserve">, </w:t>
      </w:r>
      <w:r w:rsidR="00F8759D" w:rsidRPr="003A4656">
        <w:rPr>
          <w:sz w:val="22"/>
          <w:szCs w:val="22"/>
        </w:rPr>
        <w:t>‘</w:t>
      </w:r>
      <w:r w:rsidR="00BE2886" w:rsidRPr="003A4656">
        <w:rPr>
          <w:sz w:val="22"/>
          <w:szCs w:val="22"/>
        </w:rPr>
        <w:t>human</w:t>
      </w:r>
      <w:r w:rsidR="001A0956" w:rsidRPr="003A4656">
        <w:rPr>
          <w:sz w:val="22"/>
          <w:szCs w:val="22"/>
        </w:rPr>
        <w:t xml:space="preserve"> splicing finder</w:t>
      </w:r>
      <w:r w:rsidR="00F8759D" w:rsidRPr="003A4656">
        <w:rPr>
          <w:sz w:val="22"/>
          <w:szCs w:val="22"/>
        </w:rPr>
        <w:t>’</w:t>
      </w:r>
      <w:r w:rsidR="001A0956" w:rsidRPr="003A4656">
        <w:rPr>
          <w:sz w:val="22"/>
          <w:szCs w:val="22"/>
        </w:rPr>
        <w:t xml:space="preserve"> (HSF) (</w:t>
      </w:r>
      <w:r w:rsidR="00BE2886" w:rsidRPr="003A4656">
        <w:rPr>
          <w:sz w:val="22"/>
          <w:szCs w:val="22"/>
        </w:rPr>
        <w:t>Desmet</w:t>
      </w:r>
      <w:r w:rsidR="00523BF4" w:rsidRPr="003A4656">
        <w:rPr>
          <w:sz w:val="22"/>
          <w:szCs w:val="22"/>
        </w:rPr>
        <w:t xml:space="preserve"> F.O.</w:t>
      </w:r>
      <w:r w:rsidR="00BE2886" w:rsidRPr="003A4656">
        <w:rPr>
          <w:sz w:val="22"/>
          <w:szCs w:val="22"/>
        </w:rPr>
        <w:t xml:space="preserve"> et al., 2009</w:t>
      </w:r>
      <w:r w:rsidR="00337B90" w:rsidRPr="003A4656">
        <w:rPr>
          <w:sz w:val="22"/>
          <w:szCs w:val="22"/>
        </w:rPr>
        <w:t xml:space="preserve">) </w:t>
      </w:r>
      <w:r w:rsidR="004F186C" w:rsidRPr="003A4656">
        <w:rPr>
          <w:sz w:val="22"/>
          <w:szCs w:val="22"/>
        </w:rPr>
        <w:t xml:space="preserve">and </w:t>
      </w:r>
      <w:r w:rsidR="004F186C" w:rsidRPr="003A4656">
        <w:rPr>
          <w:rFonts w:eastAsiaTheme="minorHAnsi"/>
          <w:bCs/>
          <w:sz w:val="22"/>
          <w:szCs w:val="22"/>
          <w:lang w:eastAsia="en-US"/>
        </w:rPr>
        <w:t xml:space="preserve">Automated Splice Site and Exon Definition Analysis (ASSEDA; http://splice.uwo.ca) (Mucaki E.J. et al., 2013). </w:t>
      </w:r>
      <w:r w:rsidR="004F186C" w:rsidRPr="003A4656">
        <w:rPr>
          <w:sz w:val="22"/>
          <w:szCs w:val="22"/>
        </w:rPr>
        <w:t xml:space="preserve">These programs may be used to prioritize variants for </w:t>
      </w:r>
      <w:r w:rsidR="004F186C" w:rsidRPr="003A4656">
        <w:rPr>
          <w:i/>
          <w:sz w:val="22"/>
          <w:szCs w:val="22"/>
        </w:rPr>
        <w:t>in vitro</w:t>
      </w:r>
      <w:r w:rsidR="004F186C" w:rsidRPr="003A4656">
        <w:rPr>
          <w:sz w:val="22"/>
          <w:szCs w:val="22"/>
        </w:rPr>
        <w:t xml:space="preserve"> analyses assessing their effect </w:t>
      </w:r>
      <w:r w:rsidR="00F8759D" w:rsidRPr="003A4656">
        <w:rPr>
          <w:sz w:val="22"/>
          <w:szCs w:val="22"/>
        </w:rPr>
        <w:t>at</w:t>
      </w:r>
      <w:r w:rsidR="004F186C" w:rsidRPr="003A4656">
        <w:rPr>
          <w:sz w:val="22"/>
          <w:szCs w:val="22"/>
        </w:rPr>
        <w:t xml:space="preserve"> mRNA </w:t>
      </w:r>
      <w:r w:rsidR="00F8759D" w:rsidRPr="003A4656">
        <w:rPr>
          <w:sz w:val="22"/>
          <w:szCs w:val="22"/>
        </w:rPr>
        <w:t xml:space="preserve">level </w:t>
      </w:r>
      <w:r w:rsidR="004F186C" w:rsidRPr="003A4656">
        <w:rPr>
          <w:sz w:val="22"/>
          <w:szCs w:val="22"/>
        </w:rPr>
        <w:t>(Colombo</w:t>
      </w:r>
      <w:r w:rsidR="00523BF4" w:rsidRPr="003A4656">
        <w:rPr>
          <w:sz w:val="22"/>
          <w:szCs w:val="22"/>
        </w:rPr>
        <w:t xml:space="preserve"> M.</w:t>
      </w:r>
      <w:r w:rsidR="004F186C" w:rsidRPr="003A4656">
        <w:rPr>
          <w:sz w:val="22"/>
          <w:szCs w:val="22"/>
        </w:rPr>
        <w:t xml:space="preserve"> et al., 2013).</w:t>
      </w:r>
    </w:p>
    <w:p w:rsidR="009D0692" w:rsidRPr="003A4656" w:rsidRDefault="009D0692" w:rsidP="0005572B">
      <w:pPr>
        <w:ind w:left="0" w:right="0"/>
        <w:rPr>
          <w:sz w:val="22"/>
          <w:szCs w:val="22"/>
        </w:rPr>
      </w:pPr>
    </w:p>
    <w:p w:rsidR="00C941EF" w:rsidRPr="003A4656" w:rsidRDefault="007E3B79" w:rsidP="0005572B">
      <w:pPr>
        <w:ind w:left="0" w:right="0" w:firstLine="360"/>
        <w:rPr>
          <w:b/>
          <w:sz w:val="22"/>
          <w:szCs w:val="22"/>
        </w:rPr>
      </w:pPr>
      <w:r w:rsidRPr="003A4656">
        <w:rPr>
          <w:b/>
          <w:sz w:val="22"/>
          <w:szCs w:val="22"/>
        </w:rPr>
        <w:t>3</w:t>
      </w:r>
      <w:r w:rsidR="00C941EF" w:rsidRPr="003A4656">
        <w:rPr>
          <w:b/>
          <w:sz w:val="22"/>
          <w:szCs w:val="22"/>
        </w:rPr>
        <w:t>.2 Multifactorial Prediction Models</w:t>
      </w:r>
    </w:p>
    <w:p w:rsidR="00C941EF" w:rsidRPr="003A4656" w:rsidRDefault="00C941EF" w:rsidP="0005572B">
      <w:pPr>
        <w:ind w:left="0" w:right="0"/>
        <w:rPr>
          <w:sz w:val="22"/>
          <w:szCs w:val="22"/>
        </w:rPr>
      </w:pPr>
    </w:p>
    <w:p w:rsidR="00C941EF" w:rsidRPr="003A4656" w:rsidRDefault="00C941EF" w:rsidP="0005572B">
      <w:pPr>
        <w:ind w:left="0" w:right="0"/>
        <w:rPr>
          <w:sz w:val="22"/>
          <w:szCs w:val="22"/>
        </w:rPr>
      </w:pPr>
      <w:r w:rsidRPr="003A4656">
        <w:rPr>
          <w:sz w:val="22"/>
          <w:szCs w:val="22"/>
        </w:rPr>
        <w:t xml:space="preserve">A powerful way to classify </w:t>
      </w:r>
      <w:r w:rsidR="001B1983" w:rsidRPr="003A4656">
        <w:rPr>
          <w:sz w:val="22"/>
          <w:szCs w:val="22"/>
        </w:rPr>
        <w:t>VUS</w:t>
      </w:r>
      <w:r w:rsidRPr="003A4656">
        <w:rPr>
          <w:sz w:val="22"/>
          <w:szCs w:val="22"/>
        </w:rPr>
        <w:t xml:space="preserve"> is represented by </w:t>
      </w:r>
      <w:r w:rsidR="001B1983" w:rsidRPr="003A4656">
        <w:rPr>
          <w:sz w:val="22"/>
          <w:szCs w:val="22"/>
        </w:rPr>
        <w:t>integrated analyses</w:t>
      </w:r>
      <w:r w:rsidRPr="003A4656">
        <w:rPr>
          <w:sz w:val="22"/>
          <w:szCs w:val="22"/>
        </w:rPr>
        <w:t xml:space="preserve"> </w:t>
      </w:r>
      <w:r w:rsidR="001B1983" w:rsidRPr="003A4656">
        <w:rPr>
          <w:sz w:val="22"/>
          <w:szCs w:val="22"/>
        </w:rPr>
        <w:t>assembling data</w:t>
      </w:r>
      <w:r w:rsidRPr="003A4656">
        <w:rPr>
          <w:sz w:val="22"/>
          <w:szCs w:val="22"/>
        </w:rPr>
        <w:t xml:space="preserve"> from different source</w:t>
      </w:r>
      <w:r w:rsidR="001B1983" w:rsidRPr="003A4656">
        <w:rPr>
          <w:sz w:val="22"/>
          <w:szCs w:val="22"/>
        </w:rPr>
        <w:t>s.</w:t>
      </w:r>
    </w:p>
    <w:p w:rsidR="00C941EF" w:rsidRPr="003A4656" w:rsidRDefault="00C941EF" w:rsidP="0005572B">
      <w:pPr>
        <w:ind w:left="0" w:right="0"/>
        <w:rPr>
          <w:sz w:val="22"/>
          <w:szCs w:val="22"/>
        </w:rPr>
      </w:pPr>
      <w:r w:rsidRPr="003A4656">
        <w:rPr>
          <w:sz w:val="22"/>
          <w:szCs w:val="22"/>
        </w:rPr>
        <w:t xml:space="preserve">A major breakthrough in the field has been the development of a multifactorial likelihood classification model for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which essentially assesses a number of different independent features portrayed by a variant carrier, to establish the likelihood that the variant has the characteristics of known pathogenic mutation</w:t>
      </w:r>
      <w:r w:rsidR="00F8759D" w:rsidRPr="003A4656">
        <w:rPr>
          <w:sz w:val="22"/>
          <w:szCs w:val="22"/>
        </w:rPr>
        <w:t>s</w:t>
      </w:r>
      <w:r w:rsidRPr="003A4656">
        <w:rPr>
          <w:sz w:val="22"/>
          <w:szCs w:val="22"/>
        </w:rPr>
        <w:t xml:space="preserve"> in </w:t>
      </w:r>
      <w:r w:rsidRPr="003A4656">
        <w:rPr>
          <w:i/>
          <w:sz w:val="22"/>
          <w:szCs w:val="22"/>
        </w:rPr>
        <w:t>BRCA1</w:t>
      </w:r>
      <w:r w:rsidRPr="003A4656">
        <w:rPr>
          <w:sz w:val="22"/>
          <w:szCs w:val="22"/>
        </w:rPr>
        <w:t xml:space="preserve"> or </w:t>
      </w:r>
      <w:r w:rsidRPr="003A4656">
        <w:rPr>
          <w:i/>
          <w:sz w:val="22"/>
          <w:szCs w:val="22"/>
        </w:rPr>
        <w:t>BRCA2</w:t>
      </w:r>
      <w:r w:rsidRPr="003A4656">
        <w:rPr>
          <w:sz w:val="22"/>
          <w:szCs w:val="22"/>
        </w:rPr>
        <w:t xml:space="preserve"> (Goldgar D</w:t>
      </w:r>
      <w:r w:rsidR="00536187" w:rsidRPr="003A4656">
        <w:rPr>
          <w:sz w:val="22"/>
          <w:szCs w:val="22"/>
        </w:rPr>
        <w:t>.</w:t>
      </w:r>
      <w:r w:rsidRPr="003A4656">
        <w:rPr>
          <w:sz w:val="22"/>
          <w:szCs w:val="22"/>
        </w:rPr>
        <w:t>E</w:t>
      </w:r>
      <w:r w:rsidR="00536187" w:rsidRPr="003A4656">
        <w:rPr>
          <w:sz w:val="22"/>
          <w:szCs w:val="22"/>
        </w:rPr>
        <w:t>.</w:t>
      </w:r>
      <w:r w:rsidRPr="003A4656">
        <w:rPr>
          <w:sz w:val="22"/>
          <w:szCs w:val="22"/>
        </w:rPr>
        <w:t xml:space="preserve"> et al., 2004).</w:t>
      </w:r>
    </w:p>
    <w:p w:rsidR="00C941EF" w:rsidRPr="003A4656" w:rsidRDefault="00B14959" w:rsidP="0005572B">
      <w:pPr>
        <w:ind w:left="0" w:right="0"/>
        <w:rPr>
          <w:sz w:val="22"/>
          <w:szCs w:val="22"/>
        </w:rPr>
      </w:pPr>
      <w:r w:rsidRPr="003A4656">
        <w:rPr>
          <w:sz w:val="22"/>
          <w:szCs w:val="22"/>
        </w:rPr>
        <w:t xml:space="preserve">Since the first description, a few </w:t>
      </w:r>
      <w:r w:rsidR="000C00A7" w:rsidRPr="003A4656">
        <w:rPr>
          <w:i/>
          <w:sz w:val="22"/>
          <w:szCs w:val="22"/>
        </w:rPr>
        <w:t>BRCA1</w:t>
      </w:r>
      <w:r w:rsidR="000C00A7" w:rsidRPr="003A4656">
        <w:rPr>
          <w:sz w:val="22"/>
          <w:szCs w:val="22"/>
        </w:rPr>
        <w:t xml:space="preserve"> and </w:t>
      </w:r>
      <w:r w:rsidR="000C00A7" w:rsidRPr="003A4656">
        <w:rPr>
          <w:i/>
          <w:sz w:val="22"/>
          <w:szCs w:val="22"/>
        </w:rPr>
        <w:t>BRCA2</w:t>
      </w:r>
      <w:r w:rsidR="00C941EF" w:rsidRPr="003A4656">
        <w:rPr>
          <w:sz w:val="22"/>
          <w:szCs w:val="22"/>
        </w:rPr>
        <w:t xml:space="preserve"> multifactorial prediction model</w:t>
      </w:r>
      <w:r w:rsidR="00E6078E" w:rsidRPr="003A4656">
        <w:rPr>
          <w:sz w:val="22"/>
          <w:szCs w:val="22"/>
        </w:rPr>
        <w:t>s have been developed. These are based on the</w:t>
      </w:r>
      <w:r w:rsidR="00C941EF" w:rsidRPr="003A4656">
        <w:rPr>
          <w:sz w:val="22"/>
          <w:szCs w:val="22"/>
        </w:rPr>
        <w:t xml:space="preserve"> assessment of the prior probability of pathogenicity of a variant based on amino acid evolutionary conservation and physicochemical properties (</w:t>
      </w:r>
      <w:r w:rsidR="00C941EF" w:rsidRPr="003A4656">
        <w:rPr>
          <w:rFonts w:eastAsia="TimesNewRomanPS"/>
          <w:sz w:val="22"/>
          <w:szCs w:val="22"/>
        </w:rPr>
        <w:t>Tavtigian S</w:t>
      </w:r>
      <w:r w:rsidR="00536187" w:rsidRPr="003A4656">
        <w:rPr>
          <w:rFonts w:eastAsia="TimesNewRomanPS"/>
          <w:sz w:val="22"/>
          <w:szCs w:val="22"/>
        </w:rPr>
        <w:t>.</w:t>
      </w:r>
      <w:r w:rsidR="00C941EF" w:rsidRPr="003A4656">
        <w:rPr>
          <w:rFonts w:eastAsia="TimesNewRomanPS"/>
          <w:sz w:val="22"/>
          <w:szCs w:val="22"/>
        </w:rPr>
        <w:t>V</w:t>
      </w:r>
      <w:r w:rsidR="00536187" w:rsidRPr="003A4656">
        <w:rPr>
          <w:rFonts w:eastAsia="TimesNewRomanPS"/>
          <w:sz w:val="22"/>
          <w:szCs w:val="22"/>
        </w:rPr>
        <w:t>.</w:t>
      </w:r>
      <w:r w:rsidR="00C941EF" w:rsidRPr="003A4656">
        <w:rPr>
          <w:rFonts w:eastAsia="TimesNewRomanPS"/>
          <w:sz w:val="22"/>
          <w:szCs w:val="22"/>
        </w:rPr>
        <w:t xml:space="preserve"> et al., 2008)</w:t>
      </w:r>
      <w:r w:rsidR="00C941EF" w:rsidRPr="003A4656">
        <w:rPr>
          <w:sz w:val="22"/>
          <w:szCs w:val="22"/>
        </w:rPr>
        <w:t>, and include additional estimates of pathogenicity from likelihood ratio</w:t>
      </w:r>
      <w:r w:rsidR="00E6078E" w:rsidRPr="003A4656">
        <w:rPr>
          <w:sz w:val="22"/>
          <w:szCs w:val="22"/>
        </w:rPr>
        <w:t>s</w:t>
      </w:r>
      <w:r w:rsidR="00C941EF" w:rsidRPr="003A4656">
        <w:rPr>
          <w:sz w:val="22"/>
          <w:szCs w:val="22"/>
        </w:rPr>
        <w:t xml:space="preserve"> (LR</w:t>
      </w:r>
      <w:r w:rsidR="00E6078E" w:rsidRPr="003A4656">
        <w:rPr>
          <w:sz w:val="22"/>
          <w:szCs w:val="22"/>
        </w:rPr>
        <w:t>s</w:t>
      </w:r>
      <w:r w:rsidR="00C941EF" w:rsidRPr="003A4656">
        <w:rPr>
          <w:sz w:val="22"/>
          <w:szCs w:val="22"/>
        </w:rPr>
        <w:t>) based on variant segregation in families (</w:t>
      </w:r>
      <w:r w:rsidR="00C941EF" w:rsidRPr="003A4656">
        <w:rPr>
          <w:rFonts w:eastAsia="TimesNewRomanPS"/>
          <w:sz w:val="22"/>
          <w:szCs w:val="22"/>
        </w:rPr>
        <w:t>Goldgar D</w:t>
      </w:r>
      <w:r w:rsidR="00536187" w:rsidRPr="003A4656">
        <w:rPr>
          <w:rFonts w:eastAsia="TimesNewRomanPS"/>
          <w:sz w:val="22"/>
          <w:szCs w:val="22"/>
        </w:rPr>
        <w:t>.</w:t>
      </w:r>
      <w:r w:rsidR="00C941EF" w:rsidRPr="003A4656">
        <w:rPr>
          <w:rFonts w:eastAsia="TimesNewRomanPS"/>
          <w:sz w:val="22"/>
          <w:szCs w:val="22"/>
        </w:rPr>
        <w:t>E</w:t>
      </w:r>
      <w:r w:rsidR="00536187" w:rsidRPr="003A4656">
        <w:rPr>
          <w:rFonts w:eastAsia="TimesNewRomanPS"/>
          <w:sz w:val="22"/>
          <w:szCs w:val="22"/>
        </w:rPr>
        <w:t>.</w:t>
      </w:r>
      <w:r w:rsidR="00C941EF" w:rsidRPr="003A4656">
        <w:rPr>
          <w:rFonts w:eastAsia="TimesNewRomanPS"/>
          <w:sz w:val="22"/>
          <w:szCs w:val="22"/>
        </w:rPr>
        <w:t xml:space="preserve"> et al., 2004</w:t>
      </w:r>
      <w:r w:rsidR="00C941EF" w:rsidRPr="003A4656">
        <w:rPr>
          <w:sz w:val="22"/>
          <w:szCs w:val="22"/>
        </w:rPr>
        <w:t xml:space="preserve">; </w:t>
      </w:r>
      <w:r w:rsidR="00C941EF" w:rsidRPr="003A4656">
        <w:rPr>
          <w:rFonts w:eastAsia="TimesNewRomanPS"/>
          <w:sz w:val="22"/>
          <w:szCs w:val="22"/>
        </w:rPr>
        <w:t>Mohammadi L. et al., 2009)</w:t>
      </w:r>
      <w:r w:rsidR="00C941EF" w:rsidRPr="003A4656">
        <w:rPr>
          <w:sz w:val="22"/>
          <w:szCs w:val="22"/>
        </w:rPr>
        <w:t>, co-occurrence with a pathogenic mutation (</w:t>
      </w:r>
      <w:r w:rsidR="00C941EF" w:rsidRPr="003A4656">
        <w:rPr>
          <w:rFonts w:eastAsia="TimesNewRomanPS"/>
          <w:sz w:val="22"/>
          <w:szCs w:val="22"/>
        </w:rPr>
        <w:t>Goldgar D</w:t>
      </w:r>
      <w:r w:rsidR="00536187" w:rsidRPr="003A4656">
        <w:rPr>
          <w:rFonts w:eastAsia="TimesNewRomanPS"/>
          <w:sz w:val="22"/>
          <w:szCs w:val="22"/>
        </w:rPr>
        <w:t>.</w:t>
      </w:r>
      <w:r w:rsidR="00C941EF" w:rsidRPr="003A4656">
        <w:rPr>
          <w:rFonts w:eastAsia="TimesNewRomanPS"/>
          <w:sz w:val="22"/>
          <w:szCs w:val="22"/>
        </w:rPr>
        <w:t>E</w:t>
      </w:r>
      <w:r w:rsidR="00536187" w:rsidRPr="003A4656">
        <w:rPr>
          <w:rFonts w:eastAsia="TimesNewRomanPS"/>
          <w:sz w:val="22"/>
          <w:szCs w:val="22"/>
        </w:rPr>
        <w:t>.</w:t>
      </w:r>
      <w:r w:rsidR="00C941EF" w:rsidRPr="003A4656">
        <w:rPr>
          <w:rFonts w:eastAsia="TimesNewRomanPS"/>
          <w:sz w:val="22"/>
          <w:szCs w:val="22"/>
        </w:rPr>
        <w:t xml:space="preserve"> et al., 2004)</w:t>
      </w:r>
      <w:r w:rsidR="00C941EF" w:rsidRPr="003A4656">
        <w:rPr>
          <w:sz w:val="22"/>
          <w:szCs w:val="22"/>
        </w:rPr>
        <w:t>, reported family history of the proband (Easton D.F. et al., 2007; Osorio A. et al., 2007) and tumour features (Chenevix-Trench G</w:t>
      </w:r>
      <w:r w:rsidR="00536187" w:rsidRPr="003A4656">
        <w:rPr>
          <w:sz w:val="22"/>
          <w:szCs w:val="22"/>
        </w:rPr>
        <w:t>.</w:t>
      </w:r>
      <w:r w:rsidR="00C941EF" w:rsidRPr="003A4656">
        <w:rPr>
          <w:sz w:val="22"/>
          <w:szCs w:val="22"/>
        </w:rPr>
        <w:t xml:space="preserve"> et al., 2006; Osorio A. et al., 2007).</w:t>
      </w:r>
    </w:p>
    <w:p w:rsidR="00B23DF2" w:rsidRPr="003A4656" w:rsidRDefault="00C941EF" w:rsidP="0005572B">
      <w:pPr>
        <w:ind w:left="0" w:right="0"/>
        <w:rPr>
          <w:sz w:val="22"/>
          <w:szCs w:val="22"/>
        </w:rPr>
      </w:pPr>
      <w:r w:rsidRPr="003A4656">
        <w:rPr>
          <w:sz w:val="22"/>
          <w:szCs w:val="22"/>
        </w:rPr>
        <w:t xml:space="preserve">Co-segregation analysis </w:t>
      </w:r>
      <w:r w:rsidR="00B23DF2" w:rsidRPr="003A4656">
        <w:rPr>
          <w:sz w:val="22"/>
          <w:szCs w:val="22"/>
        </w:rPr>
        <w:t>is an easily quantifiable approach to assess</w:t>
      </w:r>
      <w:r w:rsidRPr="003A4656">
        <w:rPr>
          <w:sz w:val="22"/>
          <w:szCs w:val="22"/>
        </w:rPr>
        <w:t xml:space="preserve"> the association of each variant with disease</w:t>
      </w:r>
      <w:r w:rsidR="00B23DF2" w:rsidRPr="003A4656">
        <w:rPr>
          <w:sz w:val="22"/>
          <w:szCs w:val="22"/>
        </w:rPr>
        <w:t xml:space="preserve"> risk</w:t>
      </w:r>
      <w:r w:rsidRPr="003A4656">
        <w:rPr>
          <w:sz w:val="22"/>
          <w:szCs w:val="22"/>
        </w:rPr>
        <w:t>. The identification of the variant in family members with the disease</w:t>
      </w:r>
      <w:r w:rsidR="00E6078E" w:rsidRPr="003A4656">
        <w:rPr>
          <w:sz w:val="22"/>
          <w:szCs w:val="22"/>
        </w:rPr>
        <w:t>,</w:t>
      </w:r>
      <w:r w:rsidRPr="003A4656">
        <w:rPr>
          <w:sz w:val="22"/>
          <w:szCs w:val="22"/>
        </w:rPr>
        <w:t xml:space="preserve"> but not in healthy members</w:t>
      </w:r>
      <w:r w:rsidR="00E6078E" w:rsidRPr="003A4656">
        <w:rPr>
          <w:sz w:val="22"/>
          <w:szCs w:val="22"/>
        </w:rPr>
        <w:t xml:space="preserve"> at high risk, </w:t>
      </w:r>
      <w:r w:rsidR="00F8759D" w:rsidRPr="003A4656">
        <w:rPr>
          <w:sz w:val="22"/>
          <w:szCs w:val="22"/>
        </w:rPr>
        <w:t>including</w:t>
      </w:r>
      <w:r w:rsidR="00E6078E" w:rsidRPr="003A4656">
        <w:rPr>
          <w:sz w:val="22"/>
          <w:szCs w:val="22"/>
        </w:rPr>
        <w:t xml:space="preserve"> elderly individuals</w:t>
      </w:r>
      <w:r w:rsidRPr="003A4656">
        <w:rPr>
          <w:sz w:val="22"/>
          <w:szCs w:val="22"/>
        </w:rPr>
        <w:t>, presupposes that the involved variant is patho</w:t>
      </w:r>
      <w:r w:rsidR="00F8759D" w:rsidRPr="003A4656">
        <w:rPr>
          <w:sz w:val="22"/>
          <w:szCs w:val="22"/>
        </w:rPr>
        <w:t>genic</w:t>
      </w:r>
      <w:r w:rsidRPr="003A4656">
        <w:rPr>
          <w:sz w:val="22"/>
          <w:szCs w:val="22"/>
        </w:rPr>
        <w:t xml:space="preserve"> (</w:t>
      </w:r>
      <w:r w:rsidRPr="003A4656">
        <w:rPr>
          <w:rFonts w:eastAsia="TimesNewRomanPS"/>
          <w:sz w:val="22"/>
          <w:szCs w:val="22"/>
        </w:rPr>
        <w:t>Goldgar D</w:t>
      </w:r>
      <w:r w:rsidR="00536187" w:rsidRPr="003A4656">
        <w:rPr>
          <w:rFonts w:eastAsia="TimesNewRomanPS"/>
          <w:sz w:val="22"/>
          <w:szCs w:val="22"/>
        </w:rPr>
        <w:t>.</w:t>
      </w:r>
      <w:r w:rsidRPr="003A4656">
        <w:rPr>
          <w:rFonts w:eastAsia="TimesNewRomanPS"/>
          <w:sz w:val="22"/>
          <w:szCs w:val="22"/>
        </w:rPr>
        <w:t>E</w:t>
      </w:r>
      <w:r w:rsidR="00536187" w:rsidRPr="003A4656">
        <w:rPr>
          <w:rFonts w:eastAsia="TimesNewRomanPS"/>
          <w:sz w:val="22"/>
          <w:szCs w:val="22"/>
        </w:rPr>
        <w:t>.</w:t>
      </w:r>
      <w:r w:rsidRPr="003A4656">
        <w:rPr>
          <w:rFonts w:eastAsia="TimesNewRomanPS"/>
          <w:sz w:val="22"/>
          <w:szCs w:val="22"/>
        </w:rPr>
        <w:t xml:space="preserve"> et al., 2004)</w:t>
      </w:r>
      <w:r w:rsidRPr="003A4656">
        <w:rPr>
          <w:sz w:val="22"/>
          <w:szCs w:val="22"/>
        </w:rPr>
        <w:t>.</w:t>
      </w:r>
      <w:r w:rsidRPr="003A4656">
        <w:rPr>
          <w:color w:val="000000"/>
          <w:sz w:val="22"/>
          <w:szCs w:val="22"/>
          <w:lang w:eastAsia="it-IT"/>
        </w:rPr>
        <w:t xml:space="preserve"> </w:t>
      </w:r>
    </w:p>
    <w:p w:rsidR="00C941EF" w:rsidRPr="003A4656" w:rsidRDefault="00C941EF" w:rsidP="0005572B">
      <w:pPr>
        <w:ind w:left="0" w:right="0"/>
        <w:rPr>
          <w:iCs/>
          <w:sz w:val="22"/>
          <w:szCs w:val="22"/>
        </w:rPr>
      </w:pPr>
      <w:r w:rsidRPr="003A4656">
        <w:rPr>
          <w:sz w:val="22"/>
          <w:szCs w:val="22"/>
        </w:rPr>
        <w:t>Co-occurrence data are relatively easily avail</w:t>
      </w:r>
      <w:r w:rsidR="00F8759D" w:rsidRPr="003A4656">
        <w:rPr>
          <w:sz w:val="22"/>
          <w:szCs w:val="22"/>
        </w:rPr>
        <w:t>able. H</w:t>
      </w:r>
      <w:r w:rsidRPr="003A4656">
        <w:rPr>
          <w:sz w:val="22"/>
          <w:szCs w:val="22"/>
        </w:rPr>
        <w:t xml:space="preserve">owever, when applied to the actual set of </w:t>
      </w:r>
      <w:r w:rsidR="00B23DF2" w:rsidRPr="003A4656">
        <w:rPr>
          <w:sz w:val="22"/>
          <w:szCs w:val="22"/>
        </w:rPr>
        <w:t>VUS</w:t>
      </w:r>
      <w:r w:rsidRPr="003A4656">
        <w:rPr>
          <w:sz w:val="22"/>
          <w:szCs w:val="22"/>
        </w:rPr>
        <w:t xml:space="preserve">, this analysis has much better power to contribute to classification of recurrent neutral variants than to classification of recurrent deleterious variants. Because homozygous </w:t>
      </w:r>
      <w:r w:rsidRPr="003A4656">
        <w:rPr>
          <w:i/>
          <w:iCs/>
          <w:sz w:val="22"/>
          <w:szCs w:val="22"/>
        </w:rPr>
        <w:t xml:space="preserve">BRCA1 </w:t>
      </w:r>
      <w:r w:rsidRPr="003A4656">
        <w:rPr>
          <w:sz w:val="22"/>
          <w:szCs w:val="22"/>
        </w:rPr>
        <w:t xml:space="preserve">mutations are expected to be lethal and homozygous </w:t>
      </w:r>
      <w:r w:rsidRPr="003A4656">
        <w:rPr>
          <w:i/>
          <w:iCs/>
          <w:sz w:val="22"/>
          <w:szCs w:val="22"/>
        </w:rPr>
        <w:t xml:space="preserve">BRCA2 </w:t>
      </w:r>
      <w:r w:rsidRPr="003A4656">
        <w:rPr>
          <w:sz w:val="22"/>
          <w:szCs w:val="22"/>
        </w:rPr>
        <w:t xml:space="preserve">mutations are expected to result in lethality or a phenotype such as Fanconi Anemia, the presence of a deleterious mutation </w:t>
      </w:r>
      <w:r w:rsidRPr="003A4656">
        <w:rPr>
          <w:i/>
          <w:iCs/>
          <w:sz w:val="22"/>
          <w:szCs w:val="22"/>
        </w:rPr>
        <w:t xml:space="preserve">in </w:t>
      </w:r>
      <w:proofErr w:type="gramStart"/>
      <w:r w:rsidRPr="003A4656">
        <w:rPr>
          <w:i/>
          <w:iCs/>
          <w:sz w:val="22"/>
          <w:szCs w:val="22"/>
        </w:rPr>
        <w:t>trans</w:t>
      </w:r>
      <w:proofErr w:type="gramEnd"/>
      <w:r w:rsidRPr="003A4656">
        <w:rPr>
          <w:i/>
          <w:iCs/>
          <w:sz w:val="22"/>
          <w:szCs w:val="22"/>
        </w:rPr>
        <w:t xml:space="preserve"> </w:t>
      </w:r>
      <w:r w:rsidRPr="003A4656">
        <w:rPr>
          <w:sz w:val="22"/>
          <w:szCs w:val="22"/>
        </w:rPr>
        <w:t>with a variant suggests its neutrality (</w:t>
      </w:r>
      <w:r w:rsidR="003E7F85" w:rsidRPr="003A4656">
        <w:rPr>
          <w:iCs/>
          <w:sz w:val="22"/>
          <w:szCs w:val="22"/>
        </w:rPr>
        <w:t xml:space="preserve">Boyd </w:t>
      </w:r>
      <w:r w:rsidRPr="003A4656">
        <w:rPr>
          <w:iCs/>
          <w:sz w:val="22"/>
          <w:szCs w:val="22"/>
        </w:rPr>
        <w:t>J., 1995; Kuschel B. et al., 2001; Tavtigian S.V. et al., 2006).</w:t>
      </w:r>
    </w:p>
    <w:p w:rsidR="00C941EF" w:rsidRPr="003A4656" w:rsidRDefault="00C941EF" w:rsidP="0005572B">
      <w:pPr>
        <w:ind w:left="0" w:right="0"/>
        <w:rPr>
          <w:sz w:val="22"/>
          <w:szCs w:val="22"/>
        </w:rPr>
      </w:pPr>
      <w:r w:rsidRPr="003A4656">
        <w:rPr>
          <w:sz w:val="22"/>
          <w:szCs w:val="22"/>
        </w:rPr>
        <w:t xml:space="preserve">The study of personal and family history is based on the fact that the presence of </w:t>
      </w:r>
      <w:r w:rsidR="00F8759D" w:rsidRPr="003A4656">
        <w:rPr>
          <w:sz w:val="22"/>
          <w:szCs w:val="22"/>
        </w:rPr>
        <w:t xml:space="preserve">a </w:t>
      </w:r>
      <w:r w:rsidRPr="003A4656">
        <w:rPr>
          <w:sz w:val="22"/>
          <w:szCs w:val="22"/>
        </w:rPr>
        <w:t xml:space="preserve">variant in </w:t>
      </w:r>
      <w:r w:rsidR="00DB191B" w:rsidRPr="003A4656">
        <w:rPr>
          <w:sz w:val="22"/>
          <w:szCs w:val="22"/>
        </w:rPr>
        <w:t>more families</w:t>
      </w:r>
      <w:r w:rsidRPr="003A4656">
        <w:rPr>
          <w:sz w:val="22"/>
          <w:szCs w:val="22"/>
        </w:rPr>
        <w:t xml:space="preserve"> with high frequency of disease indicates that it is more likely to be associated with cancer (</w:t>
      </w:r>
      <w:r w:rsidRPr="003A4656">
        <w:rPr>
          <w:rFonts w:eastAsia="TimesNewRomanPS"/>
          <w:sz w:val="22"/>
          <w:szCs w:val="22"/>
        </w:rPr>
        <w:t>Spurdle A</w:t>
      </w:r>
      <w:r w:rsidR="00536187" w:rsidRPr="003A4656">
        <w:rPr>
          <w:rFonts w:eastAsia="TimesNewRomanPS"/>
          <w:sz w:val="22"/>
          <w:szCs w:val="22"/>
        </w:rPr>
        <w:t>.</w:t>
      </w:r>
      <w:r w:rsidRPr="003A4656">
        <w:rPr>
          <w:rFonts w:eastAsia="TimesNewRomanPS"/>
          <w:sz w:val="22"/>
          <w:szCs w:val="22"/>
        </w:rPr>
        <w:t>B</w:t>
      </w:r>
      <w:r w:rsidR="00536187" w:rsidRPr="003A4656">
        <w:rPr>
          <w:rFonts w:eastAsia="TimesNewRomanPS"/>
          <w:sz w:val="22"/>
          <w:szCs w:val="22"/>
        </w:rPr>
        <w:t>.</w:t>
      </w:r>
      <w:r w:rsidRPr="003A4656">
        <w:rPr>
          <w:rFonts w:eastAsia="TimesNewRomanPS"/>
          <w:sz w:val="22"/>
          <w:szCs w:val="22"/>
        </w:rPr>
        <w:t>, 2010</w:t>
      </w:r>
      <w:r w:rsidRPr="003A4656">
        <w:rPr>
          <w:sz w:val="22"/>
          <w:szCs w:val="22"/>
        </w:rPr>
        <w:t>).</w:t>
      </w:r>
    </w:p>
    <w:p w:rsidR="00C941EF" w:rsidRPr="003A4656" w:rsidRDefault="00C941EF" w:rsidP="0005572B">
      <w:pPr>
        <w:ind w:left="0" w:right="0"/>
        <w:rPr>
          <w:sz w:val="22"/>
          <w:szCs w:val="22"/>
        </w:rPr>
      </w:pPr>
      <w:r w:rsidRPr="003A4656">
        <w:rPr>
          <w:sz w:val="22"/>
          <w:szCs w:val="22"/>
        </w:rPr>
        <w:t xml:space="preserve">Loss of heterozygosity (LOH) can be used to assess the pathogenicity of </w:t>
      </w:r>
      <w:r w:rsidRPr="003A4656">
        <w:rPr>
          <w:i/>
          <w:iCs/>
          <w:sz w:val="22"/>
          <w:szCs w:val="22"/>
        </w:rPr>
        <w:t xml:space="preserve">BRCA </w:t>
      </w:r>
      <w:r w:rsidR="00A853C8" w:rsidRPr="003A4656">
        <w:rPr>
          <w:iCs/>
          <w:sz w:val="22"/>
          <w:szCs w:val="22"/>
        </w:rPr>
        <w:t>VUS</w:t>
      </w:r>
      <w:r w:rsidR="00B23DF2" w:rsidRPr="003A4656">
        <w:rPr>
          <w:sz w:val="22"/>
          <w:szCs w:val="22"/>
        </w:rPr>
        <w:t xml:space="preserve">, based on the </w:t>
      </w:r>
      <w:r w:rsidR="00D40B4B" w:rsidRPr="003A4656">
        <w:rPr>
          <w:sz w:val="22"/>
          <w:szCs w:val="22"/>
        </w:rPr>
        <w:t xml:space="preserve">observation that the constitutionally </w:t>
      </w:r>
      <w:r w:rsidR="00B23DF2" w:rsidRPr="003A4656">
        <w:rPr>
          <w:sz w:val="22"/>
          <w:szCs w:val="22"/>
        </w:rPr>
        <w:t xml:space="preserve"> </w:t>
      </w:r>
      <w:r w:rsidR="00D40B4B" w:rsidRPr="003A4656">
        <w:rPr>
          <w:sz w:val="22"/>
          <w:szCs w:val="22"/>
        </w:rPr>
        <w:t xml:space="preserve">wild-type allele is lost in most tumours that develop in carriers of pathogenic mutations </w:t>
      </w:r>
      <w:r w:rsidRPr="003A4656">
        <w:rPr>
          <w:sz w:val="22"/>
          <w:szCs w:val="22"/>
        </w:rPr>
        <w:t>(</w:t>
      </w:r>
      <w:r w:rsidRPr="003A4656">
        <w:rPr>
          <w:rFonts w:eastAsia="TimesNewRomanPS"/>
          <w:sz w:val="22"/>
          <w:szCs w:val="22"/>
        </w:rPr>
        <w:t>Chenevix-Trench G</w:t>
      </w:r>
      <w:r w:rsidR="00536187" w:rsidRPr="003A4656">
        <w:rPr>
          <w:rFonts w:eastAsia="TimesNewRomanPS"/>
          <w:sz w:val="22"/>
          <w:szCs w:val="22"/>
        </w:rPr>
        <w:t>.</w:t>
      </w:r>
      <w:r w:rsidRPr="003A4656">
        <w:rPr>
          <w:rFonts w:eastAsia="TimesNewRomanPS"/>
          <w:sz w:val="22"/>
          <w:szCs w:val="22"/>
        </w:rPr>
        <w:t xml:space="preserve"> et al.</w:t>
      </w:r>
      <w:r w:rsidRPr="003A4656">
        <w:rPr>
          <w:sz w:val="22"/>
          <w:szCs w:val="22"/>
        </w:rPr>
        <w:t>, 2006; Osorio A</w:t>
      </w:r>
      <w:r w:rsidR="00536187" w:rsidRPr="003A4656">
        <w:rPr>
          <w:sz w:val="22"/>
          <w:szCs w:val="22"/>
        </w:rPr>
        <w:t>.</w:t>
      </w:r>
      <w:r w:rsidRPr="003A4656">
        <w:rPr>
          <w:sz w:val="22"/>
          <w:szCs w:val="22"/>
        </w:rPr>
        <w:t xml:space="preserve"> et al., 2002; Osorio A</w:t>
      </w:r>
      <w:r w:rsidR="00536187" w:rsidRPr="003A4656">
        <w:rPr>
          <w:sz w:val="22"/>
          <w:szCs w:val="22"/>
        </w:rPr>
        <w:t>.</w:t>
      </w:r>
      <w:r w:rsidR="00D40B4B" w:rsidRPr="003A4656">
        <w:rPr>
          <w:sz w:val="22"/>
          <w:szCs w:val="22"/>
        </w:rPr>
        <w:t xml:space="preserve"> et al., 2007)</w:t>
      </w:r>
      <w:r w:rsidRPr="003A4656">
        <w:rPr>
          <w:sz w:val="22"/>
          <w:szCs w:val="22"/>
        </w:rPr>
        <w:t xml:space="preserve">. </w:t>
      </w:r>
      <w:r w:rsidR="00D40B4B" w:rsidRPr="003A4656">
        <w:rPr>
          <w:sz w:val="22"/>
          <w:szCs w:val="22"/>
        </w:rPr>
        <w:t>A major disadvantage of this approach is the requirement</w:t>
      </w:r>
      <w:r w:rsidRPr="003A4656">
        <w:rPr>
          <w:sz w:val="22"/>
          <w:szCs w:val="22"/>
        </w:rPr>
        <w:t xml:space="preserve"> of tumo</w:t>
      </w:r>
      <w:r w:rsidR="00D40B4B" w:rsidRPr="003A4656">
        <w:rPr>
          <w:sz w:val="22"/>
          <w:szCs w:val="22"/>
        </w:rPr>
        <w:t>u</w:t>
      </w:r>
      <w:r w:rsidRPr="003A4656">
        <w:rPr>
          <w:sz w:val="22"/>
          <w:szCs w:val="22"/>
        </w:rPr>
        <w:t xml:space="preserve">r tissue from the </w:t>
      </w:r>
      <w:r w:rsidR="00D40B4B" w:rsidRPr="003A4656">
        <w:rPr>
          <w:sz w:val="22"/>
          <w:szCs w:val="22"/>
        </w:rPr>
        <w:t>carriers of the investigated</w:t>
      </w:r>
      <w:r w:rsidRPr="003A4656">
        <w:rPr>
          <w:sz w:val="22"/>
          <w:szCs w:val="22"/>
        </w:rPr>
        <w:t xml:space="preserve"> </w:t>
      </w:r>
      <w:r w:rsidR="00DB191B" w:rsidRPr="003A4656">
        <w:rPr>
          <w:iCs/>
          <w:sz w:val="22"/>
          <w:szCs w:val="22"/>
        </w:rPr>
        <w:t>variants</w:t>
      </w:r>
      <w:r w:rsidR="00D40B4B" w:rsidRPr="003A4656">
        <w:rPr>
          <w:i/>
          <w:iCs/>
          <w:sz w:val="22"/>
          <w:szCs w:val="22"/>
        </w:rPr>
        <w:t>.</w:t>
      </w:r>
    </w:p>
    <w:p w:rsidR="00C941EF" w:rsidRPr="003A4656" w:rsidRDefault="00C941EF" w:rsidP="0005572B">
      <w:pPr>
        <w:ind w:left="0" w:right="0"/>
        <w:rPr>
          <w:sz w:val="22"/>
          <w:szCs w:val="22"/>
        </w:rPr>
      </w:pPr>
    </w:p>
    <w:p w:rsidR="00C941EF" w:rsidRPr="003A4656" w:rsidRDefault="007E3B79" w:rsidP="0005572B">
      <w:pPr>
        <w:ind w:left="0" w:right="0" w:firstLine="360"/>
        <w:rPr>
          <w:b/>
          <w:sz w:val="22"/>
          <w:szCs w:val="22"/>
        </w:rPr>
      </w:pPr>
      <w:r w:rsidRPr="003A4656">
        <w:rPr>
          <w:b/>
          <w:sz w:val="22"/>
          <w:szCs w:val="22"/>
        </w:rPr>
        <w:t>3</w:t>
      </w:r>
      <w:r w:rsidR="00C941EF" w:rsidRPr="003A4656">
        <w:rPr>
          <w:b/>
          <w:sz w:val="22"/>
          <w:szCs w:val="22"/>
        </w:rPr>
        <w:t xml:space="preserve">.3 Functional </w:t>
      </w:r>
      <w:r w:rsidR="0040265C" w:rsidRPr="003A4656">
        <w:rPr>
          <w:b/>
          <w:sz w:val="22"/>
          <w:szCs w:val="22"/>
        </w:rPr>
        <w:t>analyses</w:t>
      </w:r>
    </w:p>
    <w:p w:rsidR="00C941EF" w:rsidRPr="003A4656" w:rsidRDefault="00C941EF" w:rsidP="0005572B">
      <w:pPr>
        <w:ind w:left="0" w:right="0"/>
        <w:rPr>
          <w:sz w:val="22"/>
          <w:szCs w:val="22"/>
        </w:rPr>
      </w:pPr>
    </w:p>
    <w:p w:rsidR="00C941EF" w:rsidRPr="003A4656" w:rsidRDefault="0040265C" w:rsidP="0005572B">
      <w:pPr>
        <w:ind w:left="0" w:right="0"/>
        <w:rPr>
          <w:sz w:val="22"/>
          <w:szCs w:val="22"/>
        </w:rPr>
      </w:pPr>
      <w:r w:rsidRPr="003A4656">
        <w:rPr>
          <w:sz w:val="22"/>
          <w:szCs w:val="22"/>
        </w:rPr>
        <w:t xml:space="preserve">Functional analyses may represent a powerful tool </w:t>
      </w:r>
      <w:r w:rsidR="00C941EF" w:rsidRPr="003A4656">
        <w:rPr>
          <w:sz w:val="22"/>
          <w:szCs w:val="22"/>
        </w:rPr>
        <w:t xml:space="preserve">to determine the clinical relevance of </w:t>
      </w:r>
      <w:r w:rsidR="00A853C8" w:rsidRPr="003A4656">
        <w:rPr>
          <w:sz w:val="22"/>
          <w:szCs w:val="22"/>
        </w:rPr>
        <w:t>VUS</w:t>
      </w:r>
      <w:r w:rsidR="00C941EF" w:rsidRPr="003A4656">
        <w:rPr>
          <w:sz w:val="22"/>
          <w:szCs w:val="22"/>
        </w:rPr>
        <w:t xml:space="preserve"> in </w:t>
      </w:r>
      <w:r w:rsidR="00C941EF" w:rsidRPr="003A4656">
        <w:rPr>
          <w:i/>
          <w:iCs/>
          <w:sz w:val="22"/>
          <w:szCs w:val="22"/>
        </w:rPr>
        <w:t xml:space="preserve">BRCA1 </w:t>
      </w:r>
      <w:r w:rsidR="00C941EF" w:rsidRPr="003A4656">
        <w:rPr>
          <w:sz w:val="22"/>
          <w:szCs w:val="22"/>
        </w:rPr>
        <w:t xml:space="preserve">and </w:t>
      </w:r>
      <w:r w:rsidR="00C941EF" w:rsidRPr="003A4656">
        <w:rPr>
          <w:i/>
          <w:iCs/>
          <w:sz w:val="22"/>
          <w:szCs w:val="22"/>
        </w:rPr>
        <w:t>BRCA2</w:t>
      </w:r>
      <w:r w:rsidR="00C941EF" w:rsidRPr="003A4656">
        <w:rPr>
          <w:sz w:val="22"/>
          <w:szCs w:val="22"/>
        </w:rPr>
        <w:t xml:space="preserve">. These </w:t>
      </w:r>
      <w:r w:rsidRPr="003A4656">
        <w:rPr>
          <w:sz w:val="22"/>
          <w:szCs w:val="22"/>
        </w:rPr>
        <w:t>analyses</w:t>
      </w:r>
      <w:r w:rsidR="00C941EF" w:rsidRPr="003A4656">
        <w:rPr>
          <w:sz w:val="22"/>
          <w:szCs w:val="22"/>
        </w:rPr>
        <w:t xml:space="preserve"> are intended to </w:t>
      </w:r>
      <w:r w:rsidRPr="003A4656">
        <w:rPr>
          <w:sz w:val="22"/>
          <w:szCs w:val="22"/>
        </w:rPr>
        <w:t>serve as</w:t>
      </w:r>
      <w:r w:rsidR="00C941EF" w:rsidRPr="003A4656">
        <w:rPr>
          <w:sz w:val="22"/>
          <w:szCs w:val="22"/>
        </w:rPr>
        <w:t xml:space="preserve"> independent classifiers of </w:t>
      </w:r>
      <w:r w:rsidR="00A853C8" w:rsidRPr="003A4656">
        <w:rPr>
          <w:sz w:val="22"/>
          <w:szCs w:val="22"/>
        </w:rPr>
        <w:t>VUS</w:t>
      </w:r>
      <w:r w:rsidR="00C941EF" w:rsidRPr="003A4656">
        <w:rPr>
          <w:sz w:val="22"/>
          <w:szCs w:val="22"/>
        </w:rPr>
        <w:t xml:space="preserve"> through </w:t>
      </w:r>
      <w:r w:rsidR="00D40B4B" w:rsidRPr="003A4656">
        <w:rPr>
          <w:sz w:val="22"/>
          <w:szCs w:val="22"/>
        </w:rPr>
        <w:t xml:space="preserve">the </w:t>
      </w:r>
      <w:r w:rsidR="00C941EF" w:rsidRPr="003A4656">
        <w:rPr>
          <w:sz w:val="22"/>
          <w:szCs w:val="22"/>
        </w:rPr>
        <w:t xml:space="preserve">assessment of the influence of the </w:t>
      </w:r>
      <w:r w:rsidR="00A853C8" w:rsidRPr="003A4656">
        <w:rPr>
          <w:sz w:val="22"/>
          <w:szCs w:val="22"/>
        </w:rPr>
        <w:t>variants</w:t>
      </w:r>
      <w:r w:rsidR="00C941EF" w:rsidRPr="003A4656">
        <w:rPr>
          <w:sz w:val="22"/>
          <w:szCs w:val="22"/>
        </w:rPr>
        <w:t xml:space="preserve"> on protein function and also to provide additional data that can be combined with available genetic and epidemiological data in a likelihood model to predict cancer causality of </w:t>
      </w:r>
      <w:r w:rsidR="00A853C8" w:rsidRPr="003A4656">
        <w:rPr>
          <w:sz w:val="22"/>
          <w:szCs w:val="22"/>
        </w:rPr>
        <w:t>VUS</w:t>
      </w:r>
      <w:r w:rsidR="00C941EF" w:rsidRPr="003A4656">
        <w:rPr>
          <w:sz w:val="22"/>
          <w:szCs w:val="22"/>
        </w:rPr>
        <w:t xml:space="preserve"> (Millot G.</w:t>
      </w:r>
      <w:r w:rsidR="005A2B2C" w:rsidRPr="003A4656">
        <w:rPr>
          <w:sz w:val="22"/>
          <w:szCs w:val="22"/>
        </w:rPr>
        <w:t>A.</w:t>
      </w:r>
      <w:r w:rsidR="00C941EF" w:rsidRPr="003A4656">
        <w:rPr>
          <w:sz w:val="22"/>
          <w:szCs w:val="22"/>
        </w:rPr>
        <w:t xml:space="preserve"> et al., 2012).</w:t>
      </w:r>
    </w:p>
    <w:p w:rsidR="00C941EF" w:rsidRPr="003A4656" w:rsidRDefault="000C6ED5" w:rsidP="0005572B">
      <w:pPr>
        <w:ind w:left="0" w:right="0"/>
        <w:rPr>
          <w:sz w:val="22"/>
          <w:szCs w:val="22"/>
        </w:rPr>
      </w:pPr>
      <w:r w:rsidRPr="003A4656">
        <w:rPr>
          <w:sz w:val="22"/>
          <w:szCs w:val="22"/>
        </w:rPr>
        <w:t>Classification of VUS may be based on</w:t>
      </w:r>
      <w:r w:rsidR="00C941EF" w:rsidRPr="003A4656">
        <w:rPr>
          <w:sz w:val="22"/>
          <w:szCs w:val="22"/>
        </w:rPr>
        <w:t xml:space="preserve"> </w:t>
      </w:r>
      <w:r w:rsidR="00C941EF" w:rsidRPr="003A4656">
        <w:rPr>
          <w:i/>
          <w:iCs/>
          <w:sz w:val="22"/>
          <w:szCs w:val="22"/>
        </w:rPr>
        <w:t xml:space="preserve">functional data </w:t>
      </w:r>
      <w:r w:rsidRPr="003A4656">
        <w:rPr>
          <w:sz w:val="22"/>
          <w:szCs w:val="22"/>
        </w:rPr>
        <w:t>or</w:t>
      </w:r>
      <w:r w:rsidR="00C941EF" w:rsidRPr="003A4656">
        <w:rPr>
          <w:sz w:val="22"/>
          <w:szCs w:val="22"/>
        </w:rPr>
        <w:t xml:space="preserve"> </w:t>
      </w:r>
      <w:r w:rsidRPr="003A4656">
        <w:rPr>
          <w:sz w:val="22"/>
          <w:szCs w:val="22"/>
        </w:rPr>
        <w:t xml:space="preserve">on </w:t>
      </w:r>
      <w:r w:rsidR="00C941EF" w:rsidRPr="003A4656">
        <w:rPr>
          <w:i/>
          <w:iCs/>
          <w:sz w:val="22"/>
          <w:szCs w:val="22"/>
        </w:rPr>
        <w:t>functional assays</w:t>
      </w:r>
      <w:r w:rsidR="00C941EF" w:rsidRPr="003A4656">
        <w:rPr>
          <w:sz w:val="22"/>
          <w:szCs w:val="22"/>
        </w:rPr>
        <w:t>. Functional data include all kinds of published data that generate information on a phenotype caused by a particular variant (sets of experiments in which a germ-line mutation is shown to abolish a defined protein-protein interaction</w:t>
      </w:r>
      <w:r w:rsidR="00C941EF" w:rsidRPr="003A4656">
        <w:rPr>
          <w:i/>
          <w:sz w:val="22"/>
          <w:szCs w:val="22"/>
        </w:rPr>
        <w:t xml:space="preserve">; </w:t>
      </w:r>
      <w:r w:rsidR="00DB191B" w:rsidRPr="003A4656">
        <w:rPr>
          <w:i/>
          <w:sz w:val="22"/>
          <w:szCs w:val="22"/>
        </w:rPr>
        <w:t>e.g</w:t>
      </w:r>
      <w:proofErr w:type="gramStart"/>
      <w:r w:rsidR="00DB191B" w:rsidRPr="003A4656">
        <w:rPr>
          <w:i/>
          <w:sz w:val="22"/>
          <w:szCs w:val="22"/>
        </w:rPr>
        <w:t>.</w:t>
      </w:r>
      <w:r w:rsidR="00C941EF" w:rsidRPr="003A4656">
        <w:rPr>
          <w:i/>
          <w:sz w:val="22"/>
          <w:szCs w:val="22"/>
        </w:rPr>
        <w:t>.</w:t>
      </w:r>
      <w:proofErr w:type="gramEnd"/>
      <w:r w:rsidR="00C941EF" w:rsidRPr="003A4656">
        <w:rPr>
          <w:sz w:val="22"/>
          <w:szCs w:val="22"/>
        </w:rPr>
        <w:t xml:space="preserve"> the disruption of BRCA1/BARD1 binding by introduction of the C61G mutation) (Wu </w:t>
      </w:r>
      <w:r w:rsidR="005A2B2C" w:rsidRPr="003A4656">
        <w:rPr>
          <w:sz w:val="22"/>
          <w:szCs w:val="22"/>
        </w:rPr>
        <w:t>L.C.</w:t>
      </w:r>
      <w:r w:rsidR="00C941EF" w:rsidRPr="003A4656">
        <w:rPr>
          <w:sz w:val="22"/>
          <w:szCs w:val="22"/>
        </w:rPr>
        <w:t>et al., 1996; Brzovic P</w:t>
      </w:r>
      <w:r w:rsidR="00536187" w:rsidRPr="003A4656">
        <w:rPr>
          <w:sz w:val="22"/>
          <w:szCs w:val="22"/>
        </w:rPr>
        <w:t>.</w:t>
      </w:r>
      <w:r w:rsidR="00C941EF" w:rsidRPr="003A4656">
        <w:rPr>
          <w:sz w:val="22"/>
          <w:szCs w:val="22"/>
        </w:rPr>
        <w:t>S</w:t>
      </w:r>
      <w:r w:rsidR="00536187" w:rsidRPr="003A4656">
        <w:rPr>
          <w:sz w:val="22"/>
          <w:szCs w:val="22"/>
        </w:rPr>
        <w:t>.</w:t>
      </w:r>
      <w:r w:rsidR="00C941EF" w:rsidRPr="003A4656">
        <w:rPr>
          <w:sz w:val="22"/>
          <w:szCs w:val="22"/>
        </w:rPr>
        <w:t xml:space="preserve"> et al., 1998).</w:t>
      </w:r>
    </w:p>
    <w:p w:rsidR="00C941EF" w:rsidRPr="003A4656" w:rsidRDefault="00C941EF" w:rsidP="0005572B">
      <w:pPr>
        <w:ind w:left="0" w:right="0"/>
        <w:rPr>
          <w:sz w:val="22"/>
          <w:szCs w:val="22"/>
        </w:rPr>
      </w:pPr>
      <w:r w:rsidRPr="003A4656">
        <w:rPr>
          <w:sz w:val="22"/>
          <w:szCs w:val="22"/>
        </w:rPr>
        <w:t xml:space="preserve">Functional </w:t>
      </w:r>
      <w:r w:rsidRPr="003A4656">
        <w:rPr>
          <w:iCs/>
          <w:sz w:val="22"/>
          <w:szCs w:val="22"/>
        </w:rPr>
        <w:t>assays</w:t>
      </w:r>
      <w:r w:rsidRPr="003A4656">
        <w:rPr>
          <w:sz w:val="22"/>
          <w:szCs w:val="22"/>
        </w:rPr>
        <w:t xml:space="preserve"> represent experiments in which a series of variants have been systematically analyzed and compared to well-defined positive and negative controls (Phelan </w:t>
      </w:r>
      <w:r w:rsidR="005A2B2C" w:rsidRPr="003A4656">
        <w:rPr>
          <w:sz w:val="22"/>
          <w:szCs w:val="22"/>
        </w:rPr>
        <w:t xml:space="preserve">C.M. </w:t>
      </w:r>
      <w:r w:rsidRPr="003A4656">
        <w:rPr>
          <w:sz w:val="22"/>
          <w:szCs w:val="22"/>
        </w:rPr>
        <w:t>et al., 2005). Carvalho et al. suggest that negative controls should be at least two highly penetrant mutations (odds of at least 20:1 in favo</w:t>
      </w:r>
      <w:r w:rsidR="005626D4" w:rsidRPr="003A4656">
        <w:rPr>
          <w:sz w:val="22"/>
          <w:szCs w:val="22"/>
        </w:rPr>
        <w:t>u</w:t>
      </w:r>
      <w:r w:rsidRPr="003A4656">
        <w:rPr>
          <w:sz w:val="22"/>
          <w:szCs w:val="22"/>
        </w:rPr>
        <w:t>r of being deleterious)  as defined by clinical data (Carvalho M</w:t>
      </w:r>
      <w:r w:rsidR="005A2B2C" w:rsidRPr="003A4656">
        <w:rPr>
          <w:sz w:val="22"/>
          <w:szCs w:val="22"/>
        </w:rPr>
        <w:t>.</w:t>
      </w:r>
      <w:r w:rsidRPr="003A4656">
        <w:rPr>
          <w:sz w:val="22"/>
          <w:szCs w:val="22"/>
        </w:rPr>
        <w:t>A</w:t>
      </w:r>
      <w:r w:rsidR="005A2B2C" w:rsidRPr="003A4656">
        <w:rPr>
          <w:sz w:val="22"/>
          <w:szCs w:val="22"/>
        </w:rPr>
        <w:t>.</w:t>
      </w:r>
      <w:r w:rsidRPr="003A4656">
        <w:rPr>
          <w:sz w:val="22"/>
          <w:szCs w:val="22"/>
        </w:rPr>
        <w:t xml:space="preserve"> et al.</w:t>
      </w:r>
      <w:r w:rsidR="005A2B2C" w:rsidRPr="003A4656">
        <w:rPr>
          <w:sz w:val="22"/>
          <w:szCs w:val="22"/>
        </w:rPr>
        <w:t>,</w:t>
      </w:r>
      <w:r w:rsidRPr="003A4656">
        <w:rPr>
          <w:sz w:val="22"/>
          <w:szCs w:val="22"/>
        </w:rPr>
        <w:t xml:space="preserve"> 2007</w:t>
      </w:r>
      <w:r w:rsidR="0087281F" w:rsidRPr="003A4656">
        <w:rPr>
          <w:sz w:val="22"/>
          <w:szCs w:val="22"/>
        </w:rPr>
        <w:t>b</w:t>
      </w:r>
      <w:r w:rsidRPr="003A4656">
        <w:rPr>
          <w:sz w:val="22"/>
          <w:szCs w:val="22"/>
        </w:rPr>
        <w:t xml:space="preserve">). Taking </w:t>
      </w:r>
      <w:r w:rsidRPr="003A4656">
        <w:rPr>
          <w:i/>
          <w:sz w:val="22"/>
          <w:szCs w:val="22"/>
        </w:rPr>
        <w:t>BRCA1</w:t>
      </w:r>
      <w:r w:rsidRPr="003A4656">
        <w:rPr>
          <w:sz w:val="22"/>
          <w:szCs w:val="22"/>
        </w:rPr>
        <w:t xml:space="preserve"> as an example, the C61G mutation for the N-terminal region and M1775R, A1708E and Y1853X for the C-terminal region constitute appropriate negative controls. Positive contro</w:t>
      </w:r>
      <w:r w:rsidR="005A2B2C" w:rsidRPr="003A4656">
        <w:rPr>
          <w:sz w:val="22"/>
          <w:szCs w:val="22"/>
        </w:rPr>
        <w:t xml:space="preserve">ls should be the wild-type </w:t>
      </w:r>
      <w:r w:rsidR="005A2B2C" w:rsidRPr="003A4656">
        <w:rPr>
          <w:i/>
          <w:sz w:val="22"/>
          <w:szCs w:val="22"/>
        </w:rPr>
        <w:t>BRCA1</w:t>
      </w:r>
      <w:r w:rsidR="005A2B2C" w:rsidRPr="003A4656">
        <w:rPr>
          <w:sz w:val="22"/>
          <w:szCs w:val="22"/>
        </w:rPr>
        <w:t xml:space="preserve"> </w:t>
      </w:r>
      <w:r w:rsidRPr="003A4656">
        <w:rPr>
          <w:sz w:val="22"/>
          <w:szCs w:val="22"/>
        </w:rPr>
        <w:t>and at least one well-defined benign polymorphism (odds of at least 100:1 in favo</w:t>
      </w:r>
      <w:r w:rsidR="005626D4" w:rsidRPr="003A4656">
        <w:rPr>
          <w:sz w:val="22"/>
          <w:szCs w:val="22"/>
        </w:rPr>
        <w:t>u</w:t>
      </w:r>
      <w:r w:rsidRPr="003A4656">
        <w:rPr>
          <w:sz w:val="22"/>
          <w:szCs w:val="22"/>
        </w:rPr>
        <w:t>r of neutrality</w:t>
      </w:r>
      <w:r w:rsidR="005A2B2C" w:rsidRPr="003A4656">
        <w:rPr>
          <w:sz w:val="22"/>
          <w:szCs w:val="22"/>
        </w:rPr>
        <w:t>)</w:t>
      </w:r>
      <w:r w:rsidRPr="003A4656">
        <w:rPr>
          <w:sz w:val="22"/>
          <w:szCs w:val="22"/>
        </w:rPr>
        <w:t xml:space="preserve">. Functional assays are utilized not only to distinguish high-risk alleles from neutral variants, but also identify those associated with a moderate level of risk (Lovelock P.H. et al., 2007). </w:t>
      </w:r>
    </w:p>
    <w:p w:rsidR="00D03DB7" w:rsidRPr="003A4656" w:rsidRDefault="00C941EF" w:rsidP="0005572B">
      <w:pPr>
        <w:ind w:left="0" w:right="0"/>
        <w:rPr>
          <w:sz w:val="22"/>
          <w:szCs w:val="22"/>
        </w:rPr>
      </w:pPr>
      <w:r w:rsidRPr="003A4656">
        <w:rPr>
          <w:sz w:val="22"/>
          <w:szCs w:val="22"/>
        </w:rPr>
        <w:t xml:space="preserve">The following functional approaches </w:t>
      </w:r>
      <w:r w:rsidR="005626D4" w:rsidRPr="003A4656">
        <w:rPr>
          <w:sz w:val="22"/>
          <w:szCs w:val="22"/>
        </w:rPr>
        <w:t>have</w:t>
      </w:r>
      <w:r w:rsidR="00DB191B" w:rsidRPr="003A4656">
        <w:rPr>
          <w:sz w:val="22"/>
          <w:szCs w:val="22"/>
        </w:rPr>
        <w:t xml:space="preserve"> been extensively</w:t>
      </w:r>
      <w:r w:rsidR="00A13951" w:rsidRPr="003A4656">
        <w:rPr>
          <w:sz w:val="22"/>
          <w:szCs w:val="22"/>
        </w:rPr>
        <w:t xml:space="preserve"> applied</w:t>
      </w:r>
      <w:r w:rsidRPr="003A4656">
        <w:rPr>
          <w:sz w:val="22"/>
          <w:szCs w:val="22"/>
        </w:rPr>
        <w:t xml:space="preserve"> to charact</w:t>
      </w:r>
      <w:r w:rsidR="005626D4" w:rsidRPr="003A4656">
        <w:rPr>
          <w:sz w:val="22"/>
          <w:szCs w:val="22"/>
        </w:rPr>
        <w:t>erize VUS mapped to the carboxy-</w:t>
      </w:r>
      <w:r w:rsidRPr="003A4656">
        <w:rPr>
          <w:sz w:val="22"/>
          <w:szCs w:val="22"/>
        </w:rPr>
        <w:t>terminus of BRCA1: the transc</w:t>
      </w:r>
      <w:r w:rsidR="005A2B2C" w:rsidRPr="003A4656">
        <w:rPr>
          <w:sz w:val="22"/>
          <w:szCs w:val="22"/>
        </w:rPr>
        <w:t>ription activation assay (TA) (</w:t>
      </w:r>
      <w:r w:rsidRPr="003A4656">
        <w:rPr>
          <w:sz w:val="22"/>
          <w:szCs w:val="22"/>
        </w:rPr>
        <w:t>Carvalho M</w:t>
      </w:r>
      <w:r w:rsidR="00F56ECC" w:rsidRPr="003A4656">
        <w:rPr>
          <w:sz w:val="22"/>
          <w:szCs w:val="22"/>
        </w:rPr>
        <w:t>.</w:t>
      </w:r>
      <w:r w:rsidRPr="003A4656">
        <w:rPr>
          <w:sz w:val="22"/>
          <w:szCs w:val="22"/>
        </w:rPr>
        <w:t>A</w:t>
      </w:r>
      <w:r w:rsidR="00F56ECC" w:rsidRPr="003A4656">
        <w:rPr>
          <w:sz w:val="22"/>
          <w:szCs w:val="22"/>
        </w:rPr>
        <w:t>.</w:t>
      </w:r>
      <w:r w:rsidRPr="003A4656">
        <w:rPr>
          <w:sz w:val="22"/>
          <w:szCs w:val="22"/>
        </w:rPr>
        <w:t xml:space="preserve"> et al., 2007</w:t>
      </w:r>
      <w:r w:rsidR="0087281F" w:rsidRPr="003A4656">
        <w:rPr>
          <w:sz w:val="22"/>
          <w:szCs w:val="22"/>
        </w:rPr>
        <w:t>a</w:t>
      </w:r>
      <w:r w:rsidRPr="003A4656">
        <w:rPr>
          <w:sz w:val="22"/>
          <w:szCs w:val="22"/>
        </w:rPr>
        <w:t xml:space="preserve">), </w:t>
      </w:r>
      <w:r w:rsidR="005626D4" w:rsidRPr="003A4656">
        <w:rPr>
          <w:sz w:val="22"/>
          <w:szCs w:val="22"/>
        </w:rPr>
        <w:t xml:space="preserve">the </w:t>
      </w:r>
      <w:r w:rsidRPr="003A4656">
        <w:rPr>
          <w:sz w:val="22"/>
          <w:szCs w:val="22"/>
        </w:rPr>
        <w:t>protease sensitivity assay (Williams</w:t>
      </w:r>
      <w:r w:rsidR="00F56ECC" w:rsidRPr="003A4656">
        <w:rPr>
          <w:sz w:val="22"/>
          <w:szCs w:val="22"/>
        </w:rPr>
        <w:t xml:space="preserve"> R.S.</w:t>
      </w:r>
      <w:r w:rsidR="006E4ED1" w:rsidRPr="003A4656">
        <w:rPr>
          <w:sz w:val="22"/>
          <w:szCs w:val="22"/>
        </w:rPr>
        <w:t xml:space="preserve"> et al., 2003), </w:t>
      </w:r>
      <w:r w:rsidR="005626D4" w:rsidRPr="003A4656">
        <w:rPr>
          <w:sz w:val="22"/>
          <w:szCs w:val="22"/>
        </w:rPr>
        <w:t xml:space="preserve">the </w:t>
      </w:r>
      <w:r w:rsidRPr="003A4656">
        <w:rPr>
          <w:sz w:val="22"/>
          <w:szCs w:val="22"/>
        </w:rPr>
        <w:t>phospopepitde binding assay (Lee</w:t>
      </w:r>
      <w:r w:rsidR="00D03DB7" w:rsidRPr="003A4656">
        <w:rPr>
          <w:sz w:val="22"/>
          <w:szCs w:val="22"/>
        </w:rPr>
        <w:t xml:space="preserve"> M.S. </w:t>
      </w:r>
      <w:r w:rsidRPr="003A4656">
        <w:rPr>
          <w:sz w:val="22"/>
          <w:szCs w:val="22"/>
        </w:rPr>
        <w:t xml:space="preserve">et al., 2010), </w:t>
      </w:r>
      <w:r w:rsidR="005626D4" w:rsidRPr="003A4656">
        <w:rPr>
          <w:sz w:val="22"/>
          <w:szCs w:val="22"/>
        </w:rPr>
        <w:t xml:space="preserve">the </w:t>
      </w:r>
      <w:r w:rsidRPr="003A4656">
        <w:rPr>
          <w:sz w:val="22"/>
          <w:szCs w:val="22"/>
        </w:rPr>
        <w:t>Small Colony Phenotype (SCP) assay (Coyne R</w:t>
      </w:r>
      <w:r w:rsidR="006E4ED1" w:rsidRPr="003A4656">
        <w:rPr>
          <w:sz w:val="22"/>
          <w:szCs w:val="22"/>
        </w:rPr>
        <w:t>.</w:t>
      </w:r>
      <w:r w:rsidRPr="003A4656">
        <w:rPr>
          <w:sz w:val="22"/>
          <w:szCs w:val="22"/>
        </w:rPr>
        <w:t>S</w:t>
      </w:r>
      <w:r w:rsidR="006E4ED1" w:rsidRPr="003A4656">
        <w:rPr>
          <w:sz w:val="22"/>
          <w:szCs w:val="22"/>
        </w:rPr>
        <w:t>.</w:t>
      </w:r>
      <w:r w:rsidRPr="003A4656">
        <w:rPr>
          <w:sz w:val="22"/>
          <w:szCs w:val="22"/>
        </w:rPr>
        <w:t xml:space="preserve"> et al., 2004). The TA assay monitors the integrity of the C-terminus of </w:t>
      </w:r>
      <w:r w:rsidRPr="003A4656">
        <w:rPr>
          <w:i/>
          <w:sz w:val="22"/>
          <w:szCs w:val="22"/>
        </w:rPr>
        <w:t>BRCA1</w:t>
      </w:r>
      <w:r w:rsidRPr="003A4656">
        <w:rPr>
          <w:sz w:val="22"/>
          <w:szCs w:val="22"/>
        </w:rPr>
        <w:t>, which includes the tandem BRCT domains; the protease sensitivity assay derives from</w:t>
      </w:r>
      <w:r w:rsidR="005626D4" w:rsidRPr="003A4656">
        <w:rPr>
          <w:sz w:val="22"/>
          <w:szCs w:val="22"/>
        </w:rPr>
        <w:t xml:space="preserve"> the</w:t>
      </w:r>
      <w:r w:rsidRPr="003A4656">
        <w:rPr>
          <w:sz w:val="22"/>
          <w:szCs w:val="22"/>
        </w:rPr>
        <w:t xml:space="preserve"> observation that BRCT domains containing a deleterious mutation </w:t>
      </w:r>
      <w:r w:rsidR="00DB191B" w:rsidRPr="003A4656">
        <w:rPr>
          <w:sz w:val="22"/>
          <w:szCs w:val="22"/>
        </w:rPr>
        <w:t xml:space="preserve">are </w:t>
      </w:r>
      <w:r w:rsidRPr="003A4656">
        <w:rPr>
          <w:sz w:val="22"/>
          <w:szCs w:val="22"/>
        </w:rPr>
        <w:t>more susceptible to p</w:t>
      </w:r>
      <w:r w:rsidR="005626D4" w:rsidRPr="003A4656">
        <w:rPr>
          <w:sz w:val="22"/>
          <w:szCs w:val="22"/>
        </w:rPr>
        <w:t>rotease digestion than the wild-</w:t>
      </w:r>
      <w:r w:rsidRPr="003A4656">
        <w:rPr>
          <w:sz w:val="22"/>
          <w:szCs w:val="22"/>
        </w:rPr>
        <w:t xml:space="preserve">type counterpart </w:t>
      </w:r>
      <w:r w:rsidR="00D03DB7" w:rsidRPr="003A4656">
        <w:rPr>
          <w:sz w:val="22"/>
          <w:szCs w:val="22"/>
        </w:rPr>
        <w:t xml:space="preserve">and </w:t>
      </w:r>
      <w:r w:rsidRPr="003A4656">
        <w:rPr>
          <w:sz w:val="22"/>
          <w:szCs w:val="22"/>
        </w:rPr>
        <w:t xml:space="preserve">the phosphopeptide binding assay </w:t>
      </w:r>
      <w:r w:rsidR="00DB191B" w:rsidRPr="003A4656">
        <w:rPr>
          <w:sz w:val="22"/>
          <w:szCs w:val="22"/>
        </w:rPr>
        <w:t>exploits</w:t>
      </w:r>
      <w:r w:rsidRPr="003A4656">
        <w:rPr>
          <w:sz w:val="22"/>
          <w:szCs w:val="22"/>
        </w:rPr>
        <w:t xml:space="preserve"> from </w:t>
      </w:r>
      <w:r w:rsidR="005626D4" w:rsidRPr="003A4656">
        <w:rPr>
          <w:sz w:val="22"/>
          <w:szCs w:val="22"/>
        </w:rPr>
        <w:t>the finding</w:t>
      </w:r>
      <w:r w:rsidRPr="003A4656">
        <w:rPr>
          <w:sz w:val="22"/>
          <w:szCs w:val="22"/>
        </w:rPr>
        <w:t xml:space="preserve"> that the BRCT domains in </w:t>
      </w:r>
      <w:r w:rsidRPr="003A4656">
        <w:rPr>
          <w:i/>
          <w:sz w:val="22"/>
          <w:szCs w:val="22"/>
        </w:rPr>
        <w:t>BRCA1</w:t>
      </w:r>
      <w:r w:rsidRPr="003A4656">
        <w:rPr>
          <w:sz w:val="22"/>
          <w:szCs w:val="22"/>
        </w:rPr>
        <w:t xml:space="preserve"> interact with phosphorylated protein targets containing a detailed sequence. The SCP assay is based on the observation that </w:t>
      </w:r>
      <w:r w:rsidRPr="003A4656">
        <w:rPr>
          <w:i/>
          <w:sz w:val="22"/>
          <w:szCs w:val="22"/>
        </w:rPr>
        <w:t>BRCA1</w:t>
      </w:r>
      <w:r w:rsidRPr="003A4656">
        <w:rPr>
          <w:sz w:val="22"/>
          <w:szCs w:val="22"/>
        </w:rPr>
        <w:t xml:space="preserve"> expression inhibits yeast growth leading to the formation of small size colonies. An </w:t>
      </w:r>
      <w:r w:rsidR="00A13951" w:rsidRPr="003A4656">
        <w:rPr>
          <w:sz w:val="22"/>
          <w:szCs w:val="22"/>
        </w:rPr>
        <w:t xml:space="preserve">additional </w:t>
      </w:r>
      <w:r w:rsidRPr="003A4656">
        <w:rPr>
          <w:sz w:val="22"/>
          <w:szCs w:val="22"/>
        </w:rPr>
        <w:t xml:space="preserve">approach </w:t>
      </w:r>
      <w:r w:rsidR="00A13951" w:rsidRPr="003A4656">
        <w:rPr>
          <w:sz w:val="22"/>
          <w:szCs w:val="22"/>
        </w:rPr>
        <w:t>combines</w:t>
      </w:r>
      <w:r w:rsidRPr="003A4656">
        <w:rPr>
          <w:sz w:val="22"/>
          <w:szCs w:val="22"/>
        </w:rPr>
        <w:t xml:space="preserve"> </w:t>
      </w:r>
      <w:r w:rsidRPr="003A4656">
        <w:rPr>
          <w:sz w:val="22"/>
          <w:szCs w:val="22"/>
          <w:lang w:eastAsia="it-IT"/>
        </w:rPr>
        <w:t xml:space="preserve">yeast two-hybrid screening of the mutagenized </w:t>
      </w:r>
      <w:r w:rsidRPr="003A4656">
        <w:rPr>
          <w:i/>
          <w:sz w:val="22"/>
          <w:szCs w:val="22"/>
          <w:lang w:eastAsia="it-IT"/>
        </w:rPr>
        <w:t>BRCA1</w:t>
      </w:r>
      <w:r w:rsidRPr="003A4656">
        <w:rPr>
          <w:sz w:val="22"/>
          <w:szCs w:val="22"/>
          <w:lang w:eastAsia="it-IT"/>
        </w:rPr>
        <w:t xml:space="preserve"> N-terminal region against BARD1 or UbcH5a and </w:t>
      </w:r>
      <w:r w:rsidRPr="003A4656">
        <w:rPr>
          <w:i/>
          <w:sz w:val="22"/>
          <w:szCs w:val="22"/>
          <w:lang w:eastAsia="it-IT"/>
        </w:rPr>
        <w:t>in vitro</w:t>
      </w:r>
      <w:r w:rsidRPr="003A4656">
        <w:rPr>
          <w:sz w:val="22"/>
          <w:szCs w:val="22"/>
          <w:lang w:eastAsia="it-IT"/>
        </w:rPr>
        <w:t xml:space="preserve"> ubiquitination assay </w:t>
      </w:r>
      <w:r w:rsidRPr="003A4656">
        <w:rPr>
          <w:sz w:val="22"/>
          <w:szCs w:val="22"/>
        </w:rPr>
        <w:t>(Morris</w:t>
      </w:r>
      <w:r w:rsidR="00D03DB7" w:rsidRPr="003A4656">
        <w:rPr>
          <w:sz w:val="22"/>
          <w:szCs w:val="22"/>
        </w:rPr>
        <w:t xml:space="preserve"> J.R.</w:t>
      </w:r>
      <w:r w:rsidRPr="003A4656">
        <w:rPr>
          <w:sz w:val="22"/>
          <w:szCs w:val="22"/>
        </w:rPr>
        <w:t xml:space="preserve"> et al., 2006). </w:t>
      </w:r>
    </w:p>
    <w:p w:rsidR="00C941EF" w:rsidRPr="003A4656" w:rsidRDefault="00C941EF" w:rsidP="0005572B">
      <w:pPr>
        <w:ind w:left="0" w:right="0"/>
        <w:rPr>
          <w:sz w:val="22"/>
          <w:szCs w:val="22"/>
        </w:rPr>
      </w:pPr>
      <w:r w:rsidRPr="003A4656">
        <w:rPr>
          <w:sz w:val="22"/>
          <w:szCs w:val="22"/>
        </w:rPr>
        <w:t>More recent</w:t>
      </w:r>
      <w:r w:rsidR="00A13951" w:rsidRPr="003A4656">
        <w:rPr>
          <w:sz w:val="22"/>
          <w:szCs w:val="22"/>
        </w:rPr>
        <w:t>ly developed</w:t>
      </w:r>
      <w:r w:rsidRPr="003A4656">
        <w:rPr>
          <w:sz w:val="22"/>
          <w:szCs w:val="22"/>
        </w:rPr>
        <w:t xml:space="preserve"> methods </w:t>
      </w:r>
      <w:r w:rsidR="00A13951" w:rsidRPr="003A4656">
        <w:rPr>
          <w:sz w:val="22"/>
          <w:szCs w:val="22"/>
        </w:rPr>
        <w:t>for</w:t>
      </w:r>
      <w:r w:rsidRPr="003A4656">
        <w:rPr>
          <w:sz w:val="22"/>
          <w:szCs w:val="22"/>
        </w:rPr>
        <w:t xml:space="preserve"> the classification of </w:t>
      </w:r>
      <w:r w:rsidRPr="003A4656">
        <w:rPr>
          <w:i/>
          <w:sz w:val="22"/>
          <w:szCs w:val="22"/>
        </w:rPr>
        <w:t>BRCA1</w:t>
      </w:r>
      <w:r w:rsidRPr="003A4656">
        <w:rPr>
          <w:sz w:val="22"/>
          <w:szCs w:val="22"/>
        </w:rPr>
        <w:t xml:space="preserve"> VUS </w:t>
      </w:r>
      <w:r w:rsidR="00A13951" w:rsidRPr="003A4656">
        <w:rPr>
          <w:sz w:val="22"/>
          <w:szCs w:val="22"/>
        </w:rPr>
        <w:t>include</w:t>
      </w:r>
      <w:r w:rsidRPr="003A4656">
        <w:rPr>
          <w:sz w:val="22"/>
          <w:szCs w:val="22"/>
        </w:rPr>
        <w:t>: Embryonic Stem Cell (ESC)-based functional assay (</w:t>
      </w:r>
      <w:r w:rsidRPr="003A4656">
        <w:rPr>
          <w:sz w:val="22"/>
          <w:szCs w:val="22"/>
          <w:lang w:eastAsia="it-IT"/>
        </w:rPr>
        <w:t>Chang</w:t>
      </w:r>
      <w:r w:rsidR="00D03DB7" w:rsidRPr="003A4656">
        <w:rPr>
          <w:sz w:val="22"/>
          <w:szCs w:val="22"/>
          <w:lang w:eastAsia="it-IT"/>
        </w:rPr>
        <w:t xml:space="preserve"> S.</w:t>
      </w:r>
      <w:r w:rsidRPr="003A4656">
        <w:rPr>
          <w:sz w:val="22"/>
          <w:szCs w:val="22"/>
          <w:lang w:eastAsia="it-IT"/>
        </w:rPr>
        <w:t xml:space="preserve"> et al., 2009</w:t>
      </w:r>
      <w:r w:rsidRPr="003A4656">
        <w:rPr>
          <w:sz w:val="22"/>
          <w:szCs w:val="22"/>
        </w:rPr>
        <w:t>), restoration of radiation resistance, Homology-Directed Recombination (HDR) assay (</w:t>
      </w:r>
      <w:r w:rsidR="00B97692" w:rsidRPr="003A4656">
        <w:rPr>
          <w:sz w:val="22"/>
          <w:szCs w:val="22"/>
          <w:lang w:eastAsia="it-IT"/>
        </w:rPr>
        <w:t>Ransburgh D.J.</w:t>
      </w:r>
      <w:r w:rsidRPr="003A4656">
        <w:rPr>
          <w:sz w:val="22"/>
          <w:szCs w:val="22"/>
          <w:lang w:eastAsia="it-IT"/>
        </w:rPr>
        <w:t xml:space="preserve"> et al., 2010</w:t>
      </w:r>
      <w:r w:rsidRPr="003A4656">
        <w:rPr>
          <w:sz w:val="22"/>
          <w:szCs w:val="22"/>
        </w:rPr>
        <w:t>), centrosome amplification (</w:t>
      </w:r>
      <w:r w:rsidRPr="003A4656">
        <w:rPr>
          <w:sz w:val="22"/>
          <w:szCs w:val="22"/>
          <w:lang w:eastAsia="it-IT"/>
        </w:rPr>
        <w:t>Kais</w:t>
      </w:r>
      <w:r w:rsidR="00B97692" w:rsidRPr="003A4656">
        <w:rPr>
          <w:sz w:val="22"/>
          <w:szCs w:val="22"/>
          <w:lang w:eastAsia="it-IT"/>
        </w:rPr>
        <w:t xml:space="preserve"> Z. </w:t>
      </w:r>
      <w:r w:rsidRPr="003A4656">
        <w:rPr>
          <w:sz w:val="22"/>
          <w:szCs w:val="22"/>
          <w:lang w:eastAsia="it-IT"/>
        </w:rPr>
        <w:t>et al., 2011</w:t>
      </w:r>
      <w:r w:rsidRPr="003A4656">
        <w:rPr>
          <w:sz w:val="22"/>
          <w:szCs w:val="22"/>
        </w:rPr>
        <w:t>), yeast recombination assay (</w:t>
      </w:r>
      <w:r w:rsidRPr="003A4656">
        <w:rPr>
          <w:sz w:val="22"/>
          <w:szCs w:val="22"/>
          <w:lang w:eastAsia="it-IT"/>
        </w:rPr>
        <w:t>Caligo</w:t>
      </w:r>
      <w:r w:rsidR="00B97692" w:rsidRPr="003A4656">
        <w:rPr>
          <w:sz w:val="22"/>
          <w:szCs w:val="22"/>
          <w:lang w:eastAsia="it-IT"/>
        </w:rPr>
        <w:t xml:space="preserve"> M.A.</w:t>
      </w:r>
      <w:r w:rsidRPr="003A4656">
        <w:rPr>
          <w:sz w:val="22"/>
          <w:szCs w:val="22"/>
          <w:lang w:eastAsia="it-IT"/>
        </w:rPr>
        <w:t xml:space="preserve"> et al., 2009)</w:t>
      </w:r>
      <w:r w:rsidRPr="003A4656">
        <w:rPr>
          <w:sz w:val="22"/>
          <w:szCs w:val="22"/>
        </w:rPr>
        <w:t xml:space="preserve">, </w:t>
      </w:r>
      <w:r w:rsidR="00A13951" w:rsidRPr="003A4656">
        <w:rPr>
          <w:sz w:val="22"/>
          <w:szCs w:val="22"/>
        </w:rPr>
        <w:t xml:space="preserve">and </w:t>
      </w:r>
      <w:r w:rsidRPr="003A4656">
        <w:rPr>
          <w:sz w:val="22"/>
          <w:szCs w:val="22"/>
        </w:rPr>
        <w:t>subcellular localization assay (Au</w:t>
      </w:r>
      <w:r w:rsidR="00B97692" w:rsidRPr="003A4656">
        <w:rPr>
          <w:sz w:val="22"/>
          <w:szCs w:val="22"/>
        </w:rPr>
        <w:t xml:space="preserve"> W.W.</w:t>
      </w:r>
      <w:r w:rsidRPr="003A4656">
        <w:rPr>
          <w:sz w:val="22"/>
          <w:szCs w:val="22"/>
        </w:rPr>
        <w:t xml:space="preserve"> and Henderson</w:t>
      </w:r>
      <w:r w:rsidR="00B97692" w:rsidRPr="003A4656">
        <w:rPr>
          <w:sz w:val="22"/>
          <w:szCs w:val="22"/>
        </w:rPr>
        <w:t xml:space="preserve"> B.R.</w:t>
      </w:r>
      <w:r w:rsidRPr="003A4656">
        <w:rPr>
          <w:sz w:val="22"/>
          <w:szCs w:val="22"/>
        </w:rPr>
        <w:t xml:space="preserve">, 2005). </w:t>
      </w:r>
    </w:p>
    <w:p w:rsidR="00C941EF" w:rsidRPr="003A4656" w:rsidRDefault="00C941EF" w:rsidP="0005572B">
      <w:pPr>
        <w:ind w:left="0" w:right="0"/>
        <w:rPr>
          <w:sz w:val="22"/>
          <w:szCs w:val="22"/>
        </w:rPr>
      </w:pPr>
      <w:r w:rsidRPr="003A4656">
        <w:rPr>
          <w:sz w:val="22"/>
          <w:szCs w:val="22"/>
        </w:rPr>
        <w:t xml:space="preserve">Similarly, based on the role of BRCA2 in DNA repair and cell cycle regulation, a series of </w:t>
      </w:r>
      <w:r w:rsidRPr="003A4656">
        <w:rPr>
          <w:i/>
          <w:sz w:val="22"/>
          <w:szCs w:val="22"/>
        </w:rPr>
        <w:t>in vitro</w:t>
      </w:r>
      <w:r w:rsidRPr="003A4656">
        <w:rPr>
          <w:sz w:val="22"/>
          <w:szCs w:val="22"/>
        </w:rPr>
        <w:t xml:space="preserve"> assay have been proposed as possible function</w:t>
      </w:r>
      <w:r w:rsidR="00B97692" w:rsidRPr="003A4656">
        <w:rPr>
          <w:sz w:val="22"/>
          <w:szCs w:val="22"/>
        </w:rPr>
        <w:t xml:space="preserve">al </w:t>
      </w:r>
      <w:r w:rsidRPr="003A4656">
        <w:rPr>
          <w:sz w:val="22"/>
          <w:szCs w:val="22"/>
        </w:rPr>
        <w:t>assays (Guidug</w:t>
      </w:r>
      <w:r w:rsidR="00B97692" w:rsidRPr="003A4656">
        <w:rPr>
          <w:sz w:val="22"/>
          <w:szCs w:val="22"/>
        </w:rPr>
        <w:t xml:space="preserve">li L. et al., 2013). </w:t>
      </w:r>
      <w:r w:rsidRPr="003A4656">
        <w:rPr>
          <w:sz w:val="22"/>
          <w:szCs w:val="22"/>
        </w:rPr>
        <w:t xml:space="preserve">Although many of the methods used to assess the effects of </w:t>
      </w:r>
      <w:r w:rsidRPr="003A4656">
        <w:rPr>
          <w:i/>
          <w:sz w:val="22"/>
          <w:szCs w:val="22"/>
        </w:rPr>
        <w:t>BRCA2</w:t>
      </w:r>
      <w:r w:rsidRPr="003A4656">
        <w:rPr>
          <w:sz w:val="22"/>
          <w:szCs w:val="22"/>
        </w:rPr>
        <w:t xml:space="preserve"> VUS</w:t>
      </w:r>
      <w:r w:rsidR="00A13951" w:rsidRPr="003A4656">
        <w:rPr>
          <w:sz w:val="22"/>
          <w:szCs w:val="22"/>
        </w:rPr>
        <w:t>,</w:t>
      </w:r>
      <w:r w:rsidRPr="003A4656">
        <w:rPr>
          <w:sz w:val="22"/>
          <w:szCs w:val="22"/>
        </w:rPr>
        <w:t xml:space="preserve"> </w:t>
      </w:r>
      <w:r w:rsidR="00A13951" w:rsidRPr="003A4656">
        <w:rPr>
          <w:sz w:val="22"/>
          <w:szCs w:val="22"/>
        </w:rPr>
        <w:t xml:space="preserve">like the ESC-based functional assay, HDR assay, centrosome amplification and yeast recombination assay, </w:t>
      </w:r>
      <w:r w:rsidRPr="003A4656">
        <w:rPr>
          <w:sz w:val="22"/>
          <w:szCs w:val="22"/>
        </w:rPr>
        <w:t xml:space="preserve">are overlapping </w:t>
      </w:r>
      <w:r w:rsidR="00A13951" w:rsidRPr="003A4656">
        <w:rPr>
          <w:sz w:val="22"/>
          <w:szCs w:val="22"/>
        </w:rPr>
        <w:t>with</w:t>
      </w:r>
      <w:r w:rsidRPr="003A4656">
        <w:rPr>
          <w:sz w:val="22"/>
          <w:szCs w:val="22"/>
        </w:rPr>
        <w:t xml:space="preserve"> those used for </w:t>
      </w:r>
      <w:r w:rsidRPr="003A4656">
        <w:rPr>
          <w:i/>
          <w:sz w:val="22"/>
          <w:szCs w:val="22"/>
        </w:rPr>
        <w:t>BRCA1</w:t>
      </w:r>
      <w:r w:rsidR="00A13951" w:rsidRPr="003A4656">
        <w:rPr>
          <w:sz w:val="22"/>
          <w:szCs w:val="22"/>
        </w:rPr>
        <w:t>,</w:t>
      </w:r>
      <w:r w:rsidRPr="003A4656">
        <w:rPr>
          <w:sz w:val="22"/>
          <w:szCs w:val="22"/>
        </w:rPr>
        <w:t xml:space="preserve"> </w:t>
      </w:r>
      <w:r w:rsidR="007E438E" w:rsidRPr="003A4656">
        <w:rPr>
          <w:sz w:val="22"/>
          <w:szCs w:val="22"/>
        </w:rPr>
        <w:t>a few</w:t>
      </w:r>
      <w:r w:rsidR="00A13951" w:rsidRPr="003A4656">
        <w:rPr>
          <w:sz w:val="22"/>
          <w:szCs w:val="22"/>
        </w:rPr>
        <w:t xml:space="preserve"> gene specific </w:t>
      </w:r>
      <w:r w:rsidR="007E438E" w:rsidRPr="003A4656">
        <w:rPr>
          <w:sz w:val="22"/>
          <w:szCs w:val="22"/>
        </w:rPr>
        <w:t xml:space="preserve">experimental models have been develope, including a syngeneic variance library (SyVaL) derived from a </w:t>
      </w:r>
      <w:r w:rsidR="007E438E" w:rsidRPr="003A4656">
        <w:rPr>
          <w:i/>
          <w:sz w:val="22"/>
          <w:szCs w:val="22"/>
        </w:rPr>
        <w:t>BRCA2</w:t>
      </w:r>
      <w:r w:rsidR="007E438E" w:rsidRPr="003A4656">
        <w:rPr>
          <w:sz w:val="22"/>
          <w:szCs w:val="22"/>
        </w:rPr>
        <w:t xml:space="preserve"> hemizygous (wt/Deltaexon) human cancer cells</w:t>
      </w:r>
      <w:r w:rsidRPr="003A4656">
        <w:rPr>
          <w:sz w:val="22"/>
          <w:szCs w:val="22"/>
        </w:rPr>
        <w:t xml:space="preserve"> (Hucl </w:t>
      </w:r>
      <w:r w:rsidR="00DD37B3" w:rsidRPr="003A4656">
        <w:rPr>
          <w:sz w:val="22"/>
          <w:szCs w:val="22"/>
        </w:rPr>
        <w:t xml:space="preserve">T. </w:t>
      </w:r>
      <w:r w:rsidRPr="003A4656">
        <w:rPr>
          <w:sz w:val="22"/>
          <w:szCs w:val="22"/>
        </w:rPr>
        <w:t>et al., 2008).</w:t>
      </w:r>
    </w:p>
    <w:p w:rsidR="00C941EF" w:rsidRPr="003A4656" w:rsidRDefault="00C941EF" w:rsidP="0005572B">
      <w:pPr>
        <w:ind w:left="0" w:right="0"/>
        <w:rPr>
          <w:sz w:val="22"/>
          <w:szCs w:val="22"/>
        </w:rPr>
      </w:pPr>
    </w:p>
    <w:p w:rsidR="00C941EF" w:rsidRPr="003A4656" w:rsidRDefault="007E3B79" w:rsidP="0005572B">
      <w:pPr>
        <w:ind w:left="0" w:right="0" w:firstLine="360"/>
        <w:rPr>
          <w:b/>
          <w:sz w:val="22"/>
          <w:szCs w:val="22"/>
        </w:rPr>
      </w:pPr>
      <w:r w:rsidRPr="003A4656">
        <w:rPr>
          <w:b/>
          <w:sz w:val="22"/>
          <w:szCs w:val="22"/>
        </w:rPr>
        <w:t>3</w:t>
      </w:r>
      <w:r w:rsidR="00C941EF" w:rsidRPr="003A4656">
        <w:rPr>
          <w:b/>
          <w:sz w:val="22"/>
          <w:szCs w:val="22"/>
        </w:rPr>
        <w:t>.4 Consortia and Databases</w:t>
      </w:r>
    </w:p>
    <w:p w:rsidR="00C941EF" w:rsidRPr="003A4656" w:rsidRDefault="00C941EF" w:rsidP="0005572B">
      <w:pPr>
        <w:ind w:left="0" w:right="0"/>
        <w:rPr>
          <w:sz w:val="22"/>
          <w:szCs w:val="22"/>
        </w:rPr>
      </w:pPr>
    </w:p>
    <w:p w:rsidR="00C941EF" w:rsidRPr="003A4656" w:rsidRDefault="000C6ED5" w:rsidP="0005572B">
      <w:pPr>
        <w:ind w:left="0" w:right="0"/>
        <w:rPr>
          <w:sz w:val="22"/>
          <w:szCs w:val="22"/>
        </w:rPr>
      </w:pPr>
      <w:r w:rsidRPr="003A4656">
        <w:rPr>
          <w:sz w:val="22"/>
          <w:szCs w:val="22"/>
        </w:rPr>
        <w:t>T</w:t>
      </w:r>
      <w:r w:rsidR="00C941EF" w:rsidRPr="003A4656">
        <w:rPr>
          <w:sz w:val="22"/>
          <w:szCs w:val="22"/>
        </w:rPr>
        <w:t>he Unclassified Genetic Variants Working Group</w:t>
      </w:r>
      <w:r w:rsidRPr="003A4656">
        <w:rPr>
          <w:sz w:val="22"/>
          <w:szCs w:val="22"/>
        </w:rPr>
        <w:t xml:space="preserve"> of the </w:t>
      </w:r>
      <w:r w:rsidRPr="003A4656">
        <w:rPr>
          <w:rFonts w:eastAsiaTheme="minorHAnsi"/>
          <w:sz w:val="22"/>
          <w:szCs w:val="22"/>
          <w:lang w:eastAsia="en-US"/>
        </w:rPr>
        <w:t>International Agency for Research on Cancer (IARC)</w:t>
      </w:r>
      <w:r w:rsidRPr="003A4656">
        <w:rPr>
          <w:sz w:val="22"/>
          <w:szCs w:val="22"/>
        </w:rPr>
        <w:t xml:space="preserve"> has</w:t>
      </w:r>
      <w:r w:rsidR="00C941EF" w:rsidRPr="003A4656">
        <w:rPr>
          <w:sz w:val="22"/>
          <w:szCs w:val="22"/>
        </w:rPr>
        <w:t xml:space="preserve"> </w:t>
      </w:r>
      <w:r w:rsidRPr="003A4656">
        <w:rPr>
          <w:sz w:val="22"/>
          <w:szCs w:val="22"/>
        </w:rPr>
        <w:t xml:space="preserve">issued recommendations for classification </w:t>
      </w:r>
      <w:r w:rsidR="00DB191B" w:rsidRPr="003A4656">
        <w:rPr>
          <w:sz w:val="22"/>
          <w:szCs w:val="22"/>
        </w:rPr>
        <w:t xml:space="preserve">of variants </w:t>
      </w:r>
      <w:r w:rsidRPr="003A4656">
        <w:rPr>
          <w:sz w:val="22"/>
          <w:szCs w:val="22"/>
        </w:rPr>
        <w:t xml:space="preserve">in cancer predisposing genes </w:t>
      </w:r>
      <w:r w:rsidR="00C941EF" w:rsidRPr="003A4656">
        <w:rPr>
          <w:sz w:val="22"/>
          <w:szCs w:val="22"/>
        </w:rPr>
        <w:t xml:space="preserve">(Plon S.E. et al., 2008; Goldgard D.E. et al., 2008; </w:t>
      </w:r>
      <w:r w:rsidR="00D23EE4" w:rsidRPr="003A4656">
        <w:rPr>
          <w:rFonts w:eastAsia="TimesNewRomanPS"/>
          <w:sz w:val="22"/>
          <w:szCs w:val="22"/>
        </w:rPr>
        <w:t>Greenblatt M.S. et al., 2008; Tavtigian</w:t>
      </w:r>
      <w:r w:rsidR="00C941EF" w:rsidRPr="003A4656">
        <w:rPr>
          <w:rFonts w:eastAsia="TimesNewRomanPS"/>
          <w:sz w:val="22"/>
          <w:szCs w:val="22"/>
        </w:rPr>
        <w:t xml:space="preserve"> S.V. et al., 2008). </w:t>
      </w:r>
      <w:r w:rsidRPr="003A4656">
        <w:rPr>
          <w:sz w:val="22"/>
          <w:szCs w:val="22"/>
        </w:rPr>
        <w:t>In particular, the group</w:t>
      </w:r>
      <w:r w:rsidR="00C941EF" w:rsidRPr="003A4656">
        <w:rPr>
          <w:sz w:val="22"/>
          <w:szCs w:val="22"/>
        </w:rPr>
        <w:t xml:space="preserve"> has developed a scheme including five different classes to help the classification of these variants (Plon S</w:t>
      </w:r>
      <w:r w:rsidR="00523BF4" w:rsidRPr="003A4656">
        <w:rPr>
          <w:sz w:val="22"/>
          <w:szCs w:val="22"/>
        </w:rPr>
        <w:t>.</w:t>
      </w:r>
      <w:r w:rsidR="00C941EF" w:rsidRPr="003A4656">
        <w:rPr>
          <w:sz w:val="22"/>
          <w:szCs w:val="22"/>
        </w:rPr>
        <w:t>E</w:t>
      </w:r>
      <w:r w:rsidR="00523BF4" w:rsidRPr="003A4656">
        <w:rPr>
          <w:sz w:val="22"/>
          <w:szCs w:val="22"/>
        </w:rPr>
        <w:t>.</w:t>
      </w:r>
      <w:r w:rsidR="00C941EF" w:rsidRPr="003A4656">
        <w:rPr>
          <w:sz w:val="22"/>
          <w:szCs w:val="22"/>
        </w:rPr>
        <w:t xml:space="preserve"> et al., 2008). According to this scheme, a variant</w:t>
      </w:r>
      <w:r w:rsidR="00DB191B" w:rsidRPr="003A4656">
        <w:rPr>
          <w:sz w:val="22"/>
          <w:szCs w:val="22"/>
        </w:rPr>
        <w:t>s</w:t>
      </w:r>
      <w:r w:rsidR="00C941EF" w:rsidRPr="003A4656">
        <w:rPr>
          <w:sz w:val="22"/>
          <w:szCs w:val="22"/>
        </w:rPr>
        <w:t xml:space="preserve"> with a probability </w:t>
      </w:r>
      <w:r w:rsidR="00DB191B" w:rsidRPr="003A4656">
        <w:rPr>
          <w:sz w:val="22"/>
          <w:szCs w:val="22"/>
        </w:rPr>
        <w:t xml:space="preserve">of pathogenicity </w:t>
      </w:r>
      <w:r w:rsidR="00C941EF" w:rsidRPr="003A4656">
        <w:rPr>
          <w:sz w:val="22"/>
          <w:szCs w:val="22"/>
        </w:rPr>
        <w:t xml:space="preserve">&gt;0.99 </w:t>
      </w:r>
      <w:r w:rsidR="00DB191B" w:rsidRPr="003A4656">
        <w:rPr>
          <w:sz w:val="22"/>
          <w:szCs w:val="22"/>
        </w:rPr>
        <w:t>are</w:t>
      </w:r>
      <w:r w:rsidR="00C941EF" w:rsidRPr="003A4656">
        <w:rPr>
          <w:sz w:val="22"/>
          <w:szCs w:val="22"/>
        </w:rPr>
        <w:t xml:space="preserve"> classified as “pathogenic” (class 5); </w:t>
      </w:r>
      <w:r w:rsidR="00DB191B" w:rsidRPr="003A4656">
        <w:rPr>
          <w:sz w:val="22"/>
          <w:szCs w:val="22"/>
        </w:rPr>
        <w:t xml:space="preserve">with probabilities </w:t>
      </w:r>
      <w:r w:rsidR="00C941EF" w:rsidRPr="003A4656">
        <w:rPr>
          <w:sz w:val="22"/>
          <w:szCs w:val="22"/>
        </w:rPr>
        <w:t xml:space="preserve">from 0.95 to 0.99 </w:t>
      </w:r>
      <w:r w:rsidRPr="003A4656">
        <w:rPr>
          <w:sz w:val="22"/>
          <w:szCs w:val="22"/>
        </w:rPr>
        <w:t xml:space="preserve">as </w:t>
      </w:r>
      <w:r w:rsidR="00C941EF" w:rsidRPr="003A4656">
        <w:rPr>
          <w:sz w:val="22"/>
          <w:szCs w:val="22"/>
        </w:rPr>
        <w:t xml:space="preserve">“likely pathogenic” (class 4); </w:t>
      </w:r>
      <w:r w:rsidR="00DB191B" w:rsidRPr="003A4656">
        <w:rPr>
          <w:sz w:val="22"/>
          <w:szCs w:val="22"/>
        </w:rPr>
        <w:t xml:space="preserve">from </w:t>
      </w:r>
      <w:r w:rsidR="00C941EF" w:rsidRPr="003A4656">
        <w:rPr>
          <w:sz w:val="22"/>
          <w:szCs w:val="22"/>
        </w:rPr>
        <w:t xml:space="preserve">0.05 to 0.95 </w:t>
      </w:r>
      <w:r w:rsidRPr="003A4656">
        <w:rPr>
          <w:sz w:val="22"/>
          <w:szCs w:val="22"/>
        </w:rPr>
        <w:t xml:space="preserve">as </w:t>
      </w:r>
      <w:r w:rsidR="00C941EF" w:rsidRPr="003A4656">
        <w:rPr>
          <w:sz w:val="22"/>
          <w:szCs w:val="22"/>
        </w:rPr>
        <w:t xml:space="preserve">“uncertain” (class 3); from 0.001 to 0.05 </w:t>
      </w:r>
      <w:r w:rsidR="00583E5E" w:rsidRPr="003A4656">
        <w:rPr>
          <w:sz w:val="22"/>
          <w:szCs w:val="22"/>
        </w:rPr>
        <w:t>as</w:t>
      </w:r>
      <w:r w:rsidR="00C941EF" w:rsidRPr="003A4656">
        <w:rPr>
          <w:sz w:val="22"/>
          <w:szCs w:val="22"/>
        </w:rPr>
        <w:t xml:space="preserve">“likely non-pathogenic” (class 2); whereas those with a probability of &lt;0.001 are classified as “non-pathogenic” (class 1) (Table </w:t>
      </w:r>
      <w:r w:rsidR="00CF78FC" w:rsidRPr="003A4656">
        <w:rPr>
          <w:sz w:val="22"/>
          <w:szCs w:val="22"/>
        </w:rPr>
        <w:t>3</w:t>
      </w:r>
      <w:r w:rsidR="00C941EF" w:rsidRPr="003A4656">
        <w:rPr>
          <w:sz w:val="22"/>
          <w:szCs w:val="22"/>
        </w:rPr>
        <w:t>).</w:t>
      </w:r>
    </w:p>
    <w:p w:rsidR="00C941EF" w:rsidRPr="003A4656" w:rsidRDefault="000C00A7" w:rsidP="006E3B80">
      <w:pPr>
        <w:tabs>
          <w:tab w:val="left" w:pos="6750"/>
        </w:tabs>
        <w:ind w:left="900" w:right="180" w:hanging="810"/>
        <w:jc w:val="left"/>
        <w:rPr>
          <w:sz w:val="22"/>
          <w:szCs w:val="22"/>
        </w:rPr>
      </w:pPr>
      <w:proofErr w:type="gramStart"/>
      <w:r w:rsidRPr="003A4656">
        <w:rPr>
          <w:sz w:val="22"/>
          <w:szCs w:val="22"/>
        </w:rPr>
        <w:t xml:space="preserve">Table </w:t>
      </w:r>
      <w:r w:rsidR="00CF78FC" w:rsidRPr="003A4656">
        <w:rPr>
          <w:sz w:val="22"/>
          <w:szCs w:val="22"/>
        </w:rPr>
        <w:t>3</w:t>
      </w:r>
      <w:r w:rsidRPr="003A4656">
        <w:rPr>
          <w:sz w:val="22"/>
          <w:szCs w:val="22"/>
        </w:rPr>
        <w:t>.</w:t>
      </w:r>
      <w:proofErr w:type="gramEnd"/>
      <w:r w:rsidRPr="003A4656">
        <w:rPr>
          <w:sz w:val="22"/>
          <w:szCs w:val="22"/>
        </w:rPr>
        <w:t xml:space="preserve"> </w:t>
      </w:r>
      <w:proofErr w:type="gramStart"/>
      <w:r w:rsidRPr="003A4656">
        <w:rPr>
          <w:sz w:val="22"/>
          <w:szCs w:val="22"/>
        </w:rPr>
        <w:t xml:space="preserve">Proposed classification for DNA sequence variants </w:t>
      </w:r>
      <w:r w:rsidR="005C5B91" w:rsidRPr="003A4656">
        <w:rPr>
          <w:sz w:val="22"/>
          <w:szCs w:val="22"/>
        </w:rPr>
        <w:t>with probability that any given alteration is deleterious and related</w:t>
      </w:r>
      <w:r w:rsidRPr="003A4656">
        <w:rPr>
          <w:sz w:val="22"/>
          <w:szCs w:val="22"/>
        </w:rPr>
        <w:t xml:space="preserve"> </w:t>
      </w:r>
      <w:r w:rsidR="00DB191B" w:rsidRPr="003A4656">
        <w:rPr>
          <w:sz w:val="22"/>
          <w:szCs w:val="22"/>
        </w:rPr>
        <w:t>testing</w:t>
      </w:r>
      <w:r w:rsidRPr="003A4656">
        <w:rPr>
          <w:sz w:val="22"/>
          <w:szCs w:val="22"/>
        </w:rPr>
        <w:t xml:space="preserve"> recommendation</w:t>
      </w:r>
      <w:r w:rsidR="005C5B91" w:rsidRPr="003A4656">
        <w:rPr>
          <w:sz w:val="22"/>
          <w:szCs w:val="22"/>
        </w:rPr>
        <w:t>.</w:t>
      </w:r>
      <w:proofErr w:type="gramEnd"/>
    </w:p>
    <w:tbl>
      <w:tblPr>
        <w:tblStyle w:val="LightShading1"/>
        <w:tblW w:w="0" w:type="auto"/>
        <w:jc w:val="center"/>
        <w:tblLook w:val="04A0"/>
      </w:tblPr>
      <w:tblGrid>
        <w:gridCol w:w="1257"/>
        <w:gridCol w:w="1692"/>
        <w:gridCol w:w="1478"/>
        <w:gridCol w:w="2894"/>
      </w:tblGrid>
      <w:tr w:rsidR="00687159" w:rsidRPr="003A4656" w:rsidTr="006E3B80">
        <w:trPr>
          <w:cnfStyle w:val="100000000000"/>
          <w:jc w:val="center"/>
        </w:trPr>
        <w:tc>
          <w:tcPr>
            <w:cnfStyle w:val="001000000000"/>
            <w:tcW w:w="1257" w:type="dxa"/>
          </w:tcPr>
          <w:p w:rsidR="00687159" w:rsidRPr="003A4656" w:rsidRDefault="00687159" w:rsidP="0005572B">
            <w:pPr>
              <w:spacing w:line="276" w:lineRule="auto"/>
              <w:ind w:left="0" w:right="0"/>
              <w:rPr>
                <w:b w:val="0"/>
                <w:bCs w:val="0"/>
              </w:rPr>
            </w:pPr>
            <w:r w:rsidRPr="003A4656">
              <w:t xml:space="preserve">Class </w:t>
            </w:r>
          </w:p>
        </w:tc>
        <w:tc>
          <w:tcPr>
            <w:tcW w:w="1692" w:type="dxa"/>
          </w:tcPr>
          <w:p w:rsidR="00687159" w:rsidRPr="003A4656" w:rsidRDefault="00687159" w:rsidP="0005572B">
            <w:pPr>
              <w:spacing w:line="276" w:lineRule="auto"/>
              <w:ind w:left="0" w:right="0"/>
              <w:cnfStyle w:val="100000000000"/>
              <w:rPr>
                <w:b w:val="0"/>
                <w:bCs w:val="0"/>
              </w:rPr>
            </w:pPr>
            <w:r w:rsidRPr="003A4656">
              <w:t>Definition</w:t>
            </w:r>
          </w:p>
        </w:tc>
        <w:tc>
          <w:tcPr>
            <w:tcW w:w="1478" w:type="dxa"/>
          </w:tcPr>
          <w:p w:rsidR="00687159" w:rsidRPr="003A4656" w:rsidRDefault="00687159" w:rsidP="0005572B">
            <w:pPr>
              <w:spacing w:line="276" w:lineRule="auto"/>
              <w:ind w:left="0" w:right="0"/>
              <w:cnfStyle w:val="100000000000"/>
              <w:rPr>
                <w:b w:val="0"/>
                <w:bCs w:val="0"/>
              </w:rPr>
            </w:pPr>
            <w:r w:rsidRPr="003A4656">
              <w:t>Posterior Probability</w:t>
            </w:r>
          </w:p>
        </w:tc>
        <w:tc>
          <w:tcPr>
            <w:tcW w:w="2894" w:type="dxa"/>
          </w:tcPr>
          <w:p w:rsidR="00687159" w:rsidRPr="003A4656" w:rsidRDefault="00687159" w:rsidP="0005572B">
            <w:pPr>
              <w:spacing w:line="276" w:lineRule="auto"/>
              <w:ind w:left="0" w:right="0"/>
              <w:cnfStyle w:val="100000000000"/>
              <w:rPr>
                <w:b w:val="0"/>
                <w:bCs w:val="0"/>
              </w:rPr>
            </w:pPr>
            <w:r w:rsidRPr="003A4656">
              <w:t>Clinical Testing</w:t>
            </w:r>
          </w:p>
        </w:tc>
      </w:tr>
      <w:tr w:rsidR="00687159" w:rsidRPr="003A4656" w:rsidTr="006E3B80">
        <w:trPr>
          <w:cnfStyle w:val="000000100000"/>
          <w:jc w:val="center"/>
        </w:trPr>
        <w:tc>
          <w:tcPr>
            <w:cnfStyle w:val="001000000000"/>
            <w:tcW w:w="1257" w:type="dxa"/>
          </w:tcPr>
          <w:p w:rsidR="00687159" w:rsidRPr="003A4656" w:rsidRDefault="00687159" w:rsidP="0005572B">
            <w:pPr>
              <w:spacing w:line="276" w:lineRule="auto"/>
              <w:ind w:left="0" w:right="0"/>
              <w:rPr>
                <w:b w:val="0"/>
                <w:bCs w:val="0"/>
              </w:rPr>
            </w:pPr>
            <w:r w:rsidRPr="003A4656">
              <w:t>5</w:t>
            </w:r>
          </w:p>
        </w:tc>
        <w:tc>
          <w:tcPr>
            <w:tcW w:w="1692" w:type="dxa"/>
          </w:tcPr>
          <w:p w:rsidR="00687159" w:rsidRPr="003A4656" w:rsidRDefault="00687159" w:rsidP="0005572B">
            <w:pPr>
              <w:spacing w:line="276" w:lineRule="auto"/>
              <w:ind w:left="0" w:right="0"/>
              <w:cnfStyle w:val="000000100000"/>
            </w:pPr>
            <w:r w:rsidRPr="003A4656">
              <w:t>Pathogenic</w:t>
            </w:r>
          </w:p>
        </w:tc>
        <w:tc>
          <w:tcPr>
            <w:tcW w:w="1478" w:type="dxa"/>
          </w:tcPr>
          <w:p w:rsidR="00687159" w:rsidRPr="003A4656" w:rsidRDefault="00687159" w:rsidP="0005572B">
            <w:pPr>
              <w:spacing w:line="276" w:lineRule="auto"/>
              <w:ind w:left="0" w:right="0"/>
              <w:cnfStyle w:val="000000100000"/>
            </w:pPr>
            <w:r w:rsidRPr="003A4656">
              <w:t>&gt;0.99</w:t>
            </w:r>
          </w:p>
        </w:tc>
        <w:tc>
          <w:tcPr>
            <w:tcW w:w="2894" w:type="dxa"/>
          </w:tcPr>
          <w:p w:rsidR="00687159" w:rsidRPr="003A4656" w:rsidRDefault="00687159" w:rsidP="0005572B">
            <w:pPr>
              <w:spacing w:line="276" w:lineRule="auto"/>
              <w:ind w:left="0" w:right="0"/>
              <w:cnfStyle w:val="000000100000"/>
            </w:pPr>
            <w:r w:rsidRPr="003A4656">
              <w:t>Testing at-risk relatives for the variant</w:t>
            </w:r>
          </w:p>
        </w:tc>
      </w:tr>
      <w:tr w:rsidR="00687159" w:rsidRPr="003A4656" w:rsidTr="006E3B80">
        <w:trPr>
          <w:jc w:val="center"/>
        </w:trPr>
        <w:tc>
          <w:tcPr>
            <w:cnfStyle w:val="001000000000"/>
            <w:tcW w:w="1257" w:type="dxa"/>
          </w:tcPr>
          <w:p w:rsidR="00687159" w:rsidRPr="003A4656" w:rsidRDefault="00687159" w:rsidP="0005572B">
            <w:pPr>
              <w:spacing w:line="276" w:lineRule="auto"/>
              <w:ind w:left="0" w:right="0"/>
              <w:rPr>
                <w:b w:val="0"/>
                <w:bCs w:val="0"/>
              </w:rPr>
            </w:pPr>
            <w:r w:rsidRPr="003A4656">
              <w:t>4</w:t>
            </w:r>
          </w:p>
        </w:tc>
        <w:tc>
          <w:tcPr>
            <w:tcW w:w="1692" w:type="dxa"/>
          </w:tcPr>
          <w:p w:rsidR="00687159" w:rsidRPr="003A4656" w:rsidRDefault="00687159" w:rsidP="0005572B">
            <w:pPr>
              <w:spacing w:line="276" w:lineRule="auto"/>
              <w:ind w:left="0" w:right="0"/>
              <w:cnfStyle w:val="000000000000"/>
            </w:pPr>
            <w:r w:rsidRPr="003A4656">
              <w:t>Likely pathogenic</w:t>
            </w:r>
          </w:p>
        </w:tc>
        <w:tc>
          <w:tcPr>
            <w:tcW w:w="1478" w:type="dxa"/>
          </w:tcPr>
          <w:p w:rsidR="00687159" w:rsidRPr="003A4656" w:rsidRDefault="00687159" w:rsidP="0005572B">
            <w:pPr>
              <w:spacing w:line="276" w:lineRule="auto"/>
              <w:ind w:left="0" w:right="0"/>
              <w:cnfStyle w:val="000000000000"/>
            </w:pPr>
            <w:r w:rsidRPr="003A4656">
              <w:t>0.95-0.99</w:t>
            </w:r>
          </w:p>
        </w:tc>
        <w:tc>
          <w:tcPr>
            <w:tcW w:w="2894" w:type="dxa"/>
          </w:tcPr>
          <w:p w:rsidR="00687159" w:rsidRPr="003A4656" w:rsidRDefault="00687159" w:rsidP="0005572B">
            <w:pPr>
              <w:spacing w:line="276" w:lineRule="auto"/>
              <w:ind w:left="0" w:right="0"/>
              <w:cnfStyle w:val="000000000000"/>
            </w:pPr>
            <w:r w:rsidRPr="003A4656">
              <w:t>Testing at-risk relatives for the variant</w:t>
            </w:r>
          </w:p>
        </w:tc>
      </w:tr>
      <w:tr w:rsidR="00687159" w:rsidRPr="003A4656" w:rsidTr="006E3B80">
        <w:trPr>
          <w:cnfStyle w:val="000000100000"/>
          <w:jc w:val="center"/>
        </w:trPr>
        <w:tc>
          <w:tcPr>
            <w:cnfStyle w:val="001000000000"/>
            <w:tcW w:w="1257" w:type="dxa"/>
          </w:tcPr>
          <w:p w:rsidR="00687159" w:rsidRPr="003A4656" w:rsidRDefault="00687159" w:rsidP="0005572B">
            <w:pPr>
              <w:spacing w:line="276" w:lineRule="auto"/>
              <w:ind w:left="0" w:right="0"/>
              <w:rPr>
                <w:b w:val="0"/>
                <w:bCs w:val="0"/>
              </w:rPr>
            </w:pPr>
            <w:r w:rsidRPr="003A4656">
              <w:t>3</w:t>
            </w:r>
          </w:p>
        </w:tc>
        <w:tc>
          <w:tcPr>
            <w:tcW w:w="1692" w:type="dxa"/>
          </w:tcPr>
          <w:p w:rsidR="00687159" w:rsidRPr="003A4656" w:rsidRDefault="00687159" w:rsidP="0005572B">
            <w:pPr>
              <w:spacing w:line="276" w:lineRule="auto"/>
              <w:ind w:left="0" w:right="0"/>
              <w:cnfStyle w:val="000000100000"/>
            </w:pPr>
            <w:r w:rsidRPr="003A4656">
              <w:t>Uncertain</w:t>
            </w:r>
          </w:p>
        </w:tc>
        <w:tc>
          <w:tcPr>
            <w:tcW w:w="1478" w:type="dxa"/>
          </w:tcPr>
          <w:p w:rsidR="00687159" w:rsidRPr="003A4656" w:rsidRDefault="00687159" w:rsidP="0005572B">
            <w:pPr>
              <w:spacing w:line="276" w:lineRule="auto"/>
              <w:ind w:left="0" w:right="0"/>
              <w:cnfStyle w:val="000000100000"/>
            </w:pPr>
            <w:r w:rsidRPr="003A4656">
              <w:t>0.05-0.95</w:t>
            </w:r>
          </w:p>
        </w:tc>
        <w:tc>
          <w:tcPr>
            <w:tcW w:w="2894" w:type="dxa"/>
          </w:tcPr>
          <w:p w:rsidR="00687159" w:rsidRPr="003A4656" w:rsidRDefault="00687159" w:rsidP="0005572B">
            <w:pPr>
              <w:spacing w:line="276" w:lineRule="auto"/>
              <w:ind w:left="0" w:right="0"/>
              <w:cnfStyle w:val="000000100000"/>
            </w:pPr>
            <w:r w:rsidRPr="003A4656">
              <w:t>Do not use as predictive testing in at-risk relative</w:t>
            </w:r>
          </w:p>
        </w:tc>
      </w:tr>
      <w:tr w:rsidR="00687159" w:rsidRPr="003A4656" w:rsidTr="006E3B80">
        <w:trPr>
          <w:jc w:val="center"/>
        </w:trPr>
        <w:tc>
          <w:tcPr>
            <w:cnfStyle w:val="001000000000"/>
            <w:tcW w:w="1257" w:type="dxa"/>
          </w:tcPr>
          <w:p w:rsidR="00687159" w:rsidRPr="003A4656" w:rsidRDefault="00687159" w:rsidP="0005572B">
            <w:pPr>
              <w:spacing w:line="276" w:lineRule="auto"/>
              <w:ind w:left="0" w:right="0"/>
              <w:rPr>
                <w:b w:val="0"/>
                <w:bCs w:val="0"/>
              </w:rPr>
            </w:pPr>
            <w:r w:rsidRPr="003A4656">
              <w:t>2</w:t>
            </w:r>
          </w:p>
        </w:tc>
        <w:tc>
          <w:tcPr>
            <w:tcW w:w="1692" w:type="dxa"/>
          </w:tcPr>
          <w:p w:rsidR="00687159" w:rsidRPr="003A4656" w:rsidRDefault="00687159" w:rsidP="0005572B">
            <w:pPr>
              <w:spacing w:line="276" w:lineRule="auto"/>
              <w:ind w:left="0" w:right="0"/>
              <w:cnfStyle w:val="000000000000"/>
            </w:pPr>
            <w:r w:rsidRPr="003A4656">
              <w:t>Likely not pathogenic</w:t>
            </w:r>
          </w:p>
        </w:tc>
        <w:tc>
          <w:tcPr>
            <w:tcW w:w="1478" w:type="dxa"/>
          </w:tcPr>
          <w:p w:rsidR="00687159" w:rsidRPr="003A4656" w:rsidRDefault="00687159" w:rsidP="0005572B">
            <w:pPr>
              <w:spacing w:line="276" w:lineRule="auto"/>
              <w:ind w:left="0" w:right="0"/>
              <w:cnfStyle w:val="000000000000"/>
            </w:pPr>
            <w:r w:rsidRPr="003A4656">
              <w:t>0.001-0.05</w:t>
            </w:r>
          </w:p>
        </w:tc>
        <w:tc>
          <w:tcPr>
            <w:tcW w:w="2894" w:type="dxa"/>
          </w:tcPr>
          <w:p w:rsidR="00687159" w:rsidRPr="003A4656" w:rsidRDefault="00687159" w:rsidP="0005572B">
            <w:pPr>
              <w:spacing w:line="276" w:lineRule="auto"/>
              <w:ind w:left="0" w:right="0"/>
              <w:cnfStyle w:val="000000000000"/>
            </w:pPr>
            <w:r w:rsidRPr="003A4656">
              <w:t>Do not use as predictive testing in at-risk relative</w:t>
            </w:r>
          </w:p>
        </w:tc>
      </w:tr>
      <w:tr w:rsidR="00687159" w:rsidRPr="003A4656" w:rsidTr="006E3B80">
        <w:trPr>
          <w:cnfStyle w:val="000000100000"/>
          <w:jc w:val="center"/>
        </w:trPr>
        <w:tc>
          <w:tcPr>
            <w:cnfStyle w:val="001000000000"/>
            <w:tcW w:w="1257" w:type="dxa"/>
          </w:tcPr>
          <w:p w:rsidR="00687159" w:rsidRPr="003A4656" w:rsidRDefault="00687159" w:rsidP="0005572B">
            <w:pPr>
              <w:spacing w:line="276" w:lineRule="auto"/>
              <w:ind w:left="0" w:right="0"/>
              <w:rPr>
                <w:b w:val="0"/>
                <w:bCs w:val="0"/>
              </w:rPr>
            </w:pPr>
            <w:r w:rsidRPr="003A4656">
              <w:t>1</w:t>
            </w:r>
          </w:p>
        </w:tc>
        <w:tc>
          <w:tcPr>
            <w:tcW w:w="1692" w:type="dxa"/>
          </w:tcPr>
          <w:p w:rsidR="00687159" w:rsidRPr="003A4656" w:rsidRDefault="00687159" w:rsidP="0005572B">
            <w:pPr>
              <w:spacing w:line="276" w:lineRule="auto"/>
              <w:ind w:left="0" w:right="0"/>
              <w:cnfStyle w:val="000000100000"/>
            </w:pPr>
            <w:r w:rsidRPr="003A4656">
              <w:t>Not pathogenic</w:t>
            </w:r>
          </w:p>
        </w:tc>
        <w:tc>
          <w:tcPr>
            <w:tcW w:w="1478" w:type="dxa"/>
          </w:tcPr>
          <w:p w:rsidR="00687159" w:rsidRPr="003A4656" w:rsidRDefault="00687159" w:rsidP="0005572B">
            <w:pPr>
              <w:spacing w:line="276" w:lineRule="auto"/>
              <w:ind w:left="0" w:right="0"/>
              <w:cnfStyle w:val="000000100000"/>
            </w:pPr>
            <w:r w:rsidRPr="003A4656">
              <w:t>&lt;0.001</w:t>
            </w:r>
          </w:p>
        </w:tc>
        <w:tc>
          <w:tcPr>
            <w:tcW w:w="2894" w:type="dxa"/>
          </w:tcPr>
          <w:p w:rsidR="00687159" w:rsidRPr="003A4656" w:rsidRDefault="00687159" w:rsidP="0005572B">
            <w:pPr>
              <w:spacing w:line="276" w:lineRule="auto"/>
              <w:ind w:left="0" w:right="0"/>
              <w:cnfStyle w:val="000000100000"/>
            </w:pPr>
            <w:r w:rsidRPr="003A4656">
              <w:t>Do not use as predictive testing in at-risk relative</w:t>
            </w:r>
          </w:p>
        </w:tc>
      </w:tr>
    </w:tbl>
    <w:p w:rsidR="00687159" w:rsidRPr="003A4656" w:rsidRDefault="00687159" w:rsidP="0005572B">
      <w:pPr>
        <w:ind w:left="0" w:right="0"/>
        <w:rPr>
          <w:sz w:val="22"/>
          <w:szCs w:val="22"/>
        </w:rPr>
      </w:pPr>
    </w:p>
    <w:p w:rsidR="00C941EF" w:rsidRPr="003A4656" w:rsidRDefault="00C941EF" w:rsidP="0005572B">
      <w:pPr>
        <w:ind w:left="0" w:right="0"/>
        <w:rPr>
          <w:sz w:val="22"/>
          <w:szCs w:val="22"/>
        </w:rPr>
      </w:pPr>
      <w:r w:rsidRPr="003A4656">
        <w:rPr>
          <w:sz w:val="22"/>
          <w:szCs w:val="22"/>
        </w:rPr>
        <w:t xml:space="preserve">A database </w:t>
      </w:r>
      <w:r w:rsidR="005C5B91" w:rsidRPr="003A4656">
        <w:rPr>
          <w:sz w:val="22"/>
          <w:szCs w:val="22"/>
        </w:rPr>
        <w:t>that</w:t>
      </w:r>
      <w:r w:rsidRPr="003A4656">
        <w:rPr>
          <w:sz w:val="22"/>
          <w:szCs w:val="22"/>
        </w:rPr>
        <w:t xml:space="preserve"> list</w:t>
      </w:r>
      <w:r w:rsidR="005C5B91" w:rsidRPr="003A4656">
        <w:rPr>
          <w:sz w:val="22"/>
          <w:szCs w:val="22"/>
        </w:rPr>
        <w:t>s</w:t>
      </w:r>
      <w:r w:rsidRPr="003A4656">
        <w:rPr>
          <w:sz w:val="22"/>
          <w:szCs w:val="22"/>
        </w:rPr>
        <w:t xml:space="preserve">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mutations is the Breast Information Core (BIC; </w:t>
      </w:r>
      <w:hyperlink r:id="rId37" w:history="1">
        <w:r w:rsidRPr="003A4656">
          <w:rPr>
            <w:rStyle w:val="Hyperlink"/>
            <w:sz w:val="22"/>
            <w:szCs w:val="22"/>
          </w:rPr>
          <w:t>http://research.nhgri.nih.gov/bic/</w:t>
        </w:r>
      </w:hyperlink>
      <w:r w:rsidRPr="003A4656">
        <w:rPr>
          <w:sz w:val="22"/>
          <w:szCs w:val="22"/>
        </w:rPr>
        <w:t xml:space="preserve">). This database contains all freely reported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pathological, neutral and unclassified variants. The BIC database uses a triple classification of clinical importance </w:t>
      </w:r>
      <w:r w:rsidR="005C5B91" w:rsidRPr="003A4656">
        <w:rPr>
          <w:sz w:val="22"/>
          <w:szCs w:val="22"/>
        </w:rPr>
        <w:t>(</w:t>
      </w:r>
      <w:r w:rsidRPr="003A4656">
        <w:rPr>
          <w:sz w:val="22"/>
          <w:szCs w:val="22"/>
        </w:rPr>
        <w:t>yes, no or unknown</w:t>
      </w:r>
      <w:r w:rsidR="005C5B91" w:rsidRPr="003A4656">
        <w:rPr>
          <w:sz w:val="22"/>
          <w:szCs w:val="22"/>
        </w:rPr>
        <w:t>)</w:t>
      </w:r>
      <w:r w:rsidRPr="003A4656">
        <w:rPr>
          <w:sz w:val="22"/>
          <w:szCs w:val="22"/>
        </w:rPr>
        <w:t xml:space="preserve">; the latter includes all variants </w:t>
      </w:r>
      <w:r w:rsidR="005C5B91" w:rsidRPr="003A4656">
        <w:rPr>
          <w:sz w:val="22"/>
          <w:szCs w:val="22"/>
        </w:rPr>
        <w:t xml:space="preserve">with a probability of </w:t>
      </w:r>
      <w:r w:rsidRPr="003A4656">
        <w:rPr>
          <w:sz w:val="22"/>
          <w:szCs w:val="22"/>
        </w:rPr>
        <w:t xml:space="preserve">pathogenicity </w:t>
      </w:r>
      <w:r w:rsidR="005C5B91" w:rsidRPr="003A4656">
        <w:rPr>
          <w:sz w:val="22"/>
          <w:szCs w:val="22"/>
        </w:rPr>
        <w:t xml:space="preserve">ranging from a </w:t>
      </w:r>
      <w:r w:rsidRPr="003A4656">
        <w:rPr>
          <w:sz w:val="22"/>
          <w:szCs w:val="22"/>
        </w:rPr>
        <w:t xml:space="preserve">0.1 to 99%. </w:t>
      </w:r>
    </w:p>
    <w:p w:rsidR="00C941EF" w:rsidRPr="003A4656" w:rsidRDefault="00C941EF" w:rsidP="0005572B">
      <w:pPr>
        <w:ind w:left="0" w:right="0"/>
        <w:rPr>
          <w:sz w:val="22"/>
          <w:szCs w:val="22"/>
        </w:rPr>
      </w:pPr>
      <w:r w:rsidRPr="003A4656">
        <w:rPr>
          <w:sz w:val="22"/>
          <w:szCs w:val="22"/>
        </w:rPr>
        <w:t xml:space="preserve">The Leiden University Medical Centre established a reference literature database of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w:t>
      </w:r>
      <w:r w:rsidR="00687159" w:rsidRPr="003A4656">
        <w:rPr>
          <w:sz w:val="22"/>
          <w:szCs w:val="22"/>
        </w:rPr>
        <w:t>VUS</w:t>
      </w:r>
      <w:r w:rsidRPr="003A4656">
        <w:rPr>
          <w:sz w:val="22"/>
          <w:szCs w:val="22"/>
        </w:rPr>
        <w:t xml:space="preserve"> (</w:t>
      </w:r>
      <w:hyperlink r:id="rId38" w:history="1">
        <w:r w:rsidRPr="003A4656">
          <w:rPr>
            <w:rStyle w:val="Hyperlink"/>
            <w:sz w:val="22"/>
            <w:szCs w:val="22"/>
          </w:rPr>
          <w:t>http://chromium.liacs.nl/LOVD2/cancer/home.php</w:t>
        </w:r>
      </w:hyperlink>
      <w:r w:rsidRPr="003A4656">
        <w:rPr>
          <w:sz w:val="22"/>
          <w:szCs w:val="22"/>
        </w:rPr>
        <w:t xml:space="preserve">). This database summarizes information </w:t>
      </w:r>
      <w:r w:rsidR="005C5B91" w:rsidRPr="003A4656">
        <w:rPr>
          <w:sz w:val="22"/>
          <w:szCs w:val="22"/>
        </w:rPr>
        <w:t>of</w:t>
      </w:r>
      <w:r w:rsidRPr="003A4656">
        <w:rPr>
          <w:sz w:val="22"/>
          <w:szCs w:val="22"/>
        </w:rPr>
        <w:t xml:space="preserve"> more than 1000 variants in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from </w:t>
      </w:r>
      <w:r w:rsidR="005C5B91" w:rsidRPr="003A4656">
        <w:rPr>
          <w:sz w:val="22"/>
          <w:szCs w:val="22"/>
        </w:rPr>
        <w:t>several</w:t>
      </w:r>
      <w:r w:rsidRPr="003A4656">
        <w:rPr>
          <w:sz w:val="22"/>
          <w:szCs w:val="22"/>
        </w:rPr>
        <w:t xml:space="preserve"> publications, which includes the pubmed identity and the pathogenicity as stated in each publication. </w:t>
      </w:r>
    </w:p>
    <w:p w:rsidR="00C941EF" w:rsidRPr="003A4656" w:rsidRDefault="00C941EF" w:rsidP="0005572B">
      <w:pPr>
        <w:ind w:left="0" w:right="0"/>
        <w:rPr>
          <w:sz w:val="22"/>
          <w:szCs w:val="22"/>
        </w:rPr>
      </w:pPr>
      <w:r w:rsidRPr="003A4656">
        <w:rPr>
          <w:sz w:val="22"/>
          <w:szCs w:val="22"/>
        </w:rPr>
        <w:t xml:space="preserve">Many VUS are found in a very small number of families that do not generate sufficient genetic information to allow these </w:t>
      </w:r>
      <w:r w:rsidR="002155EC" w:rsidRPr="003A4656">
        <w:rPr>
          <w:sz w:val="22"/>
          <w:szCs w:val="22"/>
        </w:rPr>
        <w:t>variants</w:t>
      </w:r>
      <w:r w:rsidRPr="003A4656">
        <w:rPr>
          <w:sz w:val="22"/>
          <w:szCs w:val="22"/>
        </w:rPr>
        <w:t xml:space="preserve"> to be assigned to Class 1/2 or Class 4/5 of </w:t>
      </w:r>
      <w:r w:rsidR="005C5B91" w:rsidRPr="003A4656">
        <w:rPr>
          <w:sz w:val="22"/>
          <w:szCs w:val="22"/>
        </w:rPr>
        <w:t xml:space="preserve">the </w:t>
      </w:r>
      <w:r w:rsidRPr="003A4656">
        <w:rPr>
          <w:sz w:val="22"/>
          <w:szCs w:val="22"/>
        </w:rPr>
        <w:t>IARC</w:t>
      </w:r>
      <w:r w:rsidR="005C5B91" w:rsidRPr="003A4656">
        <w:rPr>
          <w:sz w:val="22"/>
          <w:szCs w:val="22"/>
        </w:rPr>
        <w:t xml:space="preserve"> working group</w:t>
      </w:r>
      <w:r w:rsidRPr="003A4656">
        <w:rPr>
          <w:sz w:val="22"/>
          <w:szCs w:val="22"/>
        </w:rPr>
        <w:t>. To address this problem, the ENIGMA (Evidence-based Network for the Interpretation of Germline Mutant Alleles) Consortium was formed (</w:t>
      </w:r>
      <w:hyperlink r:id="rId39" w:history="1">
        <w:r w:rsidRPr="003A4656">
          <w:rPr>
            <w:rStyle w:val="Hyperlink"/>
            <w:sz w:val="22"/>
            <w:szCs w:val="22"/>
          </w:rPr>
          <w:t>http://enigmaconsortium.org</w:t>
        </w:r>
      </w:hyperlink>
      <w:r w:rsidRPr="003A4656">
        <w:rPr>
          <w:sz w:val="22"/>
          <w:szCs w:val="22"/>
        </w:rPr>
        <w:t>). This worldwide consortium is focused on combining information from around the world to classify UVs. In particular, the focus is on collecting information on families with specific UVs and on tumo</w:t>
      </w:r>
      <w:r w:rsidR="005C5B91" w:rsidRPr="003A4656">
        <w:rPr>
          <w:sz w:val="22"/>
          <w:szCs w:val="22"/>
        </w:rPr>
        <w:t>u</w:t>
      </w:r>
      <w:r w:rsidRPr="003A4656">
        <w:rPr>
          <w:sz w:val="22"/>
          <w:szCs w:val="22"/>
        </w:rPr>
        <w:t>r pathology with the intent of evaluating these data and potentially classifying UVs using the posterior probability model. The ENIGMA Consortium ha</w:t>
      </w:r>
      <w:r w:rsidR="006E3B80" w:rsidRPr="003A4656">
        <w:rPr>
          <w:sz w:val="22"/>
          <w:szCs w:val="22"/>
        </w:rPr>
        <w:t>s</w:t>
      </w:r>
      <w:r w:rsidRPr="003A4656">
        <w:rPr>
          <w:sz w:val="22"/>
          <w:szCs w:val="22"/>
        </w:rPr>
        <w:t xml:space="preserve"> six working group (analysis, clinical, database, functional, pathology and splicing) that form the basis of the consortium’s overall approach to the problem of unclassified sequence variants and that interact with each other to access complementary expertise and information, as required to enhance design and implementation of their projects (Spurdle A.B. et al., 201</w:t>
      </w:r>
      <w:r w:rsidR="005C5B91" w:rsidRPr="003A4656">
        <w:rPr>
          <w:sz w:val="22"/>
          <w:szCs w:val="22"/>
        </w:rPr>
        <w:t>2</w:t>
      </w:r>
      <w:r w:rsidRPr="003A4656">
        <w:rPr>
          <w:sz w:val="22"/>
          <w:szCs w:val="22"/>
        </w:rPr>
        <w:t>).</w:t>
      </w:r>
    </w:p>
    <w:p w:rsidR="00C941EF" w:rsidRPr="003A4656" w:rsidRDefault="00C941EF" w:rsidP="00BC1BF5">
      <w:pPr>
        <w:ind w:left="0"/>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Default="00C941EF"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Pr="003A4656" w:rsidRDefault="0045404E"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Default="00C941EF"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Default="0045404E" w:rsidP="00583E5E">
      <w:pPr>
        <w:rPr>
          <w:sz w:val="22"/>
          <w:szCs w:val="22"/>
        </w:rPr>
      </w:pPr>
    </w:p>
    <w:p w:rsidR="0045404E" w:rsidRPr="003A4656" w:rsidRDefault="0045404E"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985322" w:rsidRDefault="00C941EF" w:rsidP="00985322">
      <w:pPr>
        <w:ind w:left="0"/>
        <w:jc w:val="right"/>
        <w:rPr>
          <w:b/>
          <w:i/>
          <w:sz w:val="36"/>
          <w:szCs w:val="36"/>
        </w:rPr>
      </w:pPr>
      <w:r w:rsidRPr="00985322">
        <w:rPr>
          <w:b/>
          <w:i/>
          <w:sz w:val="36"/>
          <w:szCs w:val="36"/>
        </w:rPr>
        <w:t>Materials and Methods</w:t>
      </w: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AD5CA2" w:rsidRPr="003A4656" w:rsidRDefault="00AD5CA2" w:rsidP="00583E5E">
      <w:pPr>
        <w:rPr>
          <w:sz w:val="22"/>
          <w:szCs w:val="22"/>
        </w:rPr>
      </w:pPr>
    </w:p>
    <w:p w:rsidR="00AD5CA2" w:rsidRPr="003A4656" w:rsidRDefault="00AD5CA2" w:rsidP="00583E5E">
      <w:pPr>
        <w:rPr>
          <w:sz w:val="22"/>
          <w:szCs w:val="22"/>
        </w:rPr>
      </w:pPr>
    </w:p>
    <w:p w:rsidR="00AD5CA2" w:rsidRPr="003A4656" w:rsidRDefault="00AD5CA2" w:rsidP="00583E5E">
      <w:pPr>
        <w:rPr>
          <w:sz w:val="22"/>
          <w:szCs w:val="22"/>
        </w:rPr>
      </w:pPr>
    </w:p>
    <w:p w:rsidR="00AD5CA2" w:rsidRPr="003A4656" w:rsidRDefault="00AD5CA2" w:rsidP="00583E5E">
      <w:pPr>
        <w:rPr>
          <w:sz w:val="22"/>
          <w:szCs w:val="22"/>
        </w:rPr>
      </w:pPr>
    </w:p>
    <w:p w:rsidR="00AD5CA2" w:rsidRDefault="00AD5CA2" w:rsidP="00583E5E">
      <w:pPr>
        <w:rPr>
          <w:sz w:val="22"/>
          <w:szCs w:val="22"/>
        </w:rPr>
      </w:pPr>
    </w:p>
    <w:p w:rsidR="00826D66" w:rsidRPr="003A4656" w:rsidRDefault="00826D66" w:rsidP="00583E5E">
      <w:pPr>
        <w:rPr>
          <w:sz w:val="22"/>
          <w:szCs w:val="22"/>
        </w:rPr>
      </w:pPr>
    </w:p>
    <w:p w:rsidR="00AD5CA2" w:rsidRPr="003A4656" w:rsidRDefault="00AD5CA2" w:rsidP="00583E5E">
      <w:pPr>
        <w:rPr>
          <w:sz w:val="22"/>
          <w:szCs w:val="22"/>
        </w:rPr>
      </w:pPr>
    </w:p>
    <w:p w:rsidR="00AD5CA2" w:rsidRDefault="00AD5CA2" w:rsidP="00583E5E">
      <w:pPr>
        <w:rPr>
          <w:sz w:val="22"/>
          <w:szCs w:val="22"/>
        </w:rPr>
      </w:pPr>
    </w:p>
    <w:p w:rsidR="00985322" w:rsidRDefault="00985322" w:rsidP="00583E5E">
      <w:pPr>
        <w:rPr>
          <w:sz w:val="22"/>
          <w:szCs w:val="22"/>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lang w:val="en-GB"/>
        </w:rPr>
        <w:t>Patients recruitment  and DNA extraction</w:t>
      </w:r>
    </w:p>
    <w:p w:rsidR="00BC1BF5" w:rsidRPr="003A4656" w:rsidRDefault="00BC1BF5" w:rsidP="00BC1BF5">
      <w:pPr>
        <w:ind w:left="0"/>
        <w:rPr>
          <w:sz w:val="22"/>
          <w:szCs w:val="22"/>
        </w:rPr>
      </w:pPr>
      <w:r w:rsidRPr="003A4656">
        <w:rPr>
          <w:sz w:val="22"/>
          <w:szCs w:val="22"/>
        </w:rPr>
        <w:t xml:space="preserve">160 unrelated patients affected with breast and/or ovarian cancer were selected after interview at the Department of Oncology of the Policlinico “P. Giaccone”, University of Palermo, from February 2011 to March 2013 according to specific criteria, Pre-test counseling for the patient belonged to different high-risk classes was performed by a geneticist, an oncologist and a psychologist . Selection criteria were as follows: </w:t>
      </w:r>
    </w:p>
    <w:p w:rsidR="00BC1BF5" w:rsidRPr="003A4656" w:rsidRDefault="00BC1BF5" w:rsidP="00BC1BF5">
      <w:pPr>
        <w:widowControl/>
        <w:numPr>
          <w:ilvl w:val="0"/>
          <w:numId w:val="9"/>
        </w:numPr>
        <w:ind w:right="0"/>
        <w:textAlignment w:val="auto"/>
        <w:rPr>
          <w:sz w:val="22"/>
          <w:szCs w:val="22"/>
        </w:rPr>
      </w:pPr>
      <w:r w:rsidRPr="003A4656">
        <w:rPr>
          <w:sz w:val="22"/>
          <w:szCs w:val="22"/>
        </w:rPr>
        <w:t xml:space="preserve">early onset breast cancer (&lt;40 years); </w:t>
      </w:r>
    </w:p>
    <w:p w:rsidR="00BC1BF5" w:rsidRPr="003A4656" w:rsidRDefault="00BC1BF5" w:rsidP="00BC1BF5">
      <w:pPr>
        <w:widowControl/>
        <w:numPr>
          <w:ilvl w:val="0"/>
          <w:numId w:val="9"/>
        </w:numPr>
        <w:ind w:right="0"/>
        <w:textAlignment w:val="auto"/>
        <w:rPr>
          <w:sz w:val="22"/>
          <w:szCs w:val="22"/>
        </w:rPr>
      </w:pPr>
      <w:r w:rsidRPr="003A4656">
        <w:rPr>
          <w:sz w:val="22"/>
          <w:szCs w:val="22"/>
        </w:rPr>
        <w:t xml:space="preserve">three or more breast cancer cases diagnosed at any age or two first-degree family members affected before 50; </w:t>
      </w:r>
    </w:p>
    <w:p w:rsidR="00BC1BF5" w:rsidRPr="003A4656" w:rsidRDefault="00BC1BF5" w:rsidP="00BC1BF5">
      <w:pPr>
        <w:widowControl/>
        <w:numPr>
          <w:ilvl w:val="0"/>
          <w:numId w:val="9"/>
        </w:numPr>
        <w:ind w:right="0"/>
        <w:textAlignment w:val="auto"/>
        <w:rPr>
          <w:sz w:val="22"/>
          <w:szCs w:val="22"/>
        </w:rPr>
      </w:pPr>
      <w:r w:rsidRPr="003A4656">
        <w:rPr>
          <w:sz w:val="22"/>
          <w:szCs w:val="22"/>
        </w:rPr>
        <w:t xml:space="preserve">breast and ovarian cancer in the same individual or two breast cancer cases and at least one ovarian cancer case, or one breast cancer case and one ovarian cancer case diagnosed before 50 in first-degree family members; </w:t>
      </w:r>
    </w:p>
    <w:p w:rsidR="00BC1BF5" w:rsidRPr="003A4656" w:rsidRDefault="00BC1BF5" w:rsidP="00BC1BF5">
      <w:pPr>
        <w:widowControl/>
        <w:numPr>
          <w:ilvl w:val="0"/>
          <w:numId w:val="9"/>
        </w:numPr>
        <w:ind w:right="0"/>
        <w:textAlignment w:val="auto"/>
        <w:rPr>
          <w:sz w:val="22"/>
          <w:szCs w:val="22"/>
        </w:rPr>
      </w:pPr>
      <w:r w:rsidRPr="003A4656">
        <w:rPr>
          <w:sz w:val="22"/>
          <w:szCs w:val="22"/>
        </w:rPr>
        <w:t xml:space="preserve">two or more ovarian cancer cases; </w:t>
      </w:r>
    </w:p>
    <w:p w:rsidR="00BC1BF5" w:rsidRPr="003A4656" w:rsidRDefault="00BC1BF5" w:rsidP="00BC1BF5">
      <w:pPr>
        <w:widowControl/>
        <w:numPr>
          <w:ilvl w:val="0"/>
          <w:numId w:val="9"/>
        </w:numPr>
        <w:ind w:right="0"/>
        <w:textAlignment w:val="auto"/>
        <w:rPr>
          <w:sz w:val="22"/>
          <w:szCs w:val="22"/>
        </w:rPr>
      </w:pPr>
      <w:proofErr w:type="gramStart"/>
      <w:r w:rsidRPr="003A4656">
        <w:rPr>
          <w:sz w:val="22"/>
          <w:szCs w:val="22"/>
        </w:rPr>
        <w:t>and</w:t>
      </w:r>
      <w:proofErr w:type="gramEnd"/>
      <w:r w:rsidRPr="003A4656">
        <w:rPr>
          <w:sz w:val="22"/>
          <w:szCs w:val="22"/>
        </w:rPr>
        <w:t xml:space="preserve"> male breast cancer cases were recruited regardless of age and family history. </w:t>
      </w:r>
    </w:p>
    <w:p w:rsidR="00BC1BF5" w:rsidRPr="003A4656" w:rsidRDefault="00BC1BF5" w:rsidP="00AD5CA2">
      <w:pPr>
        <w:ind w:left="0" w:right="0"/>
        <w:rPr>
          <w:sz w:val="22"/>
          <w:szCs w:val="22"/>
        </w:rPr>
      </w:pPr>
      <w:r w:rsidRPr="003A4656">
        <w:rPr>
          <w:sz w:val="22"/>
          <w:szCs w:val="22"/>
        </w:rPr>
        <w:t>For each family, we selected a breast and/or ovarian cancer-affected individual as the index case (proband) for BRCA1/2 mutation screening. For each proband, the “</w:t>
      </w:r>
      <w:r w:rsidRPr="003A4656">
        <w:rPr>
          <w:i/>
          <w:sz w:val="22"/>
          <w:szCs w:val="22"/>
        </w:rPr>
        <w:t>a priori</w:t>
      </w:r>
      <w:r w:rsidRPr="003A4656">
        <w:rPr>
          <w:sz w:val="22"/>
          <w:szCs w:val="22"/>
        </w:rPr>
        <w:t>” probability of carrying a pathologic BRCA1/2 germline mutation was calculated by BRCApro model (Parmigiani G</w:t>
      </w:r>
      <w:r w:rsidR="00913DAF">
        <w:rPr>
          <w:sz w:val="22"/>
          <w:szCs w:val="22"/>
        </w:rPr>
        <w:t xml:space="preserve">. et al., </w:t>
      </w:r>
      <w:r w:rsidRPr="003A4656">
        <w:rPr>
          <w:sz w:val="22"/>
          <w:szCs w:val="22"/>
        </w:rPr>
        <w:t>1998). Of these 160</w:t>
      </w:r>
      <w:r w:rsidRPr="003A4656">
        <w:rPr>
          <w:color w:val="FF0000"/>
          <w:sz w:val="22"/>
          <w:szCs w:val="22"/>
        </w:rPr>
        <w:t xml:space="preserve"> </w:t>
      </w:r>
      <w:r w:rsidRPr="003A4656">
        <w:rPr>
          <w:sz w:val="22"/>
          <w:szCs w:val="22"/>
        </w:rPr>
        <w:t xml:space="preserve">patients we selected 50 probands and after obtaining an informed consent, genomic DNA was extracted from peripheral blood of all selected patients using commercial kit (Qiamp Blood Kit, Qiagen, Valencia, </w:t>
      </w:r>
      <w:proofErr w:type="gramStart"/>
      <w:r w:rsidRPr="003A4656">
        <w:rPr>
          <w:sz w:val="22"/>
          <w:szCs w:val="22"/>
        </w:rPr>
        <w:t>CA</w:t>
      </w:r>
      <w:proofErr w:type="gramEnd"/>
      <w:r w:rsidRPr="003A4656">
        <w:rPr>
          <w:sz w:val="22"/>
          <w:szCs w:val="22"/>
        </w:rPr>
        <w:t>). All the samples were analyzed anonymously with a progressive code.</w:t>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numPr>
          <w:ilvl w:val="0"/>
          <w:numId w:val="8"/>
        </w:numPr>
        <w:adjustRightInd w:val="0"/>
        <w:spacing w:after="0"/>
        <w:ind w:right="0"/>
        <w:jc w:val="both"/>
        <w:rPr>
          <w:rFonts w:ascii="Times New Roman" w:hAnsi="Times New Roman"/>
          <w:b/>
          <w:lang w:val="en-GB"/>
        </w:rPr>
      </w:pPr>
      <w:r w:rsidRPr="003A4656">
        <w:rPr>
          <w:rFonts w:ascii="Times New Roman" w:hAnsi="Times New Roman"/>
          <w:b/>
          <w:lang w:val="en-GB"/>
        </w:rPr>
        <w:t>DNA amplification and sequencing</w:t>
      </w:r>
    </w:p>
    <w:p w:rsidR="00BC1BF5" w:rsidRPr="003A4656" w:rsidRDefault="00BC1BF5" w:rsidP="00BC1BF5">
      <w:pPr>
        <w:pStyle w:val="ListParagraph"/>
        <w:adjustRightInd w:val="0"/>
        <w:spacing w:after="0"/>
        <w:jc w:val="both"/>
        <w:rPr>
          <w:rFonts w:ascii="Times New Roman" w:hAnsi="Times New Roman"/>
          <w:lang w:val="en-GB"/>
        </w:rPr>
      </w:pPr>
    </w:p>
    <w:p w:rsidR="00BC1BF5" w:rsidRPr="003A4656" w:rsidRDefault="00BC1BF5" w:rsidP="00AD5CA2">
      <w:pPr>
        <w:pStyle w:val="ListParagraph"/>
        <w:tabs>
          <w:tab w:val="left" w:pos="7290"/>
          <w:tab w:val="left" w:pos="7380"/>
        </w:tabs>
        <w:ind w:left="0" w:right="0"/>
        <w:jc w:val="both"/>
        <w:rPr>
          <w:rFonts w:ascii="Times New Roman" w:hAnsi="Times New Roman"/>
          <w:lang w:val="en-GB"/>
        </w:rPr>
      </w:pPr>
      <w:r w:rsidRPr="003A4656">
        <w:rPr>
          <w:rFonts w:ascii="Times New Roman" w:hAnsi="Times New Roman"/>
          <w:lang w:val="en-GB"/>
        </w:rPr>
        <w:t>DNA amplification and sequencing were performed with the BigDye</w:t>
      </w:r>
      <w:r w:rsidRPr="003A4656">
        <w:rPr>
          <w:rFonts w:ascii="Times New Roman" w:hAnsi="Times New Roman"/>
          <w:vertAlign w:val="superscript"/>
          <w:lang w:val="en-GB"/>
        </w:rPr>
        <w:t>®</w:t>
      </w:r>
      <w:r w:rsidRPr="003A4656">
        <w:rPr>
          <w:rFonts w:ascii="Times New Roman" w:hAnsi="Times New Roman"/>
          <w:lang w:val="en-GB"/>
        </w:rPr>
        <w:t xml:space="preserve"> Direct Cycle Sequencing Kit (Applied Biosystems, Life Technologies Corporation). This kit simplifies the existing Sanger sequencing workflow by providing post-PCR clean-up reagents and sequencing reagents in a single mix, which is added directly to the PCR reaction. PCR primers are designed with M13 tails and are used in conjunction with a specific master mix, allowing the addition of the M13 primer binding sites to all PCR products; thus all PCR products can be sequenced using the M13 forward and reverse universal sequencing primer pair provided in the kit (Figure 6).</w:t>
      </w:r>
    </w:p>
    <w:p w:rsidR="00BC1BF5" w:rsidRPr="003A4656" w:rsidRDefault="00BC1BF5" w:rsidP="00BC1BF5">
      <w:pPr>
        <w:pStyle w:val="ListParagraph"/>
        <w:jc w:val="both"/>
        <w:rPr>
          <w:rFonts w:ascii="Times New Roman" w:hAnsi="Times New Roman"/>
          <w:lang w:val="en-GB"/>
        </w:rPr>
      </w:pPr>
    </w:p>
    <w:p w:rsidR="00BC1BF5" w:rsidRPr="003A4656" w:rsidRDefault="00BC1BF5" w:rsidP="00AD5CA2">
      <w:pPr>
        <w:pStyle w:val="ListParagraph"/>
        <w:ind w:right="0"/>
        <w:jc w:val="center"/>
        <w:rPr>
          <w:rFonts w:ascii="Times New Roman" w:hAnsi="Times New Roman"/>
          <w:lang w:val="en-GB"/>
        </w:rPr>
      </w:pPr>
      <w:r w:rsidRPr="003A4656">
        <w:rPr>
          <w:rFonts w:ascii="Times New Roman" w:hAnsi="Times New Roman"/>
          <w:noProof/>
          <w:lang w:val="en-US"/>
        </w:rPr>
        <w:drawing>
          <wp:inline distT="0" distB="0" distL="0" distR="0">
            <wp:extent cx="3845584" cy="1157734"/>
            <wp:effectExtent l="19050" t="0" r="0" b="0"/>
            <wp:docPr id="14" name="Picture 9" descr="Immagin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magine3"/>
                    <pic:cNvPicPr>
                      <a:picLocks noChangeAspect="1" noChangeArrowheads="1"/>
                    </pic:cNvPicPr>
                  </pic:nvPicPr>
                  <pic:blipFill>
                    <a:blip r:embed="rId40" cstate="print"/>
                    <a:srcRect/>
                    <a:stretch>
                      <a:fillRect/>
                    </a:stretch>
                  </pic:blipFill>
                  <pic:spPr bwMode="auto">
                    <a:xfrm>
                      <a:off x="0" y="0"/>
                      <a:ext cx="3846829" cy="1158109"/>
                    </a:xfrm>
                    <a:prstGeom prst="rect">
                      <a:avLst/>
                    </a:prstGeom>
                    <a:noFill/>
                    <a:ln w="9525">
                      <a:noFill/>
                      <a:miter lim="800000"/>
                      <a:headEnd/>
                      <a:tailEnd/>
                    </a:ln>
                  </pic:spPr>
                </pic:pic>
              </a:graphicData>
            </a:graphic>
          </wp:inline>
        </w:drawing>
      </w:r>
    </w:p>
    <w:p w:rsidR="00BC1BF5" w:rsidRPr="003A4656" w:rsidRDefault="00BC1BF5" w:rsidP="00BC1BF5">
      <w:pPr>
        <w:pStyle w:val="ListParagraph"/>
        <w:jc w:val="center"/>
        <w:rPr>
          <w:rFonts w:ascii="Times New Roman" w:hAnsi="Times New Roman"/>
          <w:i/>
          <w:sz w:val="18"/>
          <w:szCs w:val="18"/>
          <w:lang w:val="en-GB"/>
        </w:rPr>
      </w:pPr>
      <w:proofErr w:type="gramStart"/>
      <w:r w:rsidRPr="003A4656">
        <w:rPr>
          <w:rFonts w:ascii="Times New Roman" w:hAnsi="Times New Roman"/>
          <w:i/>
          <w:sz w:val="18"/>
          <w:szCs w:val="18"/>
          <w:lang w:val="en-GB"/>
        </w:rPr>
        <w:t>Fig. 6.</w:t>
      </w:r>
      <w:proofErr w:type="gramEnd"/>
      <w:r w:rsidRPr="003A4656">
        <w:rPr>
          <w:rFonts w:ascii="Times New Roman" w:hAnsi="Times New Roman"/>
          <w:i/>
          <w:sz w:val="18"/>
          <w:szCs w:val="18"/>
          <w:lang w:val="en-GB"/>
        </w:rPr>
        <w:t xml:space="preserve"> Graphic representation of BRCA target sequence and primers</w:t>
      </w:r>
    </w:p>
    <w:p w:rsidR="00BC1BF5" w:rsidRPr="003A4656" w:rsidRDefault="00BC1BF5" w:rsidP="00BC1BF5">
      <w:pPr>
        <w:pStyle w:val="ListParagraph"/>
        <w:adjustRightInd w:val="0"/>
        <w:spacing w:after="0"/>
        <w:ind w:left="0"/>
        <w:jc w:val="both"/>
        <w:rPr>
          <w:rFonts w:ascii="Times New Roman" w:hAnsi="Times New Roman"/>
          <w:lang w:val="en-GB"/>
        </w:rPr>
      </w:pPr>
    </w:p>
    <w:p w:rsidR="00BC1BF5" w:rsidRPr="003A4656" w:rsidRDefault="00BC1BF5" w:rsidP="00BC1BF5">
      <w:pPr>
        <w:pStyle w:val="ListParagraph"/>
        <w:numPr>
          <w:ilvl w:val="1"/>
          <w:numId w:val="8"/>
        </w:numPr>
        <w:autoSpaceDE/>
        <w:autoSpaceDN/>
        <w:ind w:right="0"/>
        <w:jc w:val="both"/>
        <w:rPr>
          <w:rFonts w:ascii="Times New Roman" w:hAnsi="Times New Roman"/>
          <w:b/>
          <w:lang w:val="en-GB"/>
        </w:rPr>
      </w:pPr>
      <w:r w:rsidRPr="003A4656">
        <w:rPr>
          <w:rFonts w:ascii="Times New Roman" w:hAnsi="Times New Roman"/>
          <w:b/>
          <w:lang w:val="en-GB"/>
        </w:rPr>
        <w:t>PCR amplification</w:t>
      </w:r>
    </w:p>
    <w:p w:rsidR="00BC1BF5" w:rsidRPr="003A4656" w:rsidRDefault="00BC1BF5" w:rsidP="00BC1BF5">
      <w:pPr>
        <w:pStyle w:val="ListParagraph"/>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For DNA amplification, amplification primers were designed to contain M13Forward (Fw) and M13Reverse (Rev) sequences at the 5´ end of the BRCA-specific PCR primers (Table 4).</w:t>
      </w:r>
    </w:p>
    <w:p w:rsidR="00BC1BF5" w:rsidRPr="003A4656" w:rsidRDefault="00BC1BF5" w:rsidP="00AD5CA2">
      <w:pPr>
        <w:pStyle w:val="ListParagraph"/>
        <w:ind w:left="0" w:right="0"/>
        <w:jc w:val="both"/>
        <w:rPr>
          <w:rFonts w:ascii="Times New Roman" w:hAnsi="Times New Roman"/>
          <w:lang w:val="en-GB"/>
        </w:rPr>
      </w:pPr>
    </w:p>
    <w:p w:rsidR="00BC1BF5" w:rsidRPr="003A4656" w:rsidRDefault="00BC1BF5" w:rsidP="00AD5CA2">
      <w:pPr>
        <w:pStyle w:val="ListParagraph"/>
        <w:spacing w:after="0"/>
        <w:ind w:left="0" w:right="0"/>
        <w:jc w:val="center"/>
        <w:rPr>
          <w:rFonts w:ascii="Times New Roman" w:hAnsi="Times New Roman"/>
          <w:lang w:val="en-GB"/>
        </w:rPr>
      </w:pPr>
      <w:proofErr w:type="gramStart"/>
      <w:r w:rsidRPr="003A4656">
        <w:rPr>
          <w:rFonts w:ascii="Times New Roman" w:hAnsi="Times New Roman"/>
          <w:lang w:val="en-GB"/>
        </w:rPr>
        <w:t>Table 4.</w:t>
      </w:r>
      <w:proofErr w:type="gramEnd"/>
      <w:r w:rsidRPr="003A4656">
        <w:rPr>
          <w:rFonts w:ascii="Times New Roman" w:hAnsi="Times New Roman"/>
          <w:lang w:val="en-GB"/>
        </w:rPr>
        <w:t xml:space="preserve"> M13 primers sequence</w:t>
      </w:r>
    </w:p>
    <w:tbl>
      <w:tblPr>
        <w:tblStyle w:val="Sfondochiaro1"/>
        <w:tblW w:w="0" w:type="auto"/>
        <w:jc w:val="center"/>
        <w:tblLook w:val="04A0"/>
      </w:tblPr>
      <w:tblGrid>
        <w:gridCol w:w="2067"/>
        <w:gridCol w:w="4616"/>
      </w:tblGrid>
      <w:tr w:rsidR="00BC1BF5" w:rsidRPr="003A4656" w:rsidTr="001A3A9C">
        <w:trPr>
          <w:cnfStyle w:val="100000000000"/>
          <w:jc w:val="center"/>
        </w:trPr>
        <w:tc>
          <w:tcPr>
            <w:cnfStyle w:val="001000000000"/>
            <w:tcW w:w="2067" w:type="dxa"/>
          </w:tcPr>
          <w:p w:rsidR="00BC1BF5" w:rsidRPr="003A4656" w:rsidRDefault="00BC1BF5" w:rsidP="00AD5CA2">
            <w:pPr>
              <w:pStyle w:val="ListParagraph"/>
              <w:ind w:left="0" w:right="0"/>
              <w:jc w:val="center"/>
              <w:rPr>
                <w:rFonts w:ascii="Times New Roman" w:eastAsia="Times New Roman" w:hAnsi="Times New Roman"/>
                <w:b w:val="0"/>
                <w:bCs w:val="0"/>
                <w:lang w:val="en-GB"/>
              </w:rPr>
            </w:pPr>
            <w:r w:rsidRPr="003A4656">
              <w:rPr>
                <w:rFonts w:ascii="Times New Roman" w:eastAsia="Times New Roman" w:hAnsi="Times New Roman"/>
                <w:b w:val="0"/>
                <w:bCs w:val="0"/>
                <w:lang w:val="en-GB"/>
              </w:rPr>
              <w:t>Primers</w:t>
            </w:r>
          </w:p>
        </w:tc>
        <w:tc>
          <w:tcPr>
            <w:tcW w:w="4616" w:type="dxa"/>
          </w:tcPr>
          <w:p w:rsidR="00BC1BF5" w:rsidRPr="003A4656" w:rsidRDefault="00BC1BF5" w:rsidP="00AD5CA2">
            <w:pPr>
              <w:pStyle w:val="ListParagraph"/>
              <w:ind w:left="0" w:right="0"/>
              <w:jc w:val="center"/>
              <w:cnfStyle w:val="100000000000"/>
              <w:rPr>
                <w:rFonts w:ascii="Times New Roman" w:eastAsia="Times New Roman" w:hAnsi="Times New Roman"/>
                <w:b w:val="0"/>
                <w:bCs w:val="0"/>
                <w:lang w:val="en-GB"/>
              </w:rPr>
            </w:pPr>
            <w:r w:rsidRPr="003A4656">
              <w:rPr>
                <w:rFonts w:ascii="Times New Roman" w:eastAsia="Times New Roman" w:hAnsi="Times New Roman"/>
                <w:b w:val="0"/>
                <w:bCs w:val="0"/>
                <w:lang w:val="en-GB"/>
              </w:rPr>
              <w:t>Sequence</w:t>
            </w:r>
          </w:p>
        </w:tc>
      </w:tr>
      <w:tr w:rsidR="00BC1BF5" w:rsidRPr="003A4656" w:rsidTr="001A3A9C">
        <w:trPr>
          <w:cnfStyle w:val="000000100000"/>
          <w:jc w:val="center"/>
        </w:trPr>
        <w:tc>
          <w:tcPr>
            <w:cnfStyle w:val="001000000000"/>
            <w:tcW w:w="2067" w:type="dxa"/>
          </w:tcPr>
          <w:p w:rsidR="00BC1BF5" w:rsidRPr="003A4656" w:rsidRDefault="00BC1BF5" w:rsidP="00AD5CA2">
            <w:pPr>
              <w:pStyle w:val="ListParagraph"/>
              <w:ind w:left="0" w:right="0"/>
              <w:jc w:val="both"/>
              <w:rPr>
                <w:rFonts w:ascii="Times New Roman" w:eastAsia="Times New Roman" w:hAnsi="Times New Roman"/>
                <w:b w:val="0"/>
                <w:bCs w:val="0"/>
                <w:lang w:val="en-GB"/>
              </w:rPr>
            </w:pPr>
            <w:r w:rsidRPr="003A4656">
              <w:rPr>
                <w:rFonts w:ascii="Times New Roman" w:eastAsia="Times New Roman" w:hAnsi="Times New Roman"/>
                <w:b w:val="0"/>
                <w:bCs w:val="0"/>
                <w:lang w:val="en-GB"/>
              </w:rPr>
              <w:t>M13 Forward</w:t>
            </w:r>
          </w:p>
        </w:tc>
        <w:tc>
          <w:tcPr>
            <w:tcW w:w="4616" w:type="dxa"/>
          </w:tcPr>
          <w:p w:rsidR="00BC1BF5" w:rsidRPr="003A4656" w:rsidRDefault="00BC1BF5" w:rsidP="00AD5CA2">
            <w:pPr>
              <w:pStyle w:val="ListParagraph"/>
              <w:ind w:left="0" w:right="0"/>
              <w:jc w:val="both"/>
              <w:cnfStyle w:val="000000100000"/>
              <w:rPr>
                <w:rFonts w:ascii="Times New Roman" w:hAnsi="Times New Roman"/>
                <w:lang w:val="en-GB"/>
              </w:rPr>
            </w:pPr>
            <w:r w:rsidRPr="003A4656">
              <w:rPr>
                <w:rFonts w:ascii="Times New Roman" w:hAnsi="Times New Roman"/>
                <w:lang w:val="en-GB"/>
              </w:rPr>
              <w:t>5’CGTTGTAAAACGACGGCCATG 3’</w:t>
            </w:r>
          </w:p>
        </w:tc>
      </w:tr>
      <w:tr w:rsidR="00BC1BF5" w:rsidRPr="003A4656" w:rsidTr="001A3A9C">
        <w:trPr>
          <w:jc w:val="center"/>
        </w:trPr>
        <w:tc>
          <w:tcPr>
            <w:cnfStyle w:val="001000000000"/>
            <w:tcW w:w="2067" w:type="dxa"/>
          </w:tcPr>
          <w:p w:rsidR="00BC1BF5" w:rsidRPr="003A4656" w:rsidRDefault="00BC1BF5" w:rsidP="00AD5CA2">
            <w:pPr>
              <w:pStyle w:val="ListParagraph"/>
              <w:ind w:left="0" w:right="0"/>
              <w:jc w:val="both"/>
              <w:rPr>
                <w:rFonts w:ascii="Times New Roman" w:eastAsia="Times New Roman" w:hAnsi="Times New Roman"/>
                <w:b w:val="0"/>
                <w:bCs w:val="0"/>
                <w:lang w:val="en-GB"/>
              </w:rPr>
            </w:pPr>
            <w:r w:rsidRPr="003A4656">
              <w:rPr>
                <w:rFonts w:ascii="Times New Roman" w:eastAsia="Times New Roman" w:hAnsi="Times New Roman"/>
                <w:b w:val="0"/>
                <w:bCs w:val="0"/>
                <w:lang w:val="en-GB"/>
              </w:rPr>
              <w:t>M13 Reverse</w:t>
            </w:r>
          </w:p>
        </w:tc>
        <w:tc>
          <w:tcPr>
            <w:tcW w:w="4616" w:type="dxa"/>
          </w:tcPr>
          <w:p w:rsidR="00BC1BF5" w:rsidRPr="003A4656" w:rsidRDefault="00BC1BF5" w:rsidP="00AD5CA2">
            <w:pPr>
              <w:pStyle w:val="ListParagraph"/>
              <w:ind w:left="0" w:right="0"/>
              <w:jc w:val="both"/>
              <w:cnfStyle w:val="000000000000"/>
              <w:rPr>
                <w:rFonts w:ascii="Times New Roman" w:hAnsi="Times New Roman"/>
                <w:lang w:val="en-GB"/>
              </w:rPr>
            </w:pPr>
            <w:r w:rsidRPr="003A4656">
              <w:rPr>
                <w:rFonts w:ascii="Times New Roman" w:hAnsi="Times New Roman"/>
                <w:lang w:val="en-GB"/>
              </w:rPr>
              <w:t>5’TTTCACAGGAAACAGCTATGAC 3’</w:t>
            </w:r>
          </w:p>
        </w:tc>
      </w:tr>
    </w:tbl>
    <w:p w:rsidR="00BC1BF5" w:rsidRPr="003A4656" w:rsidRDefault="00BC1BF5" w:rsidP="00AD5CA2">
      <w:pPr>
        <w:pStyle w:val="ListParagraph"/>
        <w:spacing w:after="0"/>
        <w:ind w:left="0" w:right="0"/>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 xml:space="preserve">Amplification reaction contained </w:t>
      </w:r>
      <w:proofErr w:type="gramStart"/>
      <w:r w:rsidRPr="003A4656">
        <w:rPr>
          <w:rFonts w:ascii="Times New Roman" w:hAnsi="Times New Roman"/>
          <w:lang w:val="en-GB"/>
        </w:rPr>
        <w:t>4 ng/μL DNA, 1.2 pmol of each BRCA-primer and 5 μL PCR Master Mix provided in the kit</w:t>
      </w:r>
      <w:proofErr w:type="gramEnd"/>
      <w:r w:rsidRPr="003A4656">
        <w:rPr>
          <w:rFonts w:ascii="Times New Roman" w:hAnsi="Times New Roman"/>
          <w:lang w:val="en-GB"/>
        </w:rPr>
        <w:t>. For each amplicon, two separate PCRs were set up-one for the forward sequencing reaction and one for the reverse sequencing reaction. The reactions were amplified using the Veriti Thermal Cycler (Applied Biosystems, Life Technologies Corporation). Cycling conditions were:</w:t>
      </w:r>
    </w:p>
    <w:p w:rsidR="00BC1BF5" w:rsidRPr="003A4656" w:rsidRDefault="00BC1BF5" w:rsidP="00AD5CA2">
      <w:pPr>
        <w:pStyle w:val="ListParagraph"/>
        <w:ind w:left="0" w:right="0"/>
        <w:jc w:val="both"/>
        <w:rPr>
          <w:rFonts w:ascii="Times New Roman" w:hAnsi="Times New Roman"/>
          <w:lang w:val="en-GB"/>
        </w:rPr>
      </w:pP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ind w:left="0"/>
        <w:jc w:val="center"/>
        <w:rPr>
          <w:rFonts w:ascii="Times New Roman" w:hAnsi="Times New Roman"/>
          <w:lang w:val="en-GB" w:eastAsia="it-IT"/>
        </w:rPr>
      </w:pPr>
      <w:r w:rsidRPr="003A4656">
        <w:rPr>
          <w:rFonts w:ascii="Times New Roman" w:hAnsi="Times New Roman"/>
          <w:noProof/>
          <w:lang w:val="en-US"/>
        </w:rPr>
        <w:drawing>
          <wp:inline distT="0" distB="0" distL="0" distR="0">
            <wp:extent cx="2466975" cy="1535430"/>
            <wp:effectExtent l="19050" t="0" r="9525" b="0"/>
            <wp:docPr id="1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41" cstate="print"/>
                    <a:srcRect/>
                    <a:stretch>
                      <a:fillRect/>
                    </a:stretch>
                  </pic:blipFill>
                  <pic:spPr bwMode="auto">
                    <a:xfrm>
                      <a:off x="0" y="0"/>
                      <a:ext cx="2466975" cy="1535430"/>
                    </a:xfrm>
                    <a:prstGeom prst="rect">
                      <a:avLst/>
                    </a:prstGeom>
                    <a:noFill/>
                    <a:ln w="9525">
                      <a:noFill/>
                      <a:miter lim="800000"/>
                      <a:headEnd/>
                      <a:tailEnd/>
                    </a:ln>
                  </pic:spPr>
                </pic:pic>
              </a:graphicData>
            </a:graphic>
          </wp:inline>
        </w:drawing>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The presence of M13 tails allow to use the same temperature of annealing for the PCR amplification reaction. After amplification, the PCR product was resolved in agarose gel (2.8%) run to check the quality.</w:t>
      </w:r>
    </w:p>
    <w:p w:rsidR="00BC1BF5" w:rsidRPr="003A4656" w:rsidRDefault="00BC1BF5" w:rsidP="00AD5CA2">
      <w:pPr>
        <w:pStyle w:val="ListParagraph"/>
        <w:ind w:left="0" w:right="0"/>
        <w:jc w:val="both"/>
        <w:rPr>
          <w:rFonts w:ascii="Times New Roman" w:hAnsi="Times New Roman"/>
          <w:lang w:val="en-GB"/>
        </w:rPr>
      </w:pPr>
    </w:p>
    <w:p w:rsidR="00BC1BF5" w:rsidRPr="003A4656" w:rsidRDefault="00BC1BF5" w:rsidP="00AD5CA2">
      <w:pPr>
        <w:pStyle w:val="ListParagraph"/>
        <w:ind w:right="0"/>
        <w:jc w:val="both"/>
        <w:rPr>
          <w:rFonts w:ascii="Times New Roman" w:hAnsi="Times New Roman"/>
          <w:b/>
          <w:lang w:val="en-GB"/>
        </w:rPr>
      </w:pPr>
      <w:r w:rsidRPr="003A4656">
        <w:rPr>
          <w:rFonts w:ascii="Times New Roman" w:hAnsi="Times New Roman"/>
          <w:b/>
          <w:lang w:val="en-GB"/>
        </w:rPr>
        <w:t>2.2 DNA sequencing</w:t>
      </w:r>
    </w:p>
    <w:p w:rsidR="00BC1BF5" w:rsidRPr="003A4656" w:rsidRDefault="00BC1BF5" w:rsidP="00AD5CA2">
      <w:pPr>
        <w:pStyle w:val="ListParagraph"/>
        <w:ind w:right="0"/>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Direct sequencing reactions were performed using specific M13 Fwd or M13 Rev sequencing primers provided with the kit. Each sequencing reaction contained: PCR product, Sequencing Master Mix and M13 Fw or M13 Rev universal sequencing primer. Cycling conditions were:</w:t>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ind w:left="0"/>
        <w:jc w:val="center"/>
        <w:rPr>
          <w:rFonts w:ascii="Times New Roman" w:hAnsi="Times New Roman"/>
          <w:lang w:val="en-GB"/>
        </w:rPr>
      </w:pPr>
      <w:r w:rsidRPr="003A4656">
        <w:rPr>
          <w:rFonts w:ascii="Times New Roman" w:hAnsi="Times New Roman"/>
          <w:noProof/>
          <w:lang w:val="en-US"/>
        </w:rPr>
        <w:drawing>
          <wp:inline distT="0" distB="0" distL="0" distR="0">
            <wp:extent cx="2466975" cy="1725295"/>
            <wp:effectExtent l="19050" t="0" r="9525" b="0"/>
            <wp:docPr id="18"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42" cstate="print"/>
                    <a:srcRect/>
                    <a:stretch>
                      <a:fillRect/>
                    </a:stretch>
                  </pic:blipFill>
                  <pic:spPr bwMode="auto">
                    <a:xfrm>
                      <a:off x="0" y="0"/>
                      <a:ext cx="2466975" cy="1725295"/>
                    </a:xfrm>
                    <a:prstGeom prst="rect">
                      <a:avLst/>
                    </a:prstGeom>
                    <a:noFill/>
                    <a:ln w="9525">
                      <a:noFill/>
                      <a:miter lim="800000"/>
                      <a:headEnd/>
                      <a:tailEnd/>
                    </a:ln>
                  </pic:spPr>
                </pic:pic>
              </a:graphicData>
            </a:graphic>
          </wp:inline>
        </w:drawing>
      </w:r>
    </w:p>
    <w:p w:rsidR="00BC1BF5" w:rsidRPr="003A4656" w:rsidRDefault="00BC1BF5" w:rsidP="00AD5CA2">
      <w:pPr>
        <w:ind w:left="0" w:right="0"/>
        <w:rPr>
          <w:sz w:val="22"/>
          <w:szCs w:val="22"/>
        </w:rPr>
      </w:pPr>
      <w:r w:rsidRPr="003A4656">
        <w:rPr>
          <w:sz w:val="22"/>
          <w:szCs w:val="22"/>
        </w:rPr>
        <w:t>At the end of PCR sequencing, we performed a step of purification with BigDye X-Terminator Purification kit (Applied Biosystems, Life Technologies).  Electrophoresis was performed on the 3130xl Genetic Analyzer (Applied Biosystems, Life Technologies Corporation) with POP-7 Polymer that provides high-resolution sequence data and rapid capillary electrophoresis times.</w:t>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lang w:val="en-GB"/>
        </w:rPr>
        <w:t xml:space="preserve">Data Analysis </w:t>
      </w:r>
    </w:p>
    <w:p w:rsidR="00BC1BF5" w:rsidRPr="003A4656" w:rsidRDefault="00BC1BF5" w:rsidP="00BC1BF5">
      <w:pPr>
        <w:pStyle w:val="ListParagraph"/>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The sequencing results for each sample were analyzed by SeqScape</w:t>
      </w:r>
      <w:r w:rsidRPr="003A4656">
        <w:rPr>
          <w:rFonts w:ascii="Times New Roman" w:hAnsi="Times New Roman"/>
          <w:vertAlign w:val="superscript"/>
          <w:lang w:val="en-GB"/>
        </w:rPr>
        <w:t>®</w:t>
      </w:r>
      <w:r w:rsidRPr="003A4656">
        <w:rPr>
          <w:rFonts w:ascii="Times New Roman" w:hAnsi="Times New Roman"/>
          <w:lang w:val="en-GB"/>
        </w:rPr>
        <w:t xml:space="preserve"> Software (Applied Biosystems) to verify the sequencing results and to identify the putative mutations for each sample.</w:t>
      </w: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Each genetic variant was confirmed by direct sequencing analysis on two independent blood samples.</w:t>
      </w: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All genetic variants were named according to the convention of BIC database and the systematic nomenclature. Sequence variants detected by molecular analysis were classified as deleterious mutations, polymorphisms and variants of unknown significance.</w:t>
      </w:r>
    </w:p>
    <w:p w:rsidR="00BC1BF5" w:rsidRPr="003A4656" w:rsidRDefault="00BC1BF5" w:rsidP="00BC1BF5">
      <w:pPr>
        <w:pStyle w:val="ListParagraph"/>
        <w:ind w:left="0"/>
        <w:jc w:val="both"/>
        <w:rPr>
          <w:rFonts w:ascii="Times New Roman" w:hAnsi="Times New Roman"/>
          <w:bCs/>
          <w:lang w:val="en-GB"/>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lang w:val="en-GB"/>
        </w:rPr>
        <w:t>Plasmid construction</w:t>
      </w:r>
    </w:p>
    <w:p w:rsidR="00BC1BF5" w:rsidRPr="003A4656" w:rsidRDefault="00BC1BF5" w:rsidP="00101298">
      <w:pPr>
        <w:pStyle w:val="ListParagraph"/>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 xml:space="preserve">The pET11a-NfrGFP-Z and pMRBAD-Z-CfrGFP expression vectors, encoding anti-parallel leucine zipper motifs (Z) fused to the N-terminal or C-terminal fragment of Green Fluorescent Protein (NfrGFP, CfrGFP, respectively) and the plasmids encoding N-terminal RING domains of BARD1 (amino acids 26-140) and BRCA1 (amino acids 1-109) attached via a linker sequences to the NfrGFP (pET11a-NfrGFP-BARD1) or CfrGFP (pMRBAD-BRCA1-CfrGFP), were created as </w:t>
      </w:r>
      <w:r w:rsidRPr="003A4656">
        <w:rPr>
          <w:rStyle w:val="highlight"/>
          <w:rFonts w:ascii="Times New Roman" w:hAnsi="Times New Roman"/>
          <w:lang w:val="en-GB"/>
        </w:rPr>
        <w:t>described (</w:t>
      </w:r>
      <w:hyperlink r:id="rId43" w:history="1">
        <w:r w:rsidRPr="003A4656">
          <w:rPr>
            <w:rStyle w:val="highlight"/>
            <w:rFonts w:ascii="Times New Roman" w:hAnsi="Times New Roman"/>
            <w:lang w:val="en-GB"/>
          </w:rPr>
          <w:t>Sarkar M</w:t>
        </w:r>
      </w:hyperlink>
      <w:r w:rsidRPr="003A4656">
        <w:rPr>
          <w:rStyle w:val="highlight"/>
          <w:rFonts w:ascii="Times New Roman" w:hAnsi="Times New Roman"/>
          <w:lang w:val="en-GB"/>
        </w:rPr>
        <w:t xml:space="preserve">. and </w:t>
      </w:r>
      <w:hyperlink r:id="rId44" w:history="1">
        <w:r w:rsidRPr="003A4656">
          <w:rPr>
            <w:rStyle w:val="highlight"/>
            <w:rFonts w:ascii="Times New Roman" w:hAnsi="Times New Roman"/>
            <w:lang w:val="en-GB"/>
          </w:rPr>
          <w:t>Magliery T.J</w:t>
        </w:r>
      </w:hyperlink>
      <w:r w:rsidRPr="003A4656">
        <w:rPr>
          <w:rStyle w:val="highlight"/>
          <w:rFonts w:ascii="Times New Roman" w:hAnsi="Times New Roman"/>
          <w:lang w:val="en-GB"/>
        </w:rPr>
        <w:t>., 2008).</w:t>
      </w:r>
      <w:r w:rsidRPr="003A4656">
        <w:rPr>
          <w:rFonts w:ascii="Times New Roman" w:hAnsi="Times New Roman"/>
          <w:lang w:val="en-GB"/>
        </w:rPr>
        <w:t xml:space="preserve"> The pET11a-NfrGFP-Z and pET11a-NfrGFP-BARD1 vectors also encode a hexahistidine (H</w:t>
      </w:r>
      <w:r w:rsidRPr="003A4656">
        <w:rPr>
          <w:rFonts w:ascii="Times New Roman" w:hAnsi="Times New Roman"/>
          <w:vertAlign w:val="subscript"/>
          <w:lang w:val="en-GB"/>
        </w:rPr>
        <w:t>6</w:t>
      </w:r>
      <w:r w:rsidRPr="003A4656">
        <w:rPr>
          <w:rFonts w:ascii="Times New Roman" w:hAnsi="Times New Roman"/>
          <w:lang w:val="en-GB"/>
        </w:rPr>
        <w:t>)-tag at the N-terminus of the NfrGFP useful for rapid purification of the H</w:t>
      </w:r>
      <w:r w:rsidRPr="003A4656">
        <w:rPr>
          <w:rFonts w:ascii="Times New Roman" w:hAnsi="Times New Roman"/>
          <w:vertAlign w:val="subscript"/>
          <w:lang w:val="en-GB"/>
        </w:rPr>
        <w:t>6</w:t>
      </w:r>
      <w:r w:rsidRPr="003A4656">
        <w:rPr>
          <w:rFonts w:ascii="Times New Roman" w:hAnsi="Times New Roman"/>
          <w:lang w:val="en-GB"/>
        </w:rPr>
        <w:t>-tagged protein. The pMRBAD-Z-CfrGFP and pMRBAD-BRCA1-CfrGFP (both as wild-type and mutant forms) bear an HA epitope at the C-terminus of the CfrGFP as a detection tag</w:t>
      </w:r>
      <w:bookmarkStart w:id="6" w:name="illus1"/>
      <w:bookmarkEnd w:id="6"/>
      <w:r w:rsidRPr="003A4656">
        <w:rPr>
          <w:rFonts w:ascii="Times New Roman" w:hAnsi="Times New Roman"/>
          <w:lang w:val="en-GB"/>
        </w:rPr>
        <w:t xml:space="preserve">. </w:t>
      </w:r>
    </w:p>
    <w:p w:rsidR="00AD5CA2" w:rsidRPr="003A4656" w:rsidRDefault="00AD5CA2" w:rsidP="00101298">
      <w:pPr>
        <w:pStyle w:val="ListParagraph"/>
        <w:ind w:left="0"/>
        <w:jc w:val="both"/>
        <w:rPr>
          <w:rFonts w:ascii="Times New Roman" w:hAnsi="Times New Roman"/>
          <w:lang w:val="en-GB"/>
        </w:rPr>
      </w:pPr>
    </w:p>
    <w:p w:rsidR="00AD5CA2" w:rsidRPr="003A4656" w:rsidRDefault="00AD5CA2" w:rsidP="00101298">
      <w:pPr>
        <w:pStyle w:val="ListParagraph"/>
        <w:ind w:left="0"/>
        <w:jc w:val="both"/>
        <w:rPr>
          <w:rFonts w:ascii="Times New Roman" w:hAnsi="Times New Roman"/>
          <w:lang w:val="en-GB"/>
        </w:rPr>
      </w:pPr>
    </w:p>
    <w:p w:rsidR="00101298" w:rsidRPr="003A4656" w:rsidRDefault="00101298" w:rsidP="00101298">
      <w:pPr>
        <w:pStyle w:val="ListParagraph"/>
        <w:ind w:left="0"/>
        <w:jc w:val="both"/>
        <w:rPr>
          <w:rFonts w:ascii="Times New Roman" w:hAnsi="Times New Roman"/>
          <w:lang w:val="en-GB"/>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lang w:val="en-GB"/>
        </w:rPr>
        <w:t>Site-directed mutagenesis</w:t>
      </w:r>
    </w:p>
    <w:p w:rsidR="00BC1BF5" w:rsidRPr="003A4656" w:rsidRDefault="00BC1BF5" w:rsidP="00AD5CA2">
      <w:pPr>
        <w:pStyle w:val="CommentText"/>
        <w:ind w:left="0" w:right="0"/>
        <w:rPr>
          <w:sz w:val="22"/>
          <w:szCs w:val="22"/>
        </w:rPr>
      </w:pPr>
      <w:r w:rsidRPr="003A4656">
        <w:rPr>
          <w:sz w:val="22"/>
          <w:szCs w:val="22"/>
        </w:rPr>
        <w:t xml:space="preserve">Selected variants were introduced into pMRBAD-BRCA1-CfrGFP expression vector by direct mutagenesis using the QuikChange XL Site-directed Mutagenesis Kit (Stratagene) according to the manufacturer’s instruction. </w:t>
      </w:r>
    </w:p>
    <w:p w:rsidR="00BC1BF5" w:rsidRPr="003A4656" w:rsidRDefault="00BC1BF5" w:rsidP="00AD5CA2">
      <w:pPr>
        <w:pStyle w:val="CommentText"/>
        <w:ind w:left="0" w:right="0"/>
        <w:rPr>
          <w:sz w:val="22"/>
          <w:szCs w:val="22"/>
        </w:rPr>
      </w:pPr>
      <w:r w:rsidRPr="003A4656">
        <w:rPr>
          <w:sz w:val="22"/>
          <w:szCs w:val="22"/>
        </w:rPr>
        <w:t xml:space="preserve">To construct each desired mutation, two complementary oligonucleotide primers were synthesized, containing the required base pair changes in the center. </w:t>
      </w:r>
      <w:r w:rsidRPr="003A4656">
        <w:rPr>
          <w:i/>
          <w:sz w:val="22"/>
          <w:szCs w:val="22"/>
        </w:rPr>
        <w:t>Pfu-Turbo</w:t>
      </w:r>
      <w:r w:rsidRPr="003A4656">
        <w:rPr>
          <w:sz w:val="22"/>
          <w:szCs w:val="22"/>
        </w:rPr>
        <w:t xml:space="preserve"> proof-reading polymerase (Stratagene) was used to generate product from 18 cycles of 98°C for 30 sec, X°C for 1 min (this temperature of annealing varies depending on the primers used in the reaction) and 72°C for 4 min. This polymerase replicates both plasmid strands with high fidelity and without displacing the mutant oligonucleotides primers. Incorporation of the oligonucleotide primers generates a mutated plasmid containing staggered nicks. Following amplification cycling, the product is treated with </w:t>
      </w:r>
      <w:r w:rsidRPr="003A4656">
        <w:rPr>
          <w:i/>
          <w:sz w:val="22"/>
          <w:szCs w:val="22"/>
        </w:rPr>
        <w:t>DpnI</w:t>
      </w:r>
      <w:r w:rsidRPr="003A4656">
        <w:rPr>
          <w:sz w:val="22"/>
          <w:szCs w:val="22"/>
        </w:rPr>
        <w:t xml:space="preserve">; this endonuclease is used to digest the parental DNA template and to select for mutation-containing synthesized DNA. </w:t>
      </w: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The nicked vector, containing the desired mutation, is then trasformated into XL-10 Ultracompetent Cells which they possess the Hte phenotype that increases transformation efficiency of ligated DNA. Then the entire BRCA1 insert was sequenced on both strands to confirm the presence of substitution and the absence of any mutations, using direct sequencing.</w:t>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101298">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i/>
          <w:lang w:val="en-GB"/>
        </w:rPr>
        <w:t>In vitro</w:t>
      </w:r>
      <w:r w:rsidRPr="003A4656">
        <w:rPr>
          <w:rFonts w:ascii="Times New Roman" w:hAnsi="Times New Roman"/>
          <w:b/>
          <w:lang w:val="en-GB"/>
        </w:rPr>
        <w:t xml:space="preserve"> Green Fluorescent Protein (GFP)-reassembly fragment</w:t>
      </w:r>
    </w:p>
    <w:p w:rsidR="00BC1BF5" w:rsidRPr="003A4656" w:rsidRDefault="00BC1BF5" w:rsidP="00101298">
      <w:pPr>
        <w:pStyle w:val="ListParagraph"/>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 xml:space="preserve">Compatible pairs of plasmids [pET11a-NfrGFP-Z and pMRBAD-Z-CfrGFP; pET11a-NfrGFP-BARD1 and pMRBAD-BRCA1-CfrGFP (both as wild-type or mutant forms)] were co-transformed by electroporation into BL-21 </w:t>
      </w:r>
      <w:r w:rsidRPr="003A4656">
        <w:rPr>
          <w:rFonts w:ascii="Times New Roman" w:hAnsi="Times New Roman"/>
          <w:i/>
          <w:lang w:val="en-GB"/>
        </w:rPr>
        <w:t>Escherichia Coli</w:t>
      </w:r>
      <w:r w:rsidRPr="003A4656">
        <w:rPr>
          <w:rFonts w:ascii="Times New Roman" w:hAnsi="Times New Roman"/>
          <w:lang w:val="en-GB"/>
        </w:rPr>
        <w:t xml:space="preserve"> (E.coli) BL21 (DE3) competent cells. Both plasmids have mild induction of the Lac-controlled T7 polymerase (IPTG) and strong induction of the arabinose promoter (arabinose) on LB agar. </w:t>
      </w:r>
    </w:p>
    <w:p w:rsidR="00BC1BF5" w:rsidRPr="003A4656" w:rsidRDefault="00BC1BF5" w:rsidP="00AD5CA2">
      <w:pPr>
        <w:pStyle w:val="ListParagraph"/>
        <w:ind w:left="0" w:right="0"/>
        <w:jc w:val="both"/>
        <w:rPr>
          <w:rFonts w:ascii="Times New Roman" w:hAnsi="Times New Roman"/>
          <w:lang w:val="en-GB"/>
        </w:rPr>
      </w:pPr>
      <w:r w:rsidRPr="003A4656">
        <w:rPr>
          <w:rFonts w:ascii="Times New Roman" w:hAnsi="Times New Roman"/>
          <w:lang w:val="en-GB"/>
        </w:rPr>
        <w:t>Single colonies were grown overnight at 37°C in LB supplemented with 35 μg mL</w:t>
      </w:r>
      <w:r w:rsidRPr="003A4656">
        <w:rPr>
          <w:rFonts w:ascii="Times New Roman" w:hAnsi="Times New Roman"/>
          <w:vertAlign w:val="superscript"/>
          <w:lang w:val="en-GB"/>
        </w:rPr>
        <w:t>-1</w:t>
      </w:r>
      <w:r w:rsidRPr="003A4656">
        <w:rPr>
          <w:rFonts w:ascii="Times New Roman" w:hAnsi="Times New Roman"/>
          <w:lang w:val="en-GB"/>
        </w:rPr>
        <w:t xml:space="preserve"> kanamycin and 100 μg mL</w:t>
      </w:r>
      <w:r w:rsidRPr="003A4656">
        <w:rPr>
          <w:rFonts w:ascii="Times New Roman" w:hAnsi="Times New Roman"/>
          <w:vertAlign w:val="superscript"/>
          <w:lang w:val="en-GB"/>
        </w:rPr>
        <w:t>-1</w:t>
      </w:r>
      <w:r w:rsidRPr="003A4656">
        <w:rPr>
          <w:rFonts w:ascii="Times New Roman" w:hAnsi="Times New Roman"/>
          <w:lang w:val="en-GB"/>
        </w:rPr>
        <w:t xml:space="preserve"> ampicillin.</w:t>
      </w:r>
      <w:r w:rsidRPr="003A4656">
        <w:rPr>
          <w:rFonts w:ascii="Times New Roman" w:hAnsi="Times New Roman"/>
          <w:vertAlign w:val="superscript"/>
          <w:lang w:val="en-GB"/>
        </w:rPr>
        <w:t xml:space="preserve"> </w:t>
      </w:r>
      <w:r w:rsidRPr="003A4656">
        <w:rPr>
          <w:rFonts w:ascii="Times New Roman" w:hAnsi="Times New Roman"/>
          <w:lang w:val="en-GB"/>
        </w:rPr>
        <w:t>Overnight cultures were diluted 1:10</w:t>
      </w:r>
      <w:r w:rsidRPr="003A4656">
        <w:rPr>
          <w:rFonts w:ascii="Times New Roman" w:hAnsi="Times New Roman"/>
          <w:vertAlign w:val="superscript"/>
          <w:lang w:val="en-GB"/>
        </w:rPr>
        <w:t>3</w:t>
      </w:r>
      <w:r w:rsidRPr="003A4656">
        <w:rPr>
          <w:rFonts w:ascii="Times New Roman" w:hAnsi="Times New Roman"/>
          <w:lang w:val="en-GB"/>
        </w:rPr>
        <w:t xml:space="preserve"> and 10 μL were plated on LB agar media supplemented with 20 μM IPTG, 0.2% L-arabinose and antibiotics. Plates were grown at 30°Cfor 24 hours followed by 1-2 days of incubation at room temperature. Fluorescence, generated by GFP reconstruction as a result of protein/protein interaction, was detected by exposure to long wavelength UV irradiation (365nm) as previously described (</w:t>
      </w:r>
      <w:hyperlink r:id="rId45" w:history="1">
        <w:r w:rsidRPr="003A4656">
          <w:rPr>
            <w:rFonts w:ascii="Times New Roman" w:hAnsi="Times New Roman"/>
            <w:lang w:val="en-GB"/>
          </w:rPr>
          <w:t>Sarkar M</w:t>
        </w:r>
      </w:hyperlink>
      <w:r w:rsidRPr="003A4656">
        <w:rPr>
          <w:rFonts w:ascii="Times New Roman" w:hAnsi="Times New Roman"/>
          <w:lang w:val="en-GB"/>
        </w:rPr>
        <w:t xml:space="preserve">. and </w:t>
      </w:r>
      <w:hyperlink r:id="rId46" w:history="1">
        <w:r w:rsidRPr="003A4656">
          <w:rPr>
            <w:rFonts w:ascii="Times New Roman" w:hAnsi="Times New Roman"/>
            <w:lang w:val="en-GB"/>
          </w:rPr>
          <w:t>Magliery T.J</w:t>
        </w:r>
      </w:hyperlink>
      <w:r w:rsidRPr="003A4656">
        <w:rPr>
          <w:rFonts w:ascii="Times New Roman" w:hAnsi="Times New Roman"/>
          <w:lang w:val="en-GB"/>
        </w:rPr>
        <w:t>., 2008). Images data were elaborated using the Gene Tools analysis software (Syngene). In the case of variants abolishing protein-protein interaction, no fluorescent signal is expected.</w:t>
      </w:r>
    </w:p>
    <w:p w:rsidR="00BC1BF5" w:rsidRPr="003A4656" w:rsidRDefault="00BC1BF5" w:rsidP="00BC1BF5">
      <w:pPr>
        <w:pStyle w:val="ListParagraph"/>
        <w:ind w:left="0"/>
        <w:jc w:val="both"/>
        <w:rPr>
          <w:rFonts w:ascii="Times New Roman" w:hAnsi="Times New Roman"/>
          <w:lang w:val="en-GB"/>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i/>
          <w:lang w:val="en-GB"/>
        </w:rPr>
        <w:t>Immobilized Metal Affinity Chromatography</w:t>
      </w:r>
      <w:r w:rsidRPr="003A4656">
        <w:rPr>
          <w:rFonts w:ascii="Times New Roman" w:hAnsi="Times New Roman"/>
          <w:b/>
          <w:lang w:val="en-GB"/>
        </w:rPr>
        <w:t xml:space="preserve"> (IMAC)</w:t>
      </w:r>
    </w:p>
    <w:p w:rsidR="00BC1BF5" w:rsidRPr="003A4656" w:rsidRDefault="00BC1BF5" w:rsidP="00AD5CA2">
      <w:pPr>
        <w:ind w:left="0" w:right="0"/>
        <w:rPr>
          <w:sz w:val="22"/>
          <w:szCs w:val="22"/>
        </w:rPr>
      </w:pPr>
      <w:r w:rsidRPr="003A4656">
        <w:rPr>
          <w:sz w:val="22"/>
          <w:szCs w:val="22"/>
        </w:rPr>
        <w:t xml:space="preserve">To confirm the results of fluorescence assays, the re-assembled protein complexes will be purified by immobilized metal affinity chromatography (IMAC) on NTA agarose gels (Qiagen), according to the manufacturer’s instructions. </w:t>
      </w:r>
    </w:p>
    <w:p w:rsidR="00BC1BF5" w:rsidRPr="003A4656" w:rsidRDefault="00BC1BF5" w:rsidP="00AD5CA2">
      <w:pPr>
        <w:ind w:left="0" w:right="0"/>
        <w:rPr>
          <w:sz w:val="22"/>
          <w:szCs w:val="22"/>
        </w:rPr>
      </w:pPr>
      <w:r w:rsidRPr="003A4656">
        <w:rPr>
          <w:sz w:val="22"/>
          <w:szCs w:val="22"/>
        </w:rPr>
        <w:t xml:space="preserve">The idea of the IMAC, initially proposed by Porath et al. (1975), is based on the affinity of transition metal ions like </w:t>
      </w:r>
      <w:proofErr w:type="gramStart"/>
      <w:r w:rsidRPr="003A4656">
        <w:rPr>
          <w:sz w:val="22"/>
          <w:szCs w:val="22"/>
        </w:rPr>
        <w:t>Zn(</w:t>
      </w:r>
      <w:proofErr w:type="gramEnd"/>
      <w:r w:rsidRPr="003A4656">
        <w:rPr>
          <w:sz w:val="22"/>
          <w:szCs w:val="22"/>
        </w:rPr>
        <w:t>II), Cu(II), Ni (II), and Co(II) ions toward cysteine, histidine, and tryptophan in aqueous solutions. Proteins can bind specifically to the metal ion coordination sites through certain amino acid residues like cysteine, histidine, and tryptophan exposed on the protein surface. The best known application is purification of histidine-tagged fusion proteins.</w:t>
      </w:r>
    </w:p>
    <w:p w:rsidR="00BC1BF5" w:rsidRPr="003A4656" w:rsidRDefault="00BC1BF5" w:rsidP="00AD5CA2">
      <w:pPr>
        <w:ind w:left="0" w:right="0"/>
        <w:rPr>
          <w:color w:val="131413"/>
          <w:sz w:val="22"/>
          <w:szCs w:val="22"/>
        </w:rPr>
      </w:pPr>
      <w:r w:rsidRPr="003A4656">
        <w:rPr>
          <w:sz w:val="22"/>
          <w:szCs w:val="22"/>
        </w:rPr>
        <w:t xml:space="preserve">In IMAC, adsorption of proteins is based on the interaction between an immobilized </w:t>
      </w:r>
      <w:proofErr w:type="gramStart"/>
      <w:r w:rsidRPr="003A4656">
        <w:rPr>
          <w:sz w:val="22"/>
          <w:szCs w:val="22"/>
        </w:rPr>
        <w:t>metal  ion</w:t>
      </w:r>
      <w:proofErr w:type="gramEnd"/>
      <w:r w:rsidRPr="003A4656">
        <w:rPr>
          <w:sz w:val="22"/>
          <w:szCs w:val="22"/>
        </w:rPr>
        <w:t xml:space="preserve"> and electron donor groups located on the surface of proteins (Porath J. et al., 1975). </w:t>
      </w:r>
      <w:r w:rsidRPr="003A4656">
        <w:rPr>
          <w:color w:val="131413"/>
          <w:sz w:val="22"/>
          <w:szCs w:val="22"/>
        </w:rPr>
        <w:t xml:space="preserve">Electron-donor atoms (N, S, and O) in the chelating compounds that are attached to the chromatographic support can coordinate the metal ions and produce metal chelates. </w:t>
      </w:r>
    </w:p>
    <w:p w:rsidR="00BC1BF5" w:rsidRPr="003A4656" w:rsidRDefault="00BC1BF5" w:rsidP="00AD5CA2">
      <w:pPr>
        <w:ind w:left="0" w:right="0"/>
        <w:rPr>
          <w:sz w:val="22"/>
          <w:szCs w:val="22"/>
        </w:rPr>
      </w:pPr>
      <w:r w:rsidRPr="003A4656">
        <w:rPr>
          <w:sz w:val="22"/>
          <w:szCs w:val="22"/>
        </w:rPr>
        <w:t xml:space="preserve">Many proteins can form complexes with metal ions. IMAC can be deployed for the purification of many of these chelated complexes. The strength of the complexes formed differs from one to another, bringing about the high specificity of IMAC. The chromatographic sorbent utilized in IMAC comprises a support to which a chelating ligand is connected by a linker. Upon addition of metal ions, they will form complexes with the chelating ligands. Some coordinate sites of the metal ions remain free for the binding to solvent or protein (Kagedal L, 2011). Elution of the target protein can be effected by using a low-pH buffer, a competitive displacement agent, or chelating agents. Elution buffers with a low pH value are often employed. </w:t>
      </w:r>
    </w:p>
    <w:p w:rsidR="00BC1BF5" w:rsidRPr="003A4656" w:rsidRDefault="00BC1BF5" w:rsidP="00AD5CA2">
      <w:pPr>
        <w:ind w:left="0" w:right="0"/>
        <w:rPr>
          <w:color w:val="131413"/>
          <w:sz w:val="22"/>
          <w:szCs w:val="22"/>
        </w:rPr>
      </w:pPr>
      <w:r w:rsidRPr="003A4656">
        <w:rPr>
          <w:color w:val="131413"/>
          <w:sz w:val="22"/>
          <w:szCs w:val="22"/>
        </w:rPr>
        <w:t xml:space="preserve">A simple and reliable way to acquire a recombinant protein of high purity is protein synthesis and fusion of the protein with a histidine tag. After one chromatographic step, a highly purified protein is obtained and the fusion tag can be efficiently cleaved and eliminated by protease action (Walker P.A. et al., </w:t>
      </w:r>
      <w:r w:rsidRPr="003A4656">
        <w:rPr>
          <w:sz w:val="22"/>
          <w:szCs w:val="22"/>
        </w:rPr>
        <w:t>1994)</w:t>
      </w:r>
      <w:r w:rsidRPr="003A4656">
        <w:rPr>
          <w:color w:val="131413"/>
          <w:sz w:val="22"/>
          <w:szCs w:val="22"/>
        </w:rPr>
        <w:t>.</w:t>
      </w:r>
    </w:p>
    <w:p w:rsidR="00BC1BF5" w:rsidRPr="003A4656" w:rsidRDefault="00BC1BF5" w:rsidP="00AD5CA2">
      <w:pPr>
        <w:ind w:left="0" w:right="0"/>
        <w:rPr>
          <w:sz w:val="22"/>
          <w:szCs w:val="22"/>
        </w:rPr>
      </w:pPr>
      <w:r w:rsidRPr="003A4656">
        <w:rPr>
          <w:sz w:val="22"/>
          <w:szCs w:val="22"/>
        </w:rPr>
        <w:t>Briefly, 20ml of LB broth medium containing ampicillin (100µg/ml) and kanamycin (35µg/ml) were inoculated with the co-transformed cells and incubated at 37°C until the Optical Density measured at a wavelength of 600nm (OD</w:t>
      </w:r>
      <w:r w:rsidRPr="003A4656">
        <w:rPr>
          <w:sz w:val="22"/>
          <w:szCs w:val="22"/>
          <w:vertAlign w:val="subscript"/>
        </w:rPr>
        <w:t>600</w:t>
      </w:r>
      <w:r w:rsidRPr="003A4656">
        <w:rPr>
          <w:sz w:val="22"/>
          <w:szCs w:val="22"/>
        </w:rPr>
        <w:t xml:space="preserve">) reached 0.6. Then, induction of recombinant peptides was carried out with addition of IPTG to a final concentration of 20µM and 0.2% of L-arabinose. After growing for 24 hours at 30°C followed by two days at RT, the cells were harvested by centrifugation and each pellet was resuspended in 1 ml of lysis buffer [50mM Tris-HCl; 300mM NaCl; 0.1% v/v Triton X-100; 100µM EDTA pH8.0; 0.5mg/ml lysozime; 20mM Imidazole; protease inhibitors (0.5mM PMSF, 0.4µg/ml leupeptin, 0.5µg/ml aprotinin); 5µg/ml DNase and RNase]. For purification, the resuspended cells were lysed by sonication, the cell debris was removed by centrifugation at 4°C for 20 minutes at 13000 rpm, and the clear supernatant incubated with 100µl of Ni-NTA agarose resin, equilibrated in lysis buffer, for 3 hours at 4°C on a rocker with gentle shaking. The protein complexes were eluted with 100µl of elution buffer (lysis buffer containing 250mM Imidazole), subjected to 13% SDS-PAGE and visualized by Western blotting using an anti-GFP antibody. Unpurified cell lysates as input control from induced </w:t>
      </w:r>
      <w:r w:rsidRPr="003A4656">
        <w:rPr>
          <w:i/>
          <w:iCs/>
          <w:sz w:val="22"/>
          <w:szCs w:val="22"/>
        </w:rPr>
        <w:t xml:space="preserve">E. coli </w:t>
      </w:r>
      <w:r w:rsidRPr="003A4656">
        <w:rPr>
          <w:sz w:val="22"/>
          <w:szCs w:val="22"/>
        </w:rPr>
        <w:t>BL21 (DE3) bacteria were similarly resolved and visualized.</w:t>
      </w:r>
    </w:p>
    <w:p w:rsidR="00AD5CA2" w:rsidRPr="003A4656" w:rsidRDefault="00AD5CA2" w:rsidP="00AD5CA2">
      <w:pPr>
        <w:ind w:left="0" w:right="0"/>
        <w:rPr>
          <w:sz w:val="22"/>
          <w:szCs w:val="22"/>
        </w:rPr>
      </w:pPr>
    </w:p>
    <w:p w:rsidR="00AD5CA2" w:rsidRPr="003A4656" w:rsidRDefault="00AD5CA2" w:rsidP="00AD5CA2">
      <w:pPr>
        <w:ind w:left="0" w:right="0"/>
        <w:rPr>
          <w:sz w:val="22"/>
          <w:szCs w:val="22"/>
        </w:rPr>
      </w:pPr>
    </w:p>
    <w:p w:rsidR="00AD5CA2" w:rsidRPr="003A4656" w:rsidRDefault="00AD5CA2" w:rsidP="00AD5CA2">
      <w:pPr>
        <w:ind w:left="0" w:right="0"/>
        <w:rPr>
          <w:sz w:val="22"/>
          <w:szCs w:val="22"/>
        </w:rPr>
      </w:pPr>
    </w:p>
    <w:p w:rsidR="00AD5CA2" w:rsidRPr="003A4656" w:rsidRDefault="00AD5CA2" w:rsidP="00AD5CA2">
      <w:pPr>
        <w:ind w:left="0"/>
        <w:rPr>
          <w:color w:val="131413"/>
          <w:sz w:val="22"/>
          <w:szCs w:val="22"/>
        </w:rPr>
      </w:pPr>
    </w:p>
    <w:p w:rsidR="00BC1BF5" w:rsidRPr="003A4656" w:rsidRDefault="00BC1BF5" w:rsidP="00BC1BF5">
      <w:pPr>
        <w:pStyle w:val="ListParagraph"/>
        <w:numPr>
          <w:ilvl w:val="0"/>
          <w:numId w:val="8"/>
        </w:numPr>
        <w:autoSpaceDE/>
        <w:autoSpaceDN/>
        <w:ind w:right="0"/>
        <w:jc w:val="both"/>
        <w:rPr>
          <w:rFonts w:ascii="Times New Roman" w:hAnsi="Times New Roman"/>
          <w:b/>
          <w:lang w:val="en-GB"/>
        </w:rPr>
      </w:pPr>
      <w:r w:rsidRPr="003A4656">
        <w:rPr>
          <w:rFonts w:ascii="Times New Roman" w:hAnsi="Times New Roman"/>
          <w:b/>
          <w:i/>
          <w:lang w:val="en-GB"/>
        </w:rPr>
        <w:t>In Silico</w:t>
      </w:r>
      <w:r w:rsidRPr="003A4656">
        <w:rPr>
          <w:rFonts w:ascii="Times New Roman" w:hAnsi="Times New Roman"/>
          <w:b/>
          <w:lang w:val="en-GB"/>
        </w:rPr>
        <w:t xml:space="preserve"> prediction</w:t>
      </w:r>
    </w:p>
    <w:p w:rsidR="00BC1BF5" w:rsidRPr="003A4656" w:rsidRDefault="00BC1BF5" w:rsidP="00BC1BF5">
      <w:pPr>
        <w:pStyle w:val="ListParagraph"/>
        <w:jc w:val="both"/>
        <w:rPr>
          <w:rFonts w:ascii="Times New Roman" w:hAnsi="Times New Roman"/>
          <w:lang w:val="en-GB"/>
        </w:rPr>
      </w:pP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lang w:val="en-GB"/>
        </w:rPr>
        <w:t xml:space="preserve">The </w:t>
      </w:r>
      <w:r w:rsidRPr="003A4656">
        <w:rPr>
          <w:rFonts w:ascii="Times New Roman" w:hAnsi="Times New Roman"/>
          <w:i/>
          <w:lang w:val="en-GB"/>
        </w:rPr>
        <w:t xml:space="preserve">BRCA </w:t>
      </w:r>
      <w:r w:rsidRPr="003A4656">
        <w:rPr>
          <w:rFonts w:ascii="Times New Roman" w:hAnsi="Times New Roman"/>
          <w:lang w:val="en-GB"/>
        </w:rPr>
        <w:t xml:space="preserve">sequences containing the UVs were evaluated for their potential pathogenicity using the follow algorithms: Align-GVGD, PolyPhen2, SIFT, pMUT, Panther and </w:t>
      </w:r>
      <w:r w:rsidRPr="003A4656">
        <w:rPr>
          <w:rFonts w:ascii="Times New Roman" w:hAnsi="Times New Roman"/>
          <w:bCs/>
          <w:lang w:val="en-GB"/>
        </w:rPr>
        <w:t>snSNPAnalyzer.</w:t>
      </w: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bCs/>
          <w:lang w:val="en-GB"/>
        </w:rPr>
        <w:t xml:space="preserve">The Align-GVGD algorithm was used at two depths of alignment (human to frog and human to sea urchin) and Align-GVGD scores amino acid substitutions on a 7-scale scoring system, from C0 to C65 (C0 is considered neutral; C15 and C25 are considered intermediate; C35, C46, C55 and C65 are considered deleterious). </w:t>
      </w: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bCs/>
          <w:lang w:val="en-GB"/>
        </w:rPr>
        <w:t xml:space="preserve">PolyPhen-2 performs functional annotation of single-nucleotide polymorphisms (SNPs), maps coding SNPs to gene transcripts, extracts protein sequence annotations and structural attributes, and builds conservation profiles. It then estimates the probability of the missense mutation being damaging based on a combination of all these properties. </w:t>
      </w:r>
      <w:r w:rsidRPr="003A4656">
        <w:rPr>
          <w:rFonts w:ascii="Times New Roman" w:hAnsi="Times New Roman"/>
          <w:bCs/>
          <w:i/>
          <w:lang w:val="en-GB"/>
        </w:rPr>
        <w:t>BRCA</w:t>
      </w:r>
      <w:r w:rsidRPr="003A4656">
        <w:rPr>
          <w:rFonts w:ascii="Times New Roman" w:hAnsi="Times New Roman"/>
          <w:bCs/>
          <w:lang w:val="en-GB"/>
        </w:rPr>
        <w:t xml:space="preserve"> sequence alterations were classified in four different classes: benign, possibly damaging, probably damaging and damaging.</w:t>
      </w: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bCs/>
          <w:lang w:val="en-GB"/>
        </w:rPr>
        <w:t>SIFT prediction can be either “damaging” (the substitution is predicted to affect protein function) or “tolerated” (the substitution is predicted to be functionally neutral).</w:t>
      </w: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bCs/>
          <w:lang w:val="en-GB"/>
        </w:rPr>
        <w:t>The PANTHER (</w:t>
      </w:r>
      <w:r w:rsidRPr="003A4656">
        <w:rPr>
          <w:rFonts w:ascii="Times New Roman" w:hAnsi="Times New Roman"/>
          <w:b/>
          <w:bCs/>
          <w:lang w:val="en-GB"/>
        </w:rPr>
        <w:t>P</w:t>
      </w:r>
      <w:r w:rsidRPr="003A4656">
        <w:rPr>
          <w:rFonts w:ascii="Times New Roman" w:hAnsi="Times New Roman"/>
          <w:bCs/>
          <w:lang w:val="en-GB"/>
        </w:rPr>
        <w:t xml:space="preserve">rotein </w:t>
      </w:r>
      <w:r w:rsidRPr="003A4656">
        <w:rPr>
          <w:rFonts w:ascii="Times New Roman" w:hAnsi="Times New Roman"/>
          <w:b/>
          <w:bCs/>
          <w:lang w:val="en-GB"/>
        </w:rPr>
        <w:t>AN</w:t>
      </w:r>
      <w:r w:rsidRPr="003A4656">
        <w:rPr>
          <w:rFonts w:ascii="Times New Roman" w:hAnsi="Times New Roman"/>
          <w:bCs/>
          <w:lang w:val="en-GB"/>
        </w:rPr>
        <w:t xml:space="preserve">alysis </w:t>
      </w:r>
      <w:proofErr w:type="gramStart"/>
      <w:r w:rsidRPr="003A4656">
        <w:rPr>
          <w:rFonts w:ascii="Times New Roman" w:hAnsi="Times New Roman"/>
          <w:b/>
          <w:bCs/>
          <w:lang w:val="en-GB"/>
        </w:rPr>
        <w:t>TH</w:t>
      </w:r>
      <w:r w:rsidRPr="003A4656">
        <w:rPr>
          <w:rFonts w:ascii="Times New Roman" w:hAnsi="Times New Roman"/>
          <w:bCs/>
          <w:lang w:val="en-GB"/>
        </w:rPr>
        <w:t>rough</w:t>
      </w:r>
      <w:proofErr w:type="gramEnd"/>
      <w:r w:rsidRPr="003A4656">
        <w:rPr>
          <w:rFonts w:ascii="Times New Roman" w:hAnsi="Times New Roman"/>
          <w:bCs/>
          <w:lang w:val="en-GB"/>
        </w:rPr>
        <w:t xml:space="preserve"> </w:t>
      </w:r>
      <w:r w:rsidRPr="003A4656">
        <w:rPr>
          <w:rFonts w:ascii="Times New Roman" w:hAnsi="Times New Roman"/>
          <w:b/>
          <w:bCs/>
          <w:lang w:val="en-GB"/>
        </w:rPr>
        <w:t>E</w:t>
      </w:r>
      <w:r w:rsidRPr="003A4656">
        <w:rPr>
          <w:rFonts w:ascii="Times New Roman" w:hAnsi="Times New Roman"/>
          <w:bCs/>
          <w:lang w:val="en-GB"/>
        </w:rPr>
        <w:t xml:space="preserve">volutionary </w:t>
      </w:r>
      <w:r w:rsidRPr="003A4656">
        <w:rPr>
          <w:rFonts w:ascii="Times New Roman" w:hAnsi="Times New Roman"/>
          <w:b/>
          <w:bCs/>
          <w:lang w:val="en-GB"/>
        </w:rPr>
        <w:t>R</w:t>
      </w:r>
      <w:r w:rsidRPr="003A4656">
        <w:rPr>
          <w:rFonts w:ascii="Times New Roman" w:hAnsi="Times New Roman"/>
          <w:bCs/>
          <w:lang w:val="en-GB"/>
        </w:rPr>
        <w:t xml:space="preserve">elationships, </w:t>
      </w:r>
      <w:hyperlink r:id="rId47" w:history="1">
        <w:r w:rsidRPr="003A4656">
          <w:rPr>
            <w:rStyle w:val="Hyperlink"/>
            <w:rFonts w:ascii="Times New Roman" w:hAnsi="Times New Roman"/>
            <w:bCs/>
            <w:lang w:val="en-GB"/>
          </w:rPr>
          <w:t>http://www.pantherdb.org/</w:t>
        </w:r>
      </w:hyperlink>
      <w:r w:rsidRPr="003A4656">
        <w:rPr>
          <w:rFonts w:ascii="Times New Roman" w:hAnsi="Times New Roman"/>
          <w:bCs/>
          <w:lang w:val="en-GB"/>
        </w:rPr>
        <w:t>) Classification System was designed to classify proteins (and their genes) in order to facilitate high-throughput analysis. Proteins have been classified according to: family and subfamily (subfamilies are related proteins that have the same function), molecular function, biological process and pathway. The PANTHER classifications are the result of sophisticated bioinformatics algorithms (Thomas P.D. et al., 2003; Mi H. et al., 2005).</w:t>
      </w:r>
    </w:p>
    <w:p w:rsidR="00BC1BF5" w:rsidRPr="003A4656" w:rsidRDefault="00BC1BF5" w:rsidP="00AD5CA2">
      <w:pPr>
        <w:pStyle w:val="ListParagraph"/>
        <w:ind w:left="0" w:right="0"/>
        <w:jc w:val="both"/>
        <w:rPr>
          <w:rFonts w:ascii="Times New Roman" w:hAnsi="Times New Roman"/>
          <w:bCs/>
          <w:lang w:val="en-GB"/>
        </w:rPr>
      </w:pPr>
      <w:proofErr w:type="gramStart"/>
      <w:r w:rsidRPr="003A4656">
        <w:rPr>
          <w:rFonts w:ascii="Times New Roman" w:hAnsi="Times New Roman"/>
          <w:bCs/>
          <w:lang w:val="en-GB"/>
        </w:rPr>
        <w:t>nsSNPAnalyzer</w:t>
      </w:r>
      <w:proofErr w:type="gramEnd"/>
      <w:r w:rsidRPr="003A4656">
        <w:rPr>
          <w:rFonts w:ascii="Times New Roman" w:hAnsi="Times New Roman"/>
          <w:bCs/>
          <w:lang w:val="en-GB"/>
        </w:rPr>
        <w:t xml:space="preserve"> </w:t>
      </w:r>
      <w:hyperlink r:id="rId48" w:history="1"/>
      <w:r w:rsidRPr="003A4656">
        <w:rPr>
          <w:rFonts w:ascii="Times New Roman" w:hAnsi="Times New Roman"/>
          <w:bCs/>
          <w:lang w:val="en-GB"/>
        </w:rPr>
        <w:t>(</w:t>
      </w:r>
      <w:hyperlink r:id="rId49" w:history="1">
        <w:r w:rsidRPr="003A4656">
          <w:rPr>
            <w:rStyle w:val="Hyperlink"/>
            <w:rFonts w:ascii="Times New Roman" w:hAnsi="Times New Roman"/>
            <w:sz w:val="20"/>
            <w:szCs w:val="20"/>
            <w:lang w:val="en-GB"/>
          </w:rPr>
          <w:t>http://snpanalyzer.uthsc.edu/</w:t>
        </w:r>
      </w:hyperlink>
      <w:r w:rsidRPr="003A4656">
        <w:rPr>
          <w:rFonts w:ascii="Times New Roman" w:hAnsi="Times New Roman"/>
          <w:sz w:val="20"/>
          <w:szCs w:val="20"/>
          <w:lang w:val="en-GB"/>
        </w:rPr>
        <w:t>)</w:t>
      </w:r>
      <w:r w:rsidRPr="003A4656">
        <w:rPr>
          <w:rFonts w:ascii="Times New Roman" w:hAnsi="Times New Roman"/>
          <w:bCs/>
          <w:lang w:val="en-GB"/>
        </w:rPr>
        <w:t xml:space="preserve"> is a tool to predict whether a nonsynonymous single nucleotide polymorphism (nsSNP) has a phenotypic effect. </w:t>
      </w:r>
      <w:proofErr w:type="gramStart"/>
      <w:r w:rsidRPr="003A4656">
        <w:rPr>
          <w:rFonts w:ascii="Times New Roman" w:eastAsiaTheme="minorHAnsi" w:hAnsi="Times New Roman"/>
          <w:lang w:val="en-GB"/>
        </w:rPr>
        <w:t>nsSNPAnalyzer</w:t>
      </w:r>
      <w:proofErr w:type="gramEnd"/>
      <w:r w:rsidRPr="003A4656">
        <w:rPr>
          <w:rFonts w:ascii="Times New Roman" w:eastAsiaTheme="minorHAnsi" w:hAnsi="Times New Roman"/>
          <w:lang w:val="en-GB"/>
        </w:rPr>
        <w:t xml:space="preserve"> server integrates</w:t>
      </w:r>
      <w:r w:rsidRPr="003A4656">
        <w:rPr>
          <w:rFonts w:eastAsiaTheme="minorHAnsi"/>
          <w:lang w:val="en-GB"/>
        </w:rPr>
        <w:t xml:space="preserve"> </w:t>
      </w:r>
      <w:r w:rsidRPr="003A4656">
        <w:rPr>
          <w:rFonts w:ascii="Times New Roman" w:eastAsiaTheme="minorHAnsi" w:hAnsi="Times New Roman"/>
          <w:lang w:val="en-GB"/>
        </w:rPr>
        <w:t>multiple sequences alignment and protein structure analysis</w:t>
      </w:r>
      <w:r w:rsidRPr="003A4656">
        <w:rPr>
          <w:rFonts w:eastAsiaTheme="minorHAnsi"/>
          <w:lang w:val="en-GB"/>
        </w:rPr>
        <w:t xml:space="preserve"> </w:t>
      </w:r>
      <w:r w:rsidRPr="003A4656">
        <w:rPr>
          <w:rFonts w:ascii="Times New Roman" w:eastAsiaTheme="minorHAnsi" w:hAnsi="Times New Roman"/>
          <w:lang w:val="en-GB"/>
        </w:rPr>
        <w:t xml:space="preserve">to identify disease-associated nsSNPs. </w:t>
      </w:r>
      <w:proofErr w:type="gramStart"/>
      <w:r w:rsidRPr="003A4656">
        <w:rPr>
          <w:rFonts w:ascii="Times New Roman" w:eastAsiaTheme="minorHAnsi" w:hAnsi="Times New Roman"/>
          <w:lang w:val="en-GB"/>
        </w:rPr>
        <w:t>nsSNPAnalyzer</w:t>
      </w:r>
      <w:proofErr w:type="gramEnd"/>
      <w:r w:rsidRPr="003A4656">
        <w:rPr>
          <w:rFonts w:ascii="Times New Roman" w:eastAsiaTheme="minorHAnsi" w:hAnsi="Times New Roman"/>
          <w:lang w:val="en-GB"/>
        </w:rPr>
        <w:t xml:space="preserve"> takes a</w:t>
      </w:r>
      <w:r w:rsidRPr="003A4656">
        <w:rPr>
          <w:rFonts w:eastAsiaTheme="minorHAnsi"/>
          <w:lang w:val="en-GB"/>
        </w:rPr>
        <w:t xml:space="preserve"> </w:t>
      </w:r>
      <w:r w:rsidRPr="003A4656">
        <w:rPr>
          <w:rFonts w:ascii="Times New Roman" w:eastAsiaTheme="minorHAnsi" w:hAnsi="Times New Roman"/>
          <w:lang w:val="en-GB"/>
        </w:rPr>
        <w:t>protein sequence and the accompanying nsSNP as inputs and</w:t>
      </w:r>
      <w:r w:rsidRPr="003A4656">
        <w:rPr>
          <w:rFonts w:eastAsiaTheme="minorHAnsi"/>
          <w:lang w:val="en-GB"/>
        </w:rPr>
        <w:t xml:space="preserve"> </w:t>
      </w:r>
      <w:r w:rsidRPr="003A4656">
        <w:rPr>
          <w:rFonts w:ascii="Times New Roman" w:eastAsiaTheme="minorHAnsi" w:hAnsi="Times New Roman"/>
          <w:lang w:val="en-GB"/>
        </w:rPr>
        <w:t>reports whether the nsSNP is likely to be disease-associated</w:t>
      </w:r>
      <w:r w:rsidRPr="003A4656">
        <w:rPr>
          <w:rFonts w:eastAsiaTheme="minorHAnsi"/>
          <w:lang w:val="en-GB"/>
        </w:rPr>
        <w:t xml:space="preserve"> </w:t>
      </w:r>
      <w:r w:rsidRPr="003A4656">
        <w:rPr>
          <w:rFonts w:ascii="Times New Roman" w:eastAsiaTheme="minorHAnsi" w:hAnsi="Times New Roman"/>
          <w:lang w:val="en-GB"/>
        </w:rPr>
        <w:t>(pathological) or functionally neutral (neutral). It provides additional information about the nsSNP to facilitate the</w:t>
      </w:r>
      <w:r w:rsidRPr="003A4656">
        <w:rPr>
          <w:rFonts w:ascii="Times New Roman" w:hAnsi="Times New Roman"/>
          <w:bCs/>
          <w:lang w:val="en-GB"/>
        </w:rPr>
        <w:t xml:space="preserve"> interpretation of results, e.g., structural environment and multiple sequence alignment (Bao L. et al., 2005). </w:t>
      </w:r>
    </w:p>
    <w:p w:rsidR="00BC1BF5" w:rsidRPr="003A4656" w:rsidRDefault="00BC1BF5" w:rsidP="00AD5CA2">
      <w:pPr>
        <w:pStyle w:val="ListParagraph"/>
        <w:ind w:left="0" w:right="0"/>
        <w:jc w:val="both"/>
        <w:rPr>
          <w:rFonts w:ascii="Times New Roman" w:hAnsi="Times New Roman"/>
          <w:bCs/>
          <w:lang w:val="en-GB"/>
        </w:rPr>
      </w:pPr>
      <w:r w:rsidRPr="003A4656">
        <w:rPr>
          <w:rFonts w:ascii="Times New Roman" w:hAnsi="Times New Roman"/>
          <w:bCs/>
          <w:lang w:val="en-GB"/>
        </w:rPr>
        <w:t xml:space="preserve">The snSNPAnalyzer </w:t>
      </w:r>
      <w:proofErr w:type="gramStart"/>
      <w:r w:rsidRPr="003A4656">
        <w:rPr>
          <w:rFonts w:ascii="Times New Roman" w:hAnsi="Times New Roman"/>
          <w:bCs/>
          <w:lang w:val="en-GB"/>
        </w:rPr>
        <w:t>algorithm were</w:t>
      </w:r>
      <w:proofErr w:type="gramEnd"/>
      <w:r w:rsidRPr="003A4656">
        <w:rPr>
          <w:rFonts w:ascii="Times New Roman" w:hAnsi="Times New Roman"/>
          <w:bCs/>
          <w:lang w:val="en-GB"/>
        </w:rPr>
        <w:t xml:space="preserve"> utilized to classify VUS like neutral or pathological as like as pMUT (</w:t>
      </w:r>
      <w:hyperlink r:id="rId50" w:history="1">
        <w:r w:rsidRPr="003A4656">
          <w:rPr>
            <w:rStyle w:val="Hyperlink"/>
            <w:rFonts w:ascii="Times New Roman" w:hAnsi="Times New Roman"/>
            <w:bCs/>
            <w:lang w:val="en-GB"/>
          </w:rPr>
          <w:t>http://mmb.pcb.ub.es/PMut/</w:t>
        </w:r>
      </w:hyperlink>
      <w:r w:rsidRPr="003A4656">
        <w:rPr>
          <w:rFonts w:ascii="Times New Roman" w:hAnsi="Times New Roman"/>
          <w:bCs/>
          <w:lang w:val="en-GB"/>
        </w:rPr>
        <w:t xml:space="preserve">). </w:t>
      </w: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BC1BF5" w:rsidRPr="003A4656" w:rsidRDefault="00BC1BF5" w:rsidP="00583E5E">
      <w:pPr>
        <w:pStyle w:val="ListParagraph"/>
        <w:jc w:val="both"/>
        <w:rPr>
          <w:rFonts w:ascii="Times New Roman" w:hAnsi="Times New Roman"/>
          <w:lang w:val="en-GB"/>
        </w:rPr>
      </w:pPr>
    </w:p>
    <w:p w:rsidR="00BC1BF5" w:rsidRDefault="00BC1BF5" w:rsidP="00583E5E">
      <w:pPr>
        <w:pStyle w:val="ListParagraph"/>
        <w:jc w:val="both"/>
        <w:rPr>
          <w:rFonts w:ascii="Times New Roman" w:hAnsi="Times New Roman"/>
          <w:lang w:val="en-GB"/>
        </w:rPr>
      </w:pPr>
    </w:p>
    <w:p w:rsidR="0045404E" w:rsidRDefault="0045404E" w:rsidP="00583E5E">
      <w:pPr>
        <w:pStyle w:val="ListParagraph"/>
        <w:jc w:val="both"/>
        <w:rPr>
          <w:rFonts w:ascii="Times New Roman" w:hAnsi="Times New Roman"/>
          <w:lang w:val="en-GB"/>
        </w:rPr>
      </w:pPr>
    </w:p>
    <w:p w:rsidR="0045404E" w:rsidRPr="003A4656" w:rsidRDefault="0045404E" w:rsidP="00583E5E">
      <w:pPr>
        <w:pStyle w:val="ListParagraph"/>
        <w:jc w:val="both"/>
        <w:rPr>
          <w:rFonts w:ascii="Times New Roman" w:hAnsi="Times New Roman"/>
          <w:lang w:val="en-GB"/>
        </w:rPr>
      </w:pPr>
    </w:p>
    <w:p w:rsidR="00BC1BF5" w:rsidRPr="003A4656" w:rsidRDefault="00BC1BF5" w:rsidP="00583E5E">
      <w:pPr>
        <w:pStyle w:val="ListParagraph"/>
        <w:jc w:val="both"/>
        <w:rPr>
          <w:rFonts w:ascii="Times New Roman" w:hAnsi="Times New Roman"/>
          <w:lang w:val="en-GB"/>
        </w:rPr>
      </w:pPr>
    </w:p>
    <w:p w:rsidR="00BC1BF5" w:rsidRPr="003A4656" w:rsidRDefault="00BC1BF5" w:rsidP="00583E5E">
      <w:pPr>
        <w:pStyle w:val="ListParagraph"/>
        <w:jc w:val="both"/>
        <w:rPr>
          <w:rFonts w:ascii="Times New Roman" w:hAnsi="Times New Roman"/>
          <w:lang w:val="en-GB"/>
        </w:rPr>
      </w:pPr>
    </w:p>
    <w:p w:rsidR="00BC1BF5" w:rsidRPr="003A4656" w:rsidRDefault="00BC1BF5" w:rsidP="00BC1BF5">
      <w:pPr>
        <w:pStyle w:val="ListParagraph"/>
        <w:jc w:val="right"/>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B91ECF" w:rsidRDefault="00B91ECF" w:rsidP="00BC1BF5">
      <w:pPr>
        <w:pStyle w:val="ListParagraph"/>
        <w:jc w:val="right"/>
        <w:rPr>
          <w:rFonts w:ascii="Times New Roman" w:eastAsia="Times New Roman" w:hAnsi="Times New Roman"/>
          <w:b/>
          <w:i/>
          <w:sz w:val="36"/>
          <w:szCs w:val="36"/>
          <w:lang w:val="en-GB" w:eastAsia="fr-FR"/>
        </w:rPr>
      </w:pPr>
    </w:p>
    <w:p w:rsidR="00B91ECF" w:rsidRDefault="00B91ECF" w:rsidP="00BC1BF5">
      <w:pPr>
        <w:pStyle w:val="ListParagraph"/>
        <w:jc w:val="right"/>
        <w:rPr>
          <w:rFonts w:ascii="Times New Roman" w:eastAsia="Times New Roman" w:hAnsi="Times New Roman"/>
          <w:b/>
          <w:i/>
          <w:sz w:val="36"/>
          <w:szCs w:val="36"/>
          <w:lang w:val="en-GB" w:eastAsia="fr-FR"/>
        </w:rPr>
      </w:pPr>
    </w:p>
    <w:p w:rsidR="00B91ECF" w:rsidRDefault="00B91ECF" w:rsidP="00BC1BF5">
      <w:pPr>
        <w:pStyle w:val="ListParagraph"/>
        <w:jc w:val="right"/>
        <w:rPr>
          <w:rFonts w:ascii="Times New Roman" w:eastAsia="Times New Roman" w:hAnsi="Times New Roman"/>
          <w:b/>
          <w:i/>
          <w:sz w:val="36"/>
          <w:szCs w:val="36"/>
          <w:lang w:val="en-GB" w:eastAsia="fr-FR"/>
        </w:rPr>
      </w:pPr>
    </w:p>
    <w:p w:rsidR="00B91ECF" w:rsidRDefault="00B91ECF" w:rsidP="00BC1BF5">
      <w:pPr>
        <w:pStyle w:val="ListParagraph"/>
        <w:jc w:val="right"/>
        <w:rPr>
          <w:rFonts w:ascii="Times New Roman" w:eastAsia="Times New Roman" w:hAnsi="Times New Roman"/>
          <w:b/>
          <w:i/>
          <w:sz w:val="36"/>
          <w:szCs w:val="36"/>
          <w:lang w:val="en-GB" w:eastAsia="fr-FR"/>
        </w:rPr>
      </w:pPr>
    </w:p>
    <w:p w:rsidR="00B91ECF" w:rsidRDefault="00B91ECF" w:rsidP="00BC1BF5">
      <w:pPr>
        <w:pStyle w:val="ListParagraph"/>
        <w:jc w:val="right"/>
        <w:rPr>
          <w:rFonts w:ascii="Times New Roman" w:eastAsia="Times New Roman" w:hAnsi="Times New Roman"/>
          <w:b/>
          <w:i/>
          <w:sz w:val="36"/>
          <w:szCs w:val="36"/>
          <w:lang w:val="en-GB" w:eastAsia="fr-FR"/>
        </w:rPr>
      </w:pPr>
    </w:p>
    <w:p w:rsidR="00C941EF" w:rsidRPr="003A4656" w:rsidRDefault="00C941EF" w:rsidP="00BC1BF5">
      <w:pPr>
        <w:pStyle w:val="ListParagraph"/>
        <w:jc w:val="right"/>
        <w:rPr>
          <w:rFonts w:ascii="Times New Roman" w:eastAsia="Times New Roman" w:hAnsi="Times New Roman"/>
          <w:b/>
          <w:i/>
          <w:sz w:val="36"/>
          <w:szCs w:val="36"/>
          <w:lang w:val="en-GB" w:eastAsia="fr-FR"/>
        </w:rPr>
      </w:pPr>
      <w:r w:rsidRPr="003A4656">
        <w:rPr>
          <w:rFonts w:ascii="Times New Roman" w:eastAsia="Times New Roman" w:hAnsi="Times New Roman"/>
          <w:b/>
          <w:i/>
          <w:sz w:val="36"/>
          <w:szCs w:val="36"/>
          <w:lang w:val="en-GB" w:eastAsia="fr-FR"/>
        </w:rPr>
        <w:t>Results</w:t>
      </w:r>
    </w:p>
    <w:p w:rsidR="00C941EF" w:rsidRPr="003A4656" w:rsidRDefault="00C941EF"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A7694A" w:rsidRPr="003A4656" w:rsidRDefault="00A7694A"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BC1BF5" w:rsidRPr="003A4656" w:rsidRDefault="00BC1BF5" w:rsidP="00583E5E">
      <w:pPr>
        <w:pStyle w:val="ListParagraph"/>
        <w:jc w:val="both"/>
        <w:rPr>
          <w:rFonts w:ascii="Times New Roman" w:hAnsi="Times New Roman"/>
          <w:lang w:val="en-GB"/>
        </w:rPr>
      </w:pPr>
    </w:p>
    <w:p w:rsidR="00BC1BF5" w:rsidRPr="003A4656" w:rsidRDefault="00BC1BF5" w:rsidP="00583E5E">
      <w:pPr>
        <w:pStyle w:val="ListParagraph"/>
        <w:jc w:val="both"/>
        <w:rPr>
          <w:rFonts w:ascii="Times New Roman" w:hAnsi="Times New Roman"/>
          <w:lang w:val="en-GB"/>
        </w:rPr>
      </w:pPr>
    </w:p>
    <w:p w:rsidR="00C941EF" w:rsidRPr="003A4656" w:rsidRDefault="00482C77" w:rsidP="006561DE">
      <w:pPr>
        <w:pStyle w:val="ListParagraph"/>
        <w:numPr>
          <w:ilvl w:val="0"/>
          <w:numId w:val="23"/>
        </w:numPr>
        <w:rPr>
          <w:rFonts w:ascii="Times New Roman" w:hAnsi="Times New Roman"/>
          <w:b/>
          <w:lang w:val="en-GB"/>
        </w:rPr>
      </w:pPr>
      <w:r w:rsidRPr="003A4656">
        <w:rPr>
          <w:rFonts w:ascii="Times New Roman" w:hAnsi="Times New Roman"/>
          <w:b/>
          <w:lang w:val="en-GB"/>
        </w:rPr>
        <w:t>M</w:t>
      </w:r>
      <w:r w:rsidR="00C941EF" w:rsidRPr="003A4656">
        <w:rPr>
          <w:rFonts w:ascii="Times New Roman" w:hAnsi="Times New Roman"/>
          <w:b/>
          <w:lang w:val="en-GB"/>
        </w:rPr>
        <w:t xml:space="preserve">utational analysis of </w:t>
      </w:r>
      <w:r w:rsidR="00C941EF" w:rsidRPr="003A4656">
        <w:rPr>
          <w:rFonts w:ascii="Times New Roman" w:hAnsi="Times New Roman"/>
          <w:b/>
          <w:i/>
          <w:lang w:val="en-GB"/>
        </w:rPr>
        <w:t>BRCA1</w:t>
      </w:r>
      <w:r w:rsidR="00C941EF" w:rsidRPr="003A4656">
        <w:rPr>
          <w:rFonts w:ascii="Times New Roman" w:hAnsi="Times New Roman"/>
          <w:b/>
          <w:lang w:val="en-GB"/>
        </w:rPr>
        <w:t xml:space="preserve"> and </w:t>
      </w:r>
      <w:r w:rsidR="00C941EF" w:rsidRPr="003A4656">
        <w:rPr>
          <w:rFonts w:ascii="Times New Roman" w:hAnsi="Times New Roman"/>
          <w:b/>
          <w:i/>
          <w:lang w:val="en-GB"/>
        </w:rPr>
        <w:t>BRCA2</w:t>
      </w:r>
    </w:p>
    <w:p w:rsidR="00C941EF" w:rsidRPr="003A4656" w:rsidRDefault="00C941EF" w:rsidP="00AD5CA2">
      <w:pPr>
        <w:ind w:left="0" w:right="0"/>
        <w:rPr>
          <w:sz w:val="22"/>
          <w:szCs w:val="22"/>
        </w:rPr>
      </w:pPr>
      <w:r w:rsidRPr="003A4656">
        <w:rPr>
          <w:sz w:val="22"/>
          <w:szCs w:val="22"/>
        </w:rPr>
        <w:t xml:space="preserve">Germline mutations were </w:t>
      </w:r>
      <w:r w:rsidR="006561DE" w:rsidRPr="003A4656">
        <w:rPr>
          <w:sz w:val="22"/>
          <w:szCs w:val="22"/>
        </w:rPr>
        <w:t xml:space="preserve">found in 8 of 50 (16%) </w:t>
      </w:r>
      <w:proofErr w:type="gramStart"/>
      <w:r w:rsidR="006561DE" w:rsidRPr="003A4656">
        <w:rPr>
          <w:sz w:val="22"/>
          <w:szCs w:val="22"/>
        </w:rPr>
        <w:t xml:space="preserve">Sicilian </w:t>
      </w:r>
      <w:r w:rsidRPr="003A4656">
        <w:rPr>
          <w:sz w:val="22"/>
          <w:szCs w:val="22"/>
        </w:rPr>
        <w:t>families.</w:t>
      </w:r>
      <w:proofErr w:type="gramEnd"/>
      <w:r w:rsidRPr="003A4656">
        <w:rPr>
          <w:sz w:val="22"/>
          <w:szCs w:val="22"/>
        </w:rPr>
        <w:t xml:space="preserve"> Families were grouped according to the following profiles: Hereditary Breast Cancer (HBC, with ≥2 cases of female breast cancer); Hereditary Breast and Ovarian Cancer (HBOC, with cases of breast and ovarian cancer); Male Breast Cancer (MBC, with at least one case of male breast cancer). </w:t>
      </w:r>
    </w:p>
    <w:p w:rsidR="00C941EF" w:rsidRPr="003A4656" w:rsidRDefault="00C941EF" w:rsidP="00AD5CA2">
      <w:pPr>
        <w:ind w:left="0" w:right="0"/>
        <w:rPr>
          <w:sz w:val="22"/>
          <w:szCs w:val="22"/>
        </w:rPr>
      </w:pPr>
      <w:r w:rsidRPr="003A4656">
        <w:rPr>
          <w:sz w:val="22"/>
          <w:szCs w:val="22"/>
        </w:rPr>
        <w:t xml:space="preserve">No instances of HBOC families with male breast cancer cases were observed. A total of </w:t>
      </w:r>
      <w:r w:rsidR="00A3761F">
        <w:rPr>
          <w:sz w:val="22"/>
          <w:szCs w:val="22"/>
        </w:rPr>
        <w:t>18</w:t>
      </w:r>
      <w:r w:rsidRPr="003A4656">
        <w:rPr>
          <w:sz w:val="22"/>
          <w:szCs w:val="22"/>
        </w:rPr>
        <w:t xml:space="preserve"> sequence variants </w:t>
      </w:r>
      <w:r w:rsidR="006561DE" w:rsidRPr="003A4656">
        <w:rPr>
          <w:sz w:val="22"/>
          <w:szCs w:val="22"/>
        </w:rPr>
        <w:t>were</w:t>
      </w:r>
      <w:r w:rsidRPr="003A4656">
        <w:rPr>
          <w:sz w:val="22"/>
          <w:szCs w:val="22"/>
        </w:rPr>
        <w:t xml:space="preserve"> identified. Seventy</w:t>
      </w:r>
      <w:r w:rsidR="00A3761F">
        <w:rPr>
          <w:sz w:val="22"/>
          <w:szCs w:val="22"/>
        </w:rPr>
        <w:t>-two</w:t>
      </w:r>
      <w:r w:rsidRPr="003A4656">
        <w:rPr>
          <w:sz w:val="22"/>
          <w:szCs w:val="22"/>
        </w:rPr>
        <w:t xml:space="preserve"> percent (1</w:t>
      </w:r>
      <w:r w:rsidR="00A3761F">
        <w:rPr>
          <w:sz w:val="22"/>
          <w:szCs w:val="22"/>
        </w:rPr>
        <w:t>3</w:t>
      </w:r>
      <w:r w:rsidRPr="003A4656">
        <w:rPr>
          <w:sz w:val="22"/>
          <w:szCs w:val="22"/>
        </w:rPr>
        <w:t>/</w:t>
      </w:r>
      <w:r w:rsidR="00A3761F">
        <w:rPr>
          <w:sz w:val="22"/>
          <w:szCs w:val="22"/>
        </w:rPr>
        <w:t>18</w:t>
      </w:r>
      <w:r w:rsidRPr="003A4656">
        <w:rPr>
          <w:sz w:val="22"/>
          <w:szCs w:val="22"/>
        </w:rPr>
        <w:t>) were missense mutations, 1</w:t>
      </w:r>
      <w:r w:rsidR="00A3761F">
        <w:rPr>
          <w:sz w:val="22"/>
          <w:szCs w:val="22"/>
        </w:rPr>
        <w:t>7</w:t>
      </w:r>
      <w:r w:rsidRPr="003A4656">
        <w:rPr>
          <w:sz w:val="22"/>
          <w:szCs w:val="22"/>
        </w:rPr>
        <w:t>% (3/</w:t>
      </w:r>
      <w:r w:rsidR="00A3761F">
        <w:rPr>
          <w:sz w:val="22"/>
          <w:szCs w:val="22"/>
        </w:rPr>
        <w:t>18</w:t>
      </w:r>
      <w:r w:rsidRPr="003A4656">
        <w:rPr>
          <w:sz w:val="22"/>
          <w:szCs w:val="22"/>
        </w:rPr>
        <w:t xml:space="preserve">) </w:t>
      </w:r>
      <w:r w:rsidR="00A3761F">
        <w:rPr>
          <w:sz w:val="22"/>
          <w:szCs w:val="22"/>
        </w:rPr>
        <w:t>were frameshift mutations and 11</w:t>
      </w:r>
      <w:r w:rsidRPr="003A4656">
        <w:rPr>
          <w:sz w:val="22"/>
          <w:szCs w:val="22"/>
        </w:rPr>
        <w:t>% (2/</w:t>
      </w:r>
      <w:r w:rsidR="00A3761F">
        <w:rPr>
          <w:sz w:val="22"/>
          <w:szCs w:val="22"/>
        </w:rPr>
        <w:t>18</w:t>
      </w:r>
      <w:r w:rsidRPr="003A4656">
        <w:rPr>
          <w:sz w:val="22"/>
          <w:szCs w:val="22"/>
        </w:rPr>
        <w:t xml:space="preserve">) were intronic variants. Eight of fourteen missense mutations were unknown variants. All the pathogenic and unknown variants in the </w:t>
      </w:r>
      <w:r w:rsidRPr="003A4656">
        <w:rPr>
          <w:i/>
          <w:sz w:val="22"/>
          <w:szCs w:val="22"/>
        </w:rPr>
        <w:t xml:space="preserve">BRCA1 </w:t>
      </w:r>
      <w:r w:rsidRPr="003A4656">
        <w:rPr>
          <w:sz w:val="22"/>
          <w:szCs w:val="22"/>
        </w:rPr>
        <w:t xml:space="preserve">and </w:t>
      </w:r>
      <w:r w:rsidRPr="003A4656">
        <w:rPr>
          <w:i/>
          <w:sz w:val="22"/>
          <w:szCs w:val="22"/>
        </w:rPr>
        <w:t xml:space="preserve">BRCA2 </w:t>
      </w:r>
      <w:r w:rsidRPr="003A4656">
        <w:rPr>
          <w:sz w:val="22"/>
          <w:szCs w:val="22"/>
        </w:rPr>
        <w:t>genes were distributed throughout the whol</w:t>
      </w:r>
      <w:r w:rsidR="00A80B72" w:rsidRPr="003A4656">
        <w:rPr>
          <w:sz w:val="22"/>
          <w:szCs w:val="22"/>
        </w:rPr>
        <w:t>e gene</w:t>
      </w:r>
      <w:r w:rsidRPr="003A4656">
        <w:rPr>
          <w:sz w:val="22"/>
          <w:szCs w:val="22"/>
        </w:rPr>
        <w:t>.</w:t>
      </w:r>
    </w:p>
    <w:p w:rsidR="00A80B72" w:rsidRPr="003A4656" w:rsidRDefault="00A80B72" w:rsidP="00AD5CA2">
      <w:pPr>
        <w:ind w:right="0"/>
        <w:rPr>
          <w:sz w:val="22"/>
          <w:szCs w:val="22"/>
        </w:rPr>
      </w:pPr>
    </w:p>
    <w:p w:rsidR="00C941EF" w:rsidRPr="003A4656" w:rsidRDefault="006561DE" w:rsidP="00AD5CA2">
      <w:pPr>
        <w:ind w:left="0" w:right="0" w:firstLine="720"/>
        <w:rPr>
          <w:b/>
          <w:sz w:val="22"/>
          <w:szCs w:val="22"/>
        </w:rPr>
      </w:pPr>
      <w:r w:rsidRPr="003A4656">
        <w:rPr>
          <w:b/>
          <w:sz w:val="22"/>
          <w:szCs w:val="22"/>
        </w:rPr>
        <w:t xml:space="preserve">1.2 </w:t>
      </w:r>
      <w:r w:rsidR="00C941EF" w:rsidRPr="003A4656">
        <w:rPr>
          <w:b/>
          <w:sz w:val="22"/>
          <w:szCs w:val="22"/>
        </w:rPr>
        <w:t xml:space="preserve">Pathogenic mutation </w:t>
      </w:r>
    </w:p>
    <w:p w:rsidR="00A80B72" w:rsidRPr="003A4656" w:rsidRDefault="00C941EF" w:rsidP="00AD5CA2">
      <w:pPr>
        <w:ind w:left="0" w:right="0"/>
        <w:rPr>
          <w:sz w:val="22"/>
          <w:szCs w:val="22"/>
        </w:rPr>
      </w:pPr>
      <w:r w:rsidRPr="003A4656">
        <w:rPr>
          <w:sz w:val="22"/>
          <w:szCs w:val="22"/>
        </w:rPr>
        <w:t>Pathogenic mutation</w:t>
      </w:r>
      <w:r w:rsidR="00866007" w:rsidRPr="003A4656">
        <w:rPr>
          <w:sz w:val="22"/>
          <w:szCs w:val="22"/>
        </w:rPr>
        <w:t>s</w:t>
      </w:r>
      <w:r w:rsidRPr="003A4656">
        <w:rPr>
          <w:sz w:val="22"/>
          <w:szCs w:val="22"/>
        </w:rPr>
        <w:t xml:space="preserve"> were detected in </w:t>
      </w:r>
      <w:r w:rsidR="00866007" w:rsidRPr="003A4656">
        <w:rPr>
          <w:sz w:val="22"/>
          <w:szCs w:val="22"/>
        </w:rPr>
        <w:t>four</w:t>
      </w:r>
      <w:r w:rsidRPr="003A4656">
        <w:rPr>
          <w:sz w:val="22"/>
          <w:szCs w:val="22"/>
        </w:rPr>
        <w:t xml:space="preserve"> women of our cohort</w:t>
      </w:r>
      <w:r w:rsidR="00866007" w:rsidRPr="003A4656">
        <w:rPr>
          <w:sz w:val="22"/>
          <w:szCs w:val="22"/>
        </w:rPr>
        <w:t xml:space="preserve"> (Table </w:t>
      </w:r>
      <w:r w:rsidR="00FF6C2F">
        <w:rPr>
          <w:sz w:val="22"/>
          <w:szCs w:val="22"/>
        </w:rPr>
        <w:t>5</w:t>
      </w:r>
      <w:r w:rsidR="00866007" w:rsidRPr="003A4656">
        <w:rPr>
          <w:sz w:val="22"/>
          <w:szCs w:val="22"/>
        </w:rPr>
        <w:t>).</w:t>
      </w:r>
      <w:r w:rsidRPr="003A4656">
        <w:rPr>
          <w:sz w:val="22"/>
          <w:szCs w:val="22"/>
        </w:rPr>
        <w:t xml:space="preserve"> All the carriers of a deleterious mutation had at least one </w:t>
      </w:r>
      <w:r w:rsidR="00866007" w:rsidRPr="003A4656">
        <w:rPr>
          <w:sz w:val="22"/>
          <w:szCs w:val="22"/>
        </w:rPr>
        <w:t>relative</w:t>
      </w:r>
      <w:r w:rsidRPr="003A4656">
        <w:rPr>
          <w:sz w:val="22"/>
          <w:szCs w:val="22"/>
        </w:rPr>
        <w:t xml:space="preserve"> with early onset of breast cancer and/or ovarian cancer.  Two different pathogenic mutatio</w:t>
      </w:r>
      <w:r w:rsidR="00866007" w:rsidRPr="003A4656">
        <w:rPr>
          <w:sz w:val="22"/>
          <w:szCs w:val="22"/>
        </w:rPr>
        <w:t>ns</w:t>
      </w:r>
      <w:r w:rsidRPr="003A4656">
        <w:rPr>
          <w:sz w:val="22"/>
          <w:szCs w:val="22"/>
        </w:rPr>
        <w:t xml:space="preserve"> leading to non-functional truncated proteins were identified in</w:t>
      </w:r>
      <w:r w:rsidR="00866007" w:rsidRPr="003A4656">
        <w:rPr>
          <w:sz w:val="22"/>
          <w:szCs w:val="22"/>
        </w:rPr>
        <w:t xml:space="preserve"> the</w:t>
      </w:r>
      <w:r w:rsidRPr="003A4656">
        <w:rPr>
          <w:sz w:val="22"/>
          <w:szCs w:val="22"/>
        </w:rPr>
        <w:t xml:space="preserve"> </w:t>
      </w:r>
      <w:r w:rsidRPr="003A4656">
        <w:rPr>
          <w:i/>
          <w:sz w:val="22"/>
          <w:szCs w:val="22"/>
        </w:rPr>
        <w:t>BRCA1</w:t>
      </w:r>
      <w:r w:rsidRPr="003A4656">
        <w:rPr>
          <w:sz w:val="22"/>
          <w:szCs w:val="22"/>
        </w:rPr>
        <w:t xml:space="preserve"> gene (4843delC and 1479delAG) and one in </w:t>
      </w:r>
      <w:r w:rsidR="00866007" w:rsidRPr="003A4656">
        <w:rPr>
          <w:sz w:val="22"/>
          <w:szCs w:val="22"/>
        </w:rPr>
        <w:t xml:space="preserve">the </w:t>
      </w:r>
      <w:r w:rsidRPr="003A4656">
        <w:rPr>
          <w:i/>
          <w:sz w:val="22"/>
          <w:szCs w:val="22"/>
        </w:rPr>
        <w:t>BRCA2</w:t>
      </w:r>
      <w:r w:rsidRPr="003A4656">
        <w:rPr>
          <w:sz w:val="22"/>
          <w:szCs w:val="22"/>
        </w:rPr>
        <w:t xml:space="preserve"> gene (6310del5). The 4843delC mutation is located in exon 16 and generates a stop codon at position 1600 of </w:t>
      </w:r>
      <w:r w:rsidR="00866007" w:rsidRPr="003A4656">
        <w:rPr>
          <w:sz w:val="22"/>
          <w:szCs w:val="22"/>
        </w:rPr>
        <w:t xml:space="preserve">the </w:t>
      </w:r>
      <w:r w:rsidRPr="003A4656">
        <w:rPr>
          <w:i/>
          <w:sz w:val="22"/>
          <w:szCs w:val="22"/>
        </w:rPr>
        <w:t>BRCA1</w:t>
      </w:r>
      <w:r w:rsidRPr="003A4656">
        <w:rPr>
          <w:sz w:val="22"/>
          <w:szCs w:val="22"/>
        </w:rPr>
        <w:t xml:space="preserve"> gene. The sequencing analysis showed that </w:t>
      </w:r>
      <w:r w:rsidR="004B5E85">
        <w:rPr>
          <w:sz w:val="22"/>
          <w:szCs w:val="22"/>
        </w:rPr>
        <w:t xml:space="preserve">the </w:t>
      </w:r>
      <w:r w:rsidRPr="003A4656">
        <w:rPr>
          <w:sz w:val="22"/>
          <w:szCs w:val="22"/>
        </w:rPr>
        <w:t>mutation carrier h</w:t>
      </w:r>
      <w:r w:rsidR="00866007" w:rsidRPr="003A4656">
        <w:rPr>
          <w:sz w:val="22"/>
          <w:szCs w:val="22"/>
        </w:rPr>
        <w:t>ad</w:t>
      </w:r>
      <w:r w:rsidRPr="003A4656">
        <w:rPr>
          <w:sz w:val="22"/>
          <w:szCs w:val="22"/>
        </w:rPr>
        <w:t xml:space="preserve"> the following </w:t>
      </w:r>
      <w:r w:rsidR="00866007" w:rsidRPr="003A4656">
        <w:rPr>
          <w:sz w:val="22"/>
          <w:szCs w:val="22"/>
        </w:rPr>
        <w:t xml:space="preserve">additional </w:t>
      </w:r>
      <w:r w:rsidRPr="003A4656">
        <w:rPr>
          <w:sz w:val="22"/>
          <w:szCs w:val="22"/>
        </w:rPr>
        <w:t xml:space="preserve">sequence variants (P871L, E1038G, K1183R, S1613G, </w:t>
      </w:r>
      <w:proofErr w:type="gramStart"/>
      <w:r w:rsidRPr="003A4656">
        <w:rPr>
          <w:sz w:val="22"/>
          <w:szCs w:val="22"/>
        </w:rPr>
        <w:t>M1652I</w:t>
      </w:r>
      <w:proofErr w:type="gramEnd"/>
      <w:r w:rsidRPr="003A4656">
        <w:rPr>
          <w:sz w:val="22"/>
          <w:szCs w:val="22"/>
        </w:rPr>
        <w:t xml:space="preserve">). The 1479delAG is located in exon 11 and resulted in </w:t>
      </w:r>
      <w:r w:rsidR="004B5E85">
        <w:rPr>
          <w:sz w:val="22"/>
          <w:szCs w:val="22"/>
        </w:rPr>
        <w:t xml:space="preserve">a </w:t>
      </w:r>
      <w:r w:rsidRPr="003A4656">
        <w:rPr>
          <w:sz w:val="22"/>
          <w:szCs w:val="22"/>
        </w:rPr>
        <w:t xml:space="preserve">stop codon in the same exon. The pathogenic mutation identified in </w:t>
      </w:r>
      <w:r w:rsidRPr="003A4656">
        <w:rPr>
          <w:i/>
          <w:sz w:val="22"/>
          <w:szCs w:val="22"/>
        </w:rPr>
        <w:t>BRCA2</w:t>
      </w:r>
      <w:r w:rsidRPr="003A4656">
        <w:rPr>
          <w:sz w:val="22"/>
          <w:szCs w:val="22"/>
        </w:rPr>
        <w:t xml:space="preserve"> (6310del5) generates a stop codon at position 2028</w:t>
      </w:r>
      <w:r w:rsidR="00866007" w:rsidRPr="003A4656">
        <w:rPr>
          <w:sz w:val="22"/>
          <w:szCs w:val="22"/>
        </w:rPr>
        <w:t xml:space="preserve">. </w:t>
      </w:r>
      <w:r w:rsidR="00C83F64" w:rsidRPr="003A4656">
        <w:rPr>
          <w:sz w:val="22"/>
          <w:szCs w:val="22"/>
        </w:rPr>
        <w:t>Finally, the missense mutation 184C&gt;T (L22S) in BRCA1 exon 2 had been classified as pathogenic using a mutifactorial likelihood model by Sweet et al. (2010)</w:t>
      </w:r>
      <w:r w:rsidR="0082528F" w:rsidRPr="003A4656">
        <w:rPr>
          <w:sz w:val="22"/>
          <w:szCs w:val="22"/>
        </w:rPr>
        <w:t>.</w:t>
      </w:r>
    </w:p>
    <w:p w:rsidR="00985322" w:rsidRDefault="00985322" w:rsidP="00AD5CA2">
      <w:pPr>
        <w:ind w:right="0"/>
        <w:jc w:val="center"/>
        <w:rPr>
          <w:sz w:val="22"/>
          <w:szCs w:val="22"/>
        </w:rPr>
      </w:pPr>
    </w:p>
    <w:p w:rsidR="00A80B72" w:rsidRPr="003A4656" w:rsidRDefault="00A80B72" w:rsidP="00AD5CA2">
      <w:pPr>
        <w:ind w:right="0"/>
        <w:jc w:val="center"/>
        <w:rPr>
          <w:sz w:val="22"/>
          <w:szCs w:val="22"/>
        </w:rPr>
      </w:pPr>
      <w:proofErr w:type="gramStart"/>
      <w:r w:rsidRPr="003A4656">
        <w:rPr>
          <w:sz w:val="22"/>
          <w:szCs w:val="22"/>
        </w:rPr>
        <w:t xml:space="preserve">Table </w:t>
      </w:r>
      <w:r w:rsidR="00FF6C2F">
        <w:rPr>
          <w:sz w:val="22"/>
          <w:szCs w:val="22"/>
        </w:rPr>
        <w:t>5</w:t>
      </w:r>
      <w:r w:rsidRPr="003A4656">
        <w:rPr>
          <w:sz w:val="22"/>
          <w:szCs w:val="22"/>
        </w:rPr>
        <w:t>.</w:t>
      </w:r>
      <w:proofErr w:type="gramEnd"/>
      <w:r w:rsidRPr="003A4656">
        <w:rPr>
          <w:sz w:val="22"/>
          <w:szCs w:val="22"/>
        </w:rPr>
        <w:t xml:space="preserve"> BRCA1 and BRCA2 deleterious mutation</w:t>
      </w:r>
    </w:p>
    <w:tbl>
      <w:tblPr>
        <w:tblStyle w:val="LightShading1"/>
        <w:tblW w:w="6912" w:type="dxa"/>
        <w:jc w:val="center"/>
        <w:tblLook w:val="04A0"/>
      </w:tblPr>
      <w:tblGrid>
        <w:gridCol w:w="1310"/>
        <w:gridCol w:w="1200"/>
        <w:gridCol w:w="2562"/>
        <w:gridCol w:w="228"/>
        <w:gridCol w:w="1962"/>
      </w:tblGrid>
      <w:tr w:rsidR="00F04166" w:rsidRPr="003A4656" w:rsidTr="005541BC">
        <w:trPr>
          <w:cnfStyle w:val="100000000000"/>
          <w:trHeight w:val="300"/>
          <w:jc w:val="center"/>
        </w:trPr>
        <w:tc>
          <w:tcPr>
            <w:cnfStyle w:val="001000000000"/>
            <w:tcW w:w="960" w:type="dxa"/>
            <w:noWrap/>
            <w:hideMark/>
          </w:tcPr>
          <w:p w:rsidR="00F04166" w:rsidRPr="003A4656" w:rsidRDefault="00F04166" w:rsidP="00AD5CA2">
            <w:pPr>
              <w:spacing w:line="276" w:lineRule="auto"/>
              <w:ind w:right="0"/>
              <w:rPr>
                <w:sz w:val="22"/>
                <w:szCs w:val="22"/>
                <w:lang w:eastAsia="en-US"/>
              </w:rPr>
            </w:pPr>
            <w:r w:rsidRPr="003A4656">
              <w:rPr>
                <w:sz w:val="22"/>
                <w:szCs w:val="22"/>
                <w:lang w:eastAsia="en-US"/>
              </w:rPr>
              <w:t>Gene</w:t>
            </w:r>
          </w:p>
        </w:tc>
        <w:tc>
          <w:tcPr>
            <w:tcW w:w="1200" w:type="dxa"/>
            <w:noWrap/>
            <w:hideMark/>
          </w:tcPr>
          <w:p w:rsidR="00F04166" w:rsidRPr="003A4656" w:rsidRDefault="00F04166" w:rsidP="00AD5CA2">
            <w:pPr>
              <w:spacing w:line="276" w:lineRule="auto"/>
              <w:ind w:right="0"/>
              <w:cnfStyle w:val="100000000000"/>
              <w:rPr>
                <w:sz w:val="22"/>
                <w:szCs w:val="22"/>
                <w:lang w:eastAsia="en-US"/>
              </w:rPr>
            </w:pPr>
            <w:r w:rsidRPr="003A4656">
              <w:rPr>
                <w:sz w:val="22"/>
                <w:szCs w:val="22"/>
                <w:lang w:eastAsia="en-US"/>
              </w:rPr>
              <w:t>Exon</w:t>
            </w:r>
          </w:p>
        </w:tc>
        <w:tc>
          <w:tcPr>
            <w:tcW w:w="2790" w:type="dxa"/>
            <w:gridSpan w:val="2"/>
            <w:noWrap/>
            <w:hideMark/>
          </w:tcPr>
          <w:p w:rsidR="00F04166" w:rsidRPr="003A4656" w:rsidRDefault="00F04166" w:rsidP="00AD5CA2">
            <w:pPr>
              <w:spacing w:line="276" w:lineRule="auto"/>
              <w:ind w:right="0"/>
              <w:cnfStyle w:val="100000000000"/>
              <w:rPr>
                <w:sz w:val="22"/>
                <w:szCs w:val="22"/>
                <w:lang w:eastAsia="en-US"/>
              </w:rPr>
            </w:pPr>
            <w:r w:rsidRPr="003A4656">
              <w:rPr>
                <w:sz w:val="22"/>
                <w:szCs w:val="22"/>
                <w:lang w:eastAsia="en-US"/>
              </w:rPr>
              <w:t>Mutation</w:t>
            </w:r>
          </w:p>
        </w:tc>
        <w:tc>
          <w:tcPr>
            <w:tcW w:w="1962" w:type="dxa"/>
            <w:noWrap/>
            <w:hideMark/>
          </w:tcPr>
          <w:p w:rsidR="00F04166" w:rsidRPr="003A4656" w:rsidRDefault="00F04166" w:rsidP="00AD5CA2">
            <w:pPr>
              <w:spacing w:line="276" w:lineRule="auto"/>
              <w:ind w:right="0"/>
              <w:cnfStyle w:val="100000000000"/>
              <w:rPr>
                <w:sz w:val="22"/>
                <w:szCs w:val="22"/>
                <w:lang w:eastAsia="en-US"/>
              </w:rPr>
            </w:pPr>
            <w:r w:rsidRPr="003A4656">
              <w:rPr>
                <w:sz w:val="22"/>
                <w:szCs w:val="22"/>
                <w:lang w:eastAsia="en-US"/>
              </w:rPr>
              <w:t>Protein change</w:t>
            </w:r>
          </w:p>
        </w:tc>
      </w:tr>
      <w:tr w:rsidR="00F04166" w:rsidRPr="003A4656" w:rsidTr="005541BC">
        <w:trPr>
          <w:cnfStyle w:val="000000100000"/>
          <w:trHeight w:val="300"/>
          <w:jc w:val="center"/>
        </w:trPr>
        <w:tc>
          <w:tcPr>
            <w:cnfStyle w:val="001000000000"/>
            <w:tcW w:w="960" w:type="dxa"/>
            <w:noWrap/>
            <w:hideMark/>
          </w:tcPr>
          <w:p w:rsidR="00F04166" w:rsidRPr="003A4656" w:rsidRDefault="00F04166" w:rsidP="00AD5CA2">
            <w:pPr>
              <w:spacing w:line="276" w:lineRule="auto"/>
              <w:ind w:right="0"/>
              <w:rPr>
                <w:sz w:val="22"/>
                <w:szCs w:val="22"/>
                <w:lang w:eastAsia="en-US"/>
              </w:rPr>
            </w:pPr>
            <w:r w:rsidRPr="003A4656">
              <w:rPr>
                <w:sz w:val="22"/>
                <w:szCs w:val="22"/>
                <w:lang w:eastAsia="en-US"/>
              </w:rPr>
              <w:t>BRCA1</w:t>
            </w:r>
          </w:p>
        </w:tc>
        <w:tc>
          <w:tcPr>
            <w:tcW w:w="1200" w:type="dxa"/>
            <w:noWrap/>
            <w:hideMark/>
          </w:tcPr>
          <w:p w:rsidR="00F04166" w:rsidRPr="003A4656" w:rsidRDefault="00F04166" w:rsidP="00AD5CA2">
            <w:pPr>
              <w:spacing w:line="276" w:lineRule="auto"/>
              <w:ind w:right="0"/>
              <w:cnfStyle w:val="000000100000"/>
              <w:rPr>
                <w:sz w:val="22"/>
                <w:szCs w:val="22"/>
                <w:lang w:eastAsia="en-US"/>
              </w:rPr>
            </w:pPr>
            <w:r w:rsidRPr="003A4656">
              <w:rPr>
                <w:sz w:val="22"/>
                <w:szCs w:val="22"/>
                <w:lang w:eastAsia="en-US"/>
              </w:rPr>
              <w:t>2</w:t>
            </w:r>
          </w:p>
        </w:tc>
        <w:tc>
          <w:tcPr>
            <w:tcW w:w="2562" w:type="dxa"/>
            <w:noWrap/>
            <w:hideMark/>
          </w:tcPr>
          <w:p w:rsidR="00F04166" w:rsidRPr="003A4656" w:rsidRDefault="00C83F64" w:rsidP="00AD5CA2">
            <w:pPr>
              <w:spacing w:line="276" w:lineRule="auto"/>
              <w:ind w:right="0"/>
              <w:cnfStyle w:val="000000100000"/>
              <w:rPr>
                <w:sz w:val="22"/>
                <w:szCs w:val="22"/>
                <w:lang w:eastAsia="en-US"/>
              </w:rPr>
            </w:pPr>
            <w:r w:rsidRPr="003A4656">
              <w:rPr>
                <w:sz w:val="22"/>
                <w:szCs w:val="22"/>
                <w:lang w:eastAsia="en-US"/>
              </w:rPr>
              <w:t>184C&gt;T</w:t>
            </w:r>
          </w:p>
        </w:tc>
        <w:tc>
          <w:tcPr>
            <w:tcW w:w="2190" w:type="dxa"/>
            <w:gridSpan w:val="2"/>
            <w:noWrap/>
            <w:hideMark/>
          </w:tcPr>
          <w:p w:rsidR="00F04166" w:rsidRPr="003A4656" w:rsidRDefault="00866007" w:rsidP="00AD5CA2">
            <w:pPr>
              <w:spacing w:line="276" w:lineRule="auto"/>
              <w:ind w:right="0"/>
              <w:cnfStyle w:val="000000100000"/>
              <w:rPr>
                <w:sz w:val="22"/>
                <w:szCs w:val="22"/>
                <w:lang w:eastAsia="en-US"/>
              </w:rPr>
            </w:pPr>
            <w:r w:rsidRPr="003A4656">
              <w:rPr>
                <w:sz w:val="22"/>
                <w:szCs w:val="22"/>
                <w:lang w:eastAsia="en-US"/>
              </w:rPr>
              <w:t>L22S</w:t>
            </w:r>
          </w:p>
        </w:tc>
      </w:tr>
      <w:tr w:rsidR="00F04166" w:rsidRPr="003A4656" w:rsidTr="005541BC">
        <w:trPr>
          <w:trHeight w:val="300"/>
          <w:jc w:val="center"/>
        </w:trPr>
        <w:tc>
          <w:tcPr>
            <w:cnfStyle w:val="001000000000"/>
            <w:tcW w:w="960" w:type="dxa"/>
            <w:noWrap/>
            <w:hideMark/>
          </w:tcPr>
          <w:p w:rsidR="00F04166" w:rsidRPr="003A4656" w:rsidRDefault="00F04166" w:rsidP="00AD5CA2">
            <w:pPr>
              <w:spacing w:line="276" w:lineRule="auto"/>
              <w:ind w:right="0"/>
              <w:rPr>
                <w:sz w:val="22"/>
                <w:szCs w:val="22"/>
                <w:lang w:eastAsia="en-US"/>
              </w:rPr>
            </w:pPr>
            <w:r w:rsidRPr="003A4656">
              <w:rPr>
                <w:sz w:val="22"/>
                <w:szCs w:val="22"/>
                <w:lang w:eastAsia="en-US"/>
              </w:rPr>
              <w:t>BRCA1</w:t>
            </w:r>
          </w:p>
        </w:tc>
        <w:tc>
          <w:tcPr>
            <w:tcW w:w="1200" w:type="dxa"/>
            <w:noWrap/>
            <w:hideMark/>
          </w:tcPr>
          <w:p w:rsidR="00F04166" w:rsidRPr="003A4656" w:rsidRDefault="00F04166" w:rsidP="00AD5CA2">
            <w:pPr>
              <w:spacing w:line="276" w:lineRule="auto"/>
              <w:ind w:right="0"/>
              <w:cnfStyle w:val="000000000000"/>
              <w:rPr>
                <w:sz w:val="22"/>
                <w:szCs w:val="22"/>
                <w:lang w:eastAsia="en-US"/>
              </w:rPr>
            </w:pPr>
            <w:r w:rsidRPr="003A4656">
              <w:rPr>
                <w:sz w:val="22"/>
                <w:szCs w:val="22"/>
                <w:lang w:eastAsia="en-US"/>
              </w:rPr>
              <w:t>11</w:t>
            </w:r>
          </w:p>
        </w:tc>
        <w:tc>
          <w:tcPr>
            <w:tcW w:w="2562" w:type="dxa"/>
            <w:noWrap/>
            <w:hideMark/>
          </w:tcPr>
          <w:p w:rsidR="00F04166" w:rsidRPr="003A4656" w:rsidRDefault="00866007" w:rsidP="00AD5CA2">
            <w:pPr>
              <w:spacing w:line="276" w:lineRule="auto"/>
              <w:ind w:right="0"/>
              <w:cnfStyle w:val="000000000000"/>
              <w:rPr>
                <w:color w:val="000000"/>
                <w:sz w:val="22"/>
                <w:szCs w:val="22"/>
                <w:lang w:eastAsia="en-US"/>
              </w:rPr>
            </w:pPr>
            <w:r w:rsidRPr="003A4656">
              <w:rPr>
                <w:sz w:val="22"/>
                <w:szCs w:val="22"/>
              </w:rPr>
              <w:t>1479delAG</w:t>
            </w:r>
          </w:p>
        </w:tc>
        <w:tc>
          <w:tcPr>
            <w:tcW w:w="2190" w:type="dxa"/>
            <w:gridSpan w:val="2"/>
            <w:noWrap/>
            <w:hideMark/>
          </w:tcPr>
          <w:p w:rsidR="00F04166" w:rsidRPr="003A4656" w:rsidRDefault="00F275AA" w:rsidP="00AD5CA2">
            <w:pPr>
              <w:spacing w:line="276" w:lineRule="auto"/>
              <w:ind w:right="0"/>
              <w:cnfStyle w:val="000000000000"/>
              <w:rPr>
                <w:color w:val="000000"/>
                <w:sz w:val="22"/>
                <w:szCs w:val="22"/>
                <w:lang w:eastAsia="en-US"/>
              </w:rPr>
            </w:pPr>
            <w:r w:rsidRPr="003A4656">
              <w:rPr>
                <w:sz w:val="22"/>
                <w:szCs w:val="22"/>
                <w:lang w:eastAsia="en-US"/>
              </w:rPr>
              <w:t>p.S454</w:t>
            </w:r>
            <w:r w:rsidR="00F04166" w:rsidRPr="003A4656">
              <w:rPr>
                <w:sz w:val="22"/>
                <w:szCs w:val="22"/>
                <w:lang w:eastAsia="en-US"/>
              </w:rPr>
              <w:t>fs</w:t>
            </w:r>
          </w:p>
        </w:tc>
      </w:tr>
      <w:tr w:rsidR="00F04166" w:rsidRPr="003A4656" w:rsidTr="005541BC">
        <w:trPr>
          <w:cnfStyle w:val="000000100000"/>
          <w:trHeight w:val="300"/>
          <w:jc w:val="center"/>
        </w:trPr>
        <w:tc>
          <w:tcPr>
            <w:cnfStyle w:val="001000000000"/>
            <w:tcW w:w="960" w:type="dxa"/>
            <w:noWrap/>
            <w:hideMark/>
          </w:tcPr>
          <w:p w:rsidR="00F04166" w:rsidRPr="003A4656" w:rsidRDefault="00F04166" w:rsidP="00AD5CA2">
            <w:pPr>
              <w:spacing w:line="276" w:lineRule="auto"/>
              <w:ind w:right="0"/>
              <w:rPr>
                <w:sz w:val="22"/>
                <w:szCs w:val="22"/>
                <w:lang w:eastAsia="en-US"/>
              </w:rPr>
            </w:pPr>
            <w:r w:rsidRPr="003A4656">
              <w:rPr>
                <w:sz w:val="22"/>
                <w:szCs w:val="22"/>
                <w:lang w:eastAsia="en-US"/>
              </w:rPr>
              <w:t>BRCA1</w:t>
            </w:r>
          </w:p>
        </w:tc>
        <w:tc>
          <w:tcPr>
            <w:tcW w:w="1200" w:type="dxa"/>
            <w:noWrap/>
            <w:hideMark/>
          </w:tcPr>
          <w:p w:rsidR="00F04166" w:rsidRPr="003A4656" w:rsidRDefault="00F04166" w:rsidP="00AD5CA2">
            <w:pPr>
              <w:spacing w:line="276" w:lineRule="auto"/>
              <w:ind w:right="0"/>
              <w:cnfStyle w:val="000000100000"/>
              <w:rPr>
                <w:sz w:val="22"/>
                <w:szCs w:val="22"/>
                <w:lang w:eastAsia="en-US"/>
              </w:rPr>
            </w:pPr>
            <w:r w:rsidRPr="003A4656">
              <w:rPr>
                <w:sz w:val="22"/>
                <w:szCs w:val="22"/>
                <w:lang w:eastAsia="en-US"/>
              </w:rPr>
              <w:t>16</w:t>
            </w:r>
          </w:p>
        </w:tc>
        <w:tc>
          <w:tcPr>
            <w:tcW w:w="2562" w:type="dxa"/>
            <w:noWrap/>
            <w:hideMark/>
          </w:tcPr>
          <w:p w:rsidR="00F04166" w:rsidRPr="003A4656" w:rsidRDefault="00866007" w:rsidP="00AD5CA2">
            <w:pPr>
              <w:spacing w:line="276" w:lineRule="auto"/>
              <w:ind w:right="0"/>
              <w:cnfStyle w:val="000000100000"/>
              <w:rPr>
                <w:color w:val="000000"/>
                <w:sz w:val="22"/>
                <w:szCs w:val="22"/>
                <w:lang w:eastAsia="en-US"/>
              </w:rPr>
            </w:pPr>
            <w:r w:rsidRPr="003A4656">
              <w:rPr>
                <w:sz w:val="22"/>
                <w:szCs w:val="22"/>
              </w:rPr>
              <w:t>4843delC</w:t>
            </w:r>
          </w:p>
        </w:tc>
        <w:tc>
          <w:tcPr>
            <w:tcW w:w="2190" w:type="dxa"/>
            <w:gridSpan w:val="2"/>
            <w:noWrap/>
            <w:hideMark/>
          </w:tcPr>
          <w:p w:rsidR="00F04166" w:rsidRPr="003A4656" w:rsidRDefault="00C83F64" w:rsidP="00AD5CA2">
            <w:pPr>
              <w:spacing w:line="276" w:lineRule="auto"/>
              <w:ind w:right="0"/>
              <w:cnfStyle w:val="000000100000"/>
              <w:rPr>
                <w:sz w:val="22"/>
                <w:szCs w:val="22"/>
                <w:lang w:eastAsia="en-US"/>
              </w:rPr>
            </w:pPr>
            <w:r w:rsidRPr="003A4656">
              <w:rPr>
                <w:sz w:val="22"/>
                <w:szCs w:val="22"/>
                <w:lang w:eastAsia="en-US"/>
              </w:rPr>
              <w:t>p.P1575fs</w:t>
            </w:r>
          </w:p>
        </w:tc>
      </w:tr>
      <w:tr w:rsidR="00F04166" w:rsidRPr="003A4656" w:rsidTr="005541BC">
        <w:trPr>
          <w:trHeight w:val="300"/>
          <w:jc w:val="center"/>
        </w:trPr>
        <w:tc>
          <w:tcPr>
            <w:cnfStyle w:val="001000000000"/>
            <w:tcW w:w="960" w:type="dxa"/>
            <w:noWrap/>
            <w:hideMark/>
          </w:tcPr>
          <w:p w:rsidR="00F04166" w:rsidRPr="003A4656" w:rsidRDefault="00F04166" w:rsidP="00AD5CA2">
            <w:pPr>
              <w:spacing w:line="276" w:lineRule="auto"/>
              <w:ind w:right="0"/>
              <w:rPr>
                <w:sz w:val="22"/>
                <w:szCs w:val="22"/>
                <w:lang w:eastAsia="en-US"/>
              </w:rPr>
            </w:pPr>
            <w:r w:rsidRPr="003A4656">
              <w:rPr>
                <w:sz w:val="22"/>
                <w:szCs w:val="22"/>
                <w:lang w:eastAsia="en-US"/>
              </w:rPr>
              <w:t>BRCA2</w:t>
            </w:r>
          </w:p>
        </w:tc>
        <w:tc>
          <w:tcPr>
            <w:tcW w:w="1200" w:type="dxa"/>
            <w:noWrap/>
            <w:hideMark/>
          </w:tcPr>
          <w:p w:rsidR="00F04166" w:rsidRPr="003A4656" w:rsidRDefault="00F04166" w:rsidP="00AD5CA2">
            <w:pPr>
              <w:spacing w:line="276" w:lineRule="auto"/>
              <w:ind w:right="0"/>
              <w:cnfStyle w:val="000000000000"/>
              <w:rPr>
                <w:sz w:val="22"/>
                <w:szCs w:val="22"/>
                <w:lang w:eastAsia="en-US"/>
              </w:rPr>
            </w:pPr>
            <w:r w:rsidRPr="003A4656">
              <w:rPr>
                <w:sz w:val="22"/>
                <w:szCs w:val="22"/>
                <w:lang w:eastAsia="en-US"/>
              </w:rPr>
              <w:t>11</w:t>
            </w:r>
          </w:p>
        </w:tc>
        <w:tc>
          <w:tcPr>
            <w:tcW w:w="2562" w:type="dxa"/>
            <w:noWrap/>
            <w:hideMark/>
          </w:tcPr>
          <w:p w:rsidR="00F04166" w:rsidRPr="003A4656" w:rsidRDefault="00866007" w:rsidP="00AD5CA2">
            <w:pPr>
              <w:spacing w:line="276" w:lineRule="auto"/>
              <w:ind w:right="0"/>
              <w:cnfStyle w:val="000000000000"/>
              <w:rPr>
                <w:color w:val="000000"/>
                <w:sz w:val="22"/>
                <w:szCs w:val="22"/>
                <w:lang w:eastAsia="en-US"/>
              </w:rPr>
            </w:pPr>
            <w:r w:rsidRPr="003A4656">
              <w:rPr>
                <w:sz w:val="22"/>
                <w:szCs w:val="22"/>
              </w:rPr>
              <w:t>6310del5</w:t>
            </w:r>
          </w:p>
        </w:tc>
        <w:tc>
          <w:tcPr>
            <w:tcW w:w="2190" w:type="dxa"/>
            <w:gridSpan w:val="2"/>
            <w:noWrap/>
            <w:hideMark/>
          </w:tcPr>
          <w:p w:rsidR="00F04166" w:rsidRPr="003A4656" w:rsidRDefault="00F275AA" w:rsidP="00AD5CA2">
            <w:pPr>
              <w:spacing w:line="276" w:lineRule="auto"/>
              <w:ind w:right="0"/>
              <w:cnfStyle w:val="000000000000"/>
              <w:rPr>
                <w:sz w:val="22"/>
                <w:szCs w:val="22"/>
                <w:lang w:eastAsia="en-US"/>
              </w:rPr>
            </w:pPr>
            <w:r w:rsidRPr="003A4656">
              <w:rPr>
                <w:sz w:val="22"/>
                <w:szCs w:val="22"/>
                <w:lang w:eastAsia="en-US"/>
              </w:rPr>
              <w:t>p.E</w:t>
            </w:r>
            <w:r w:rsidR="00F04166" w:rsidRPr="003A4656">
              <w:rPr>
                <w:sz w:val="22"/>
                <w:szCs w:val="22"/>
                <w:lang w:eastAsia="en-US"/>
              </w:rPr>
              <w:t>2028</w:t>
            </w:r>
            <w:r w:rsidRPr="003A4656">
              <w:rPr>
                <w:sz w:val="22"/>
                <w:szCs w:val="22"/>
                <w:lang w:eastAsia="en-US"/>
              </w:rPr>
              <w:t>fs</w:t>
            </w:r>
          </w:p>
        </w:tc>
      </w:tr>
    </w:tbl>
    <w:p w:rsidR="00A80B72" w:rsidRPr="003A4656" w:rsidRDefault="00A80B72" w:rsidP="00AD5CA2">
      <w:pPr>
        <w:ind w:right="0"/>
        <w:rPr>
          <w:sz w:val="22"/>
          <w:szCs w:val="22"/>
        </w:rPr>
      </w:pPr>
    </w:p>
    <w:p w:rsidR="00C941EF" w:rsidRPr="003A4656" w:rsidRDefault="006561DE" w:rsidP="00AD5CA2">
      <w:pPr>
        <w:pStyle w:val="ListParagraph"/>
        <w:ind w:right="0"/>
        <w:jc w:val="both"/>
        <w:rPr>
          <w:rFonts w:ascii="Times New Roman" w:hAnsi="Times New Roman"/>
          <w:b/>
          <w:lang w:val="en-GB"/>
        </w:rPr>
      </w:pPr>
      <w:r w:rsidRPr="003A4656">
        <w:rPr>
          <w:rFonts w:ascii="Times New Roman" w:hAnsi="Times New Roman"/>
          <w:b/>
          <w:lang w:val="en-GB"/>
        </w:rPr>
        <w:t xml:space="preserve">1.3 </w:t>
      </w:r>
      <w:r w:rsidR="00C941EF" w:rsidRPr="003A4656">
        <w:rPr>
          <w:rFonts w:ascii="Times New Roman" w:hAnsi="Times New Roman"/>
          <w:b/>
          <w:lang w:val="en-GB"/>
        </w:rPr>
        <w:t>U</w:t>
      </w:r>
      <w:r w:rsidR="00DB089A" w:rsidRPr="003A4656">
        <w:rPr>
          <w:rFonts w:ascii="Times New Roman" w:hAnsi="Times New Roman"/>
          <w:b/>
          <w:lang w:val="en-GB"/>
        </w:rPr>
        <w:t>nclassified</w:t>
      </w:r>
      <w:r w:rsidR="00C941EF" w:rsidRPr="003A4656">
        <w:rPr>
          <w:rFonts w:ascii="Times New Roman" w:hAnsi="Times New Roman"/>
          <w:b/>
          <w:lang w:val="en-GB"/>
        </w:rPr>
        <w:t xml:space="preserve"> </w:t>
      </w:r>
      <w:r w:rsidR="006C3488" w:rsidRPr="003A4656">
        <w:rPr>
          <w:rFonts w:ascii="Times New Roman" w:hAnsi="Times New Roman"/>
          <w:b/>
          <w:lang w:val="en-GB"/>
        </w:rPr>
        <w:t>genetic</w:t>
      </w:r>
      <w:r w:rsidR="00DB089A" w:rsidRPr="003A4656">
        <w:rPr>
          <w:rFonts w:ascii="Times New Roman" w:hAnsi="Times New Roman"/>
          <w:b/>
          <w:lang w:val="en-GB"/>
        </w:rPr>
        <w:t xml:space="preserve"> </w:t>
      </w:r>
      <w:r w:rsidR="00C941EF" w:rsidRPr="003A4656">
        <w:rPr>
          <w:rFonts w:ascii="Times New Roman" w:hAnsi="Times New Roman"/>
          <w:b/>
          <w:lang w:val="en-GB"/>
        </w:rPr>
        <w:t>variant</w:t>
      </w:r>
      <w:r w:rsidR="00A80B72" w:rsidRPr="003A4656">
        <w:rPr>
          <w:rFonts w:ascii="Times New Roman" w:hAnsi="Times New Roman"/>
          <w:b/>
          <w:lang w:val="en-GB"/>
        </w:rPr>
        <w:t>s</w:t>
      </w:r>
    </w:p>
    <w:p w:rsidR="00C941EF" w:rsidRPr="003A4656" w:rsidRDefault="004B5E85" w:rsidP="00AD5CA2">
      <w:pPr>
        <w:ind w:left="0" w:right="0"/>
        <w:rPr>
          <w:sz w:val="22"/>
          <w:szCs w:val="22"/>
        </w:rPr>
      </w:pPr>
      <w:r>
        <w:rPr>
          <w:sz w:val="22"/>
          <w:szCs w:val="22"/>
        </w:rPr>
        <w:t>Four u</w:t>
      </w:r>
      <w:r w:rsidR="00045144" w:rsidRPr="003A4656">
        <w:rPr>
          <w:sz w:val="22"/>
          <w:szCs w:val="22"/>
        </w:rPr>
        <w:t>nclassified</w:t>
      </w:r>
      <w:r w:rsidR="00C941EF" w:rsidRPr="003A4656">
        <w:rPr>
          <w:sz w:val="22"/>
          <w:szCs w:val="22"/>
        </w:rPr>
        <w:t xml:space="preserve"> </w:t>
      </w:r>
      <w:r w:rsidR="00C83F64" w:rsidRPr="003A4656">
        <w:rPr>
          <w:sz w:val="22"/>
          <w:szCs w:val="22"/>
        </w:rPr>
        <w:t>genetic</w:t>
      </w:r>
      <w:r w:rsidR="00C941EF" w:rsidRPr="003A4656">
        <w:rPr>
          <w:sz w:val="22"/>
          <w:szCs w:val="22"/>
        </w:rPr>
        <w:t xml:space="preserve"> variants (BRCA1 A521T, V740L; BRCA2 A22T, </w:t>
      </w:r>
      <w:r w:rsidR="00A80B72" w:rsidRPr="003A4656">
        <w:rPr>
          <w:sz w:val="22"/>
          <w:szCs w:val="22"/>
        </w:rPr>
        <w:t>D</w:t>
      </w:r>
      <w:r w:rsidR="00C941EF" w:rsidRPr="003A4656">
        <w:rPr>
          <w:sz w:val="22"/>
          <w:szCs w:val="22"/>
        </w:rPr>
        <w:t>2466V) were identified in our cohort. All carriers showed only a personal history of early</w:t>
      </w:r>
      <w:r w:rsidR="00A80B72" w:rsidRPr="003A4656">
        <w:rPr>
          <w:sz w:val="22"/>
          <w:szCs w:val="22"/>
        </w:rPr>
        <w:t xml:space="preserve">-onset or of male breast cancer (Table </w:t>
      </w:r>
      <w:r w:rsidR="00FF6C2F">
        <w:rPr>
          <w:sz w:val="22"/>
          <w:szCs w:val="22"/>
        </w:rPr>
        <w:t>6</w:t>
      </w:r>
      <w:r w:rsidR="00A80B72" w:rsidRPr="003A4656">
        <w:rPr>
          <w:sz w:val="22"/>
          <w:szCs w:val="22"/>
        </w:rPr>
        <w:t>).</w:t>
      </w:r>
    </w:p>
    <w:p w:rsidR="004B34A9" w:rsidRPr="003A4656" w:rsidRDefault="004B34A9" w:rsidP="00AD5CA2">
      <w:pPr>
        <w:ind w:right="0"/>
        <w:rPr>
          <w:sz w:val="22"/>
          <w:szCs w:val="22"/>
        </w:rPr>
      </w:pPr>
    </w:p>
    <w:p w:rsidR="004B34A9" w:rsidRPr="003A4656" w:rsidRDefault="004B34A9" w:rsidP="00AD5CA2">
      <w:pPr>
        <w:ind w:right="0"/>
        <w:rPr>
          <w:sz w:val="22"/>
          <w:szCs w:val="22"/>
        </w:rPr>
      </w:pPr>
    </w:p>
    <w:p w:rsidR="004B34A9" w:rsidRPr="003A4656" w:rsidRDefault="004B34A9" w:rsidP="00AD5CA2">
      <w:pPr>
        <w:ind w:right="0"/>
        <w:rPr>
          <w:sz w:val="22"/>
          <w:szCs w:val="22"/>
        </w:rPr>
      </w:pPr>
    </w:p>
    <w:p w:rsidR="00DA0174" w:rsidRPr="003A4656" w:rsidRDefault="00DA0174" w:rsidP="00AD5CA2">
      <w:pPr>
        <w:ind w:right="0"/>
        <w:jc w:val="center"/>
        <w:rPr>
          <w:sz w:val="22"/>
          <w:szCs w:val="22"/>
        </w:rPr>
      </w:pPr>
      <w:proofErr w:type="gramStart"/>
      <w:r w:rsidRPr="003A4656">
        <w:rPr>
          <w:sz w:val="22"/>
          <w:szCs w:val="22"/>
        </w:rPr>
        <w:t xml:space="preserve">Table </w:t>
      </w:r>
      <w:r w:rsidR="00FF6C2F">
        <w:rPr>
          <w:sz w:val="22"/>
          <w:szCs w:val="22"/>
        </w:rPr>
        <w:t>6</w:t>
      </w:r>
      <w:r w:rsidRPr="003A4656">
        <w:rPr>
          <w:sz w:val="22"/>
          <w:szCs w:val="22"/>
        </w:rPr>
        <w:t>.</w:t>
      </w:r>
      <w:proofErr w:type="gramEnd"/>
      <w:r w:rsidRPr="003A4656">
        <w:rPr>
          <w:sz w:val="22"/>
          <w:szCs w:val="22"/>
        </w:rPr>
        <w:t xml:space="preserve">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w:t>
      </w:r>
      <w:r w:rsidR="004B5E85">
        <w:rPr>
          <w:sz w:val="22"/>
          <w:szCs w:val="22"/>
        </w:rPr>
        <w:t xml:space="preserve">UVs </w:t>
      </w:r>
    </w:p>
    <w:tbl>
      <w:tblPr>
        <w:tblStyle w:val="Sfondochiaro1"/>
        <w:tblW w:w="6720" w:type="dxa"/>
        <w:jc w:val="center"/>
        <w:tblLook w:val="04A0"/>
      </w:tblPr>
      <w:tblGrid>
        <w:gridCol w:w="1310"/>
        <w:gridCol w:w="1340"/>
        <w:gridCol w:w="2300"/>
        <w:gridCol w:w="2120"/>
      </w:tblGrid>
      <w:tr w:rsidR="00DA0174" w:rsidRPr="003A4656" w:rsidTr="00866007">
        <w:trPr>
          <w:cnfStyle w:val="1000000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Gene</w:t>
            </w:r>
          </w:p>
        </w:tc>
        <w:tc>
          <w:tcPr>
            <w:tcW w:w="1340" w:type="dxa"/>
            <w:noWrap/>
            <w:hideMark/>
          </w:tcPr>
          <w:p w:rsidR="00DA0174" w:rsidRPr="003A4656" w:rsidRDefault="00DA0174" w:rsidP="00AD5CA2">
            <w:pPr>
              <w:spacing w:line="276" w:lineRule="auto"/>
              <w:ind w:right="0"/>
              <w:cnfStyle w:val="100000000000"/>
              <w:rPr>
                <w:sz w:val="22"/>
                <w:szCs w:val="22"/>
                <w:lang w:eastAsia="en-US"/>
              </w:rPr>
            </w:pPr>
            <w:r w:rsidRPr="003A4656">
              <w:rPr>
                <w:sz w:val="22"/>
                <w:szCs w:val="22"/>
                <w:lang w:eastAsia="en-US"/>
              </w:rPr>
              <w:t>Exon</w:t>
            </w:r>
          </w:p>
        </w:tc>
        <w:tc>
          <w:tcPr>
            <w:tcW w:w="2300" w:type="dxa"/>
            <w:noWrap/>
            <w:hideMark/>
          </w:tcPr>
          <w:p w:rsidR="00DA0174" w:rsidRPr="003A4656" w:rsidRDefault="00DA0174" w:rsidP="00AD5CA2">
            <w:pPr>
              <w:spacing w:line="276" w:lineRule="auto"/>
              <w:ind w:right="0"/>
              <w:cnfStyle w:val="100000000000"/>
              <w:rPr>
                <w:sz w:val="22"/>
                <w:szCs w:val="22"/>
                <w:lang w:eastAsia="en-US"/>
              </w:rPr>
            </w:pPr>
            <w:r w:rsidRPr="003A4656">
              <w:rPr>
                <w:sz w:val="22"/>
                <w:szCs w:val="22"/>
                <w:lang w:eastAsia="en-US"/>
              </w:rPr>
              <w:t>Mutation</w:t>
            </w:r>
          </w:p>
        </w:tc>
        <w:tc>
          <w:tcPr>
            <w:tcW w:w="2120" w:type="dxa"/>
            <w:noWrap/>
            <w:hideMark/>
          </w:tcPr>
          <w:p w:rsidR="00DA0174" w:rsidRPr="003A4656" w:rsidRDefault="00DA0174" w:rsidP="00AD5CA2">
            <w:pPr>
              <w:spacing w:line="276" w:lineRule="auto"/>
              <w:ind w:right="0"/>
              <w:cnfStyle w:val="100000000000"/>
              <w:rPr>
                <w:sz w:val="22"/>
                <w:szCs w:val="22"/>
                <w:lang w:eastAsia="en-US"/>
              </w:rPr>
            </w:pPr>
            <w:r w:rsidRPr="003A4656">
              <w:rPr>
                <w:sz w:val="22"/>
                <w:szCs w:val="22"/>
                <w:lang w:eastAsia="en-US"/>
              </w:rPr>
              <w:t>Protein change</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11</w:t>
            </w:r>
          </w:p>
        </w:tc>
        <w:tc>
          <w:tcPr>
            <w:tcW w:w="2300" w:type="dxa"/>
            <w:noWrap/>
            <w:hideMark/>
          </w:tcPr>
          <w:p w:rsidR="00DA0174" w:rsidRPr="003A4656" w:rsidRDefault="00A859E8" w:rsidP="00AD5CA2">
            <w:pPr>
              <w:spacing w:line="276" w:lineRule="auto"/>
              <w:ind w:right="0"/>
              <w:cnfStyle w:val="000000100000"/>
              <w:rPr>
                <w:sz w:val="22"/>
                <w:szCs w:val="22"/>
                <w:lang w:eastAsia="en-US"/>
              </w:rPr>
            </w:pPr>
            <w:r w:rsidRPr="003A4656">
              <w:rPr>
                <w:sz w:val="22"/>
                <w:szCs w:val="22"/>
                <w:lang w:eastAsia="en-US"/>
              </w:rPr>
              <w:t>1680G&gt;</w:t>
            </w:r>
            <w:r w:rsidR="00FB627D" w:rsidRPr="003A4656">
              <w:rPr>
                <w:sz w:val="22"/>
                <w:szCs w:val="22"/>
                <w:lang w:eastAsia="en-US"/>
              </w:rPr>
              <w:t>A</w:t>
            </w:r>
          </w:p>
        </w:tc>
        <w:tc>
          <w:tcPr>
            <w:tcW w:w="2120" w:type="dxa"/>
            <w:noWrap/>
            <w:hideMark/>
          </w:tcPr>
          <w:p w:rsidR="00DA0174" w:rsidRPr="003A4656" w:rsidRDefault="00A859E8" w:rsidP="00AD5CA2">
            <w:pPr>
              <w:spacing w:line="276" w:lineRule="auto"/>
              <w:ind w:right="0"/>
              <w:cnfStyle w:val="000000100000"/>
              <w:rPr>
                <w:sz w:val="22"/>
                <w:szCs w:val="22"/>
                <w:lang w:eastAsia="en-US"/>
              </w:rPr>
            </w:pPr>
            <w:r w:rsidRPr="003A4656">
              <w:rPr>
                <w:sz w:val="22"/>
                <w:szCs w:val="22"/>
                <w:lang w:eastAsia="en-US"/>
              </w:rPr>
              <w:t>A521T</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11</w:t>
            </w:r>
          </w:p>
        </w:tc>
        <w:tc>
          <w:tcPr>
            <w:tcW w:w="2300" w:type="dxa"/>
            <w:noWrap/>
            <w:hideMark/>
          </w:tcPr>
          <w:p w:rsidR="00DA0174" w:rsidRPr="003A4656" w:rsidRDefault="00A859E8" w:rsidP="00AD5CA2">
            <w:pPr>
              <w:spacing w:line="276" w:lineRule="auto"/>
              <w:ind w:right="0"/>
              <w:cnfStyle w:val="000000000000"/>
              <w:rPr>
                <w:sz w:val="22"/>
                <w:szCs w:val="22"/>
                <w:lang w:eastAsia="en-US"/>
              </w:rPr>
            </w:pPr>
            <w:r w:rsidRPr="003A4656">
              <w:rPr>
                <w:sz w:val="22"/>
                <w:szCs w:val="22"/>
                <w:lang w:eastAsia="en-US"/>
              </w:rPr>
              <w:t>2337</w:t>
            </w:r>
            <w:r w:rsidR="00DA0174" w:rsidRPr="003A4656">
              <w:rPr>
                <w:sz w:val="22"/>
                <w:szCs w:val="22"/>
                <w:lang w:eastAsia="en-US"/>
              </w:rPr>
              <w:t>G&gt;C</w:t>
            </w:r>
          </w:p>
        </w:tc>
        <w:tc>
          <w:tcPr>
            <w:tcW w:w="2120" w:type="dxa"/>
            <w:noWrap/>
            <w:hideMark/>
          </w:tcPr>
          <w:p w:rsidR="00DA0174" w:rsidRPr="003A4656" w:rsidRDefault="00DA0174" w:rsidP="00AD5CA2">
            <w:pPr>
              <w:spacing w:line="276" w:lineRule="auto"/>
              <w:ind w:right="0"/>
              <w:cnfStyle w:val="000000000000"/>
              <w:rPr>
                <w:color w:val="000000"/>
                <w:sz w:val="22"/>
                <w:szCs w:val="22"/>
                <w:lang w:eastAsia="en-US"/>
              </w:rPr>
            </w:pPr>
            <w:r w:rsidRPr="003A4656">
              <w:rPr>
                <w:sz w:val="22"/>
                <w:szCs w:val="22"/>
              </w:rPr>
              <w:t>V740L</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BRCA2</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2</w:t>
            </w:r>
          </w:p>
        </w:tc>
        <w:tc>
          <w:tcPr>
            <w:tcW w:w="2300" w:type="dxa"/>
            <w:noWrap/>
            <w:hideMark/>
          </w:tcPr>
          <w:p w:rsidR="00DA0174" w:rsidRPr="003A4656" w:rsidRDefault="0037592E" w:rsidP="00AD5CA2">
            <w:pPr>
              <w:spacing w:line="276" w:lineRule="auto"/>
              <w:ind w:right="0"/>
              <w:cnfStyle w:val="000000100000"/>
              <w:rPr>
                <w:sz w:val="22"/>
                <w:szCs w:val="22"/>
                <w:lang w:eastAsia="en-US"/>
              </w:rPr>
            </w:pPr>
            <w:r w:rsidRPr="003A4656">
              <w:rPr>
                <w:sz w:val="22"/>
                <w:szCs w:val="22"/>
                <w:lang w:eastAsia="en-US"/>
              </w:rPr>
              <w:t>459T&gt;C</w:t>
            </w:r>
          </w:p>
        </w:tc>
        <w:tc>
          <w:tcPr>
            <w:tcW w:w="2120" w:type="dxa"/>
            <w:noWrap/>
            <w:hideMark/>
          </w:tcPr>
          <w:p w:rsidR="00DA0174" w:rsidRPr="003A4656" w:rsidRDefault="00AA1664" w:rsidP="00AD5CA2">
            <w:pPr>
              <w:spacing w:line="276" w:lineRule="auto"/>
              <w:ind w:right="0"/>
              <w:cnfStyle w:val="000000100000"/>
              <w:rPr>
                <w:sz w:val="22"/>
                <w:szCs w:val="22"/>
                <w:lang w:eastAsia="en-US"/>
              </w:rPr>
            </w:pPr>
            <w:r w:rsidRPr="003A4656">
              <w:rPr>
                <w:sz w:val="22"/>
                <w:szCs w:val="22"/>
                <w:lang w:eastAsia="en-US"/>
              </w:rPr>
              <w:t>A22T</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BRCA2</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17</w:t>
            </w:r>
          </w:p>
        </w:tc>
        <w:tc>
          <w:tcPr>
            <w:tcW w:w="2300" w:type="dxa"/>
            <w:noWrap/>
            <w:hideMark/>
          </w:tcPr>
          <w:p w:rsidR="00DA0174" w:rsidRPr="003A4656" w:rsidRDefault="00FB627D" w:rsidP="00AD5CA2">
            <w:pPr>
              <w:spacing w:line="276" w:lineRule="auto"/>
              <w:ind w:right="0"/>
              <w:cnfStyle w:val="000000000000"/>
              <w:rPr>
                <w:sz w:val="22"/>
                <w:szCs w:val="22"/>
                <w:lang w:eastAsia="en-US"/>
              </w:rPr>
            </w:pPr>
            <w:r w:rsidRPr="003A4656">
              <w:rPr>
                <w:sz w:val="22"/>
                <w:szCs w:val="22"/>
                <w:lang w:eastAsia="en-US"/>
              </w:rPr>
              <w:t>8</w:t>
            </w:r>
            <w:r w:rsidR="00AA1664" w:rsidRPr="003A4656">
              <w:rPr>
                <w:sz w:val="22"/>
                <w:szCs w:val="22"/>
                <w:lang w:eastAsia="en-US"/>
              </w:rPr>
              <w:t>159</w:t>
            </w:r>
            <w:r w:rsidR="00DA0174" w:rsidRPr="003A4656">
              <w:rPr>
                <w:sz w:val="22"/>
                <w:szCs w:val="22"/>
                <w:lang w:eastAsia="en-US"/>
              </w:rPr>
              <w:t>A&gt;G</w:t>
            </w:r>
          </w:p>
        </w:tc>
        <w:tc>
          <w:tcPr>
            <w:tcW w:w="2120" w:type="dxa"/>
            <w:noWrap/>
            <w:hideMark/>
          </w:tcPr>
          <w:p w:rsidR="00DA0174" w:rsidRPr="003A4656" w:rsidRDefault="00AA1664" w:rsidP="00AD5CA2">
            <w:pPr>
              <w:spacing w:line="276" w:lineRule="auto"/>
              <w:ind w:right="0"/>
              <w:cnfStyle w:val="000000000000"/>
              <w:rPr>
                <w:sz w:val="22"/>
                <w:szCs w:val="22"/>
                <w:lang w:eastAsia="en-US"/>
              </w:rPr>
            </w:pPr>
            <w:r w:rsidRPr="003A4656">
              <w:rPr>
                <w:sz w:val="22"/>
                <w:szCs w:val="22"/>
                <w:lang w:eastAsia="en-US"/>
              </w:rPr>
              <w:t>D2466V</w:t>
            </w:r>
          </w:p>
        </w:tc>
      </w:tr>
    </w:tbl>
    <w:p w:rsidR="00DA0174" w:rsidRPr="003A4656" w:rsidRDefault="00DA0174" w:rsidP="00AD5CA2">
      <w:pPr>
        <w:ind w:right="0"/>
        <w:rPr>
          <w:sz w:val="22"/>
          <w:szCs w:val="22"/>
        </w:rPr>
      </w:pPr>
    </w:p>
    <w:p w:rsidR="00C941EF" w:rsidRPr="003A4656" w:rsidRDefault="009B1BA3" w:rsidP="00AD5CA2">
      <w:pPr>
        <w:ind w:left="0" w:right="0" w:firstLine="360"/>
        <w:rPr>
          <w:b/>
          <w:sz w:val="22"/>
          <w:szCs w:val="22"/>
        </w:rPr>
      </w:pPr>
      <w:r w:rsidRPr="003A4656">
        <w:rPr>
          <w:b/>
          <w:sz w:val="22"/>
          <w:szCs w:val="22"/>
        </w:rPr>
        <w:t xml:space="preserve">1.4 </w:t>
      </w:r>
      <w:r w:rsidR="00C941EF" w:rsidRPr="003A4656">
        <w:rPr>
          <w:b/>
          <w:sz w:val="22"/>
          <w:szCs w:val="22"/>
        </w:rPr>
        <w:t xml:space="preserve">Polymorphisms </w:t>
      </w:r>
    </w:p>
    <w:p w:rsidR="00C941EF" w:rsidRPr="003A4656" w:rsidRDefault="00C941EF" w:rsidP="00AD5CA2">
      <w:pPr>
        <w:ind w:right="0"/>
        <w:rPr>
          <w:sz w:val="22"/>
          <w:szCs w:val="22"/>
        </w:rPr>
      </w:pPr>
    </w:p>
    <w:p w:rsidR="00C941EF" w:rsidRPr="003A4656" w:rsidRDefault="00971FED" w:rsidP="00971FED">
      <w:pPr>
        <w:ind w:left="0" w:right="0"/>
        <w:rPr>
          <w:sz w:val="22"/>
          <w:szCs w:val="22"/>
        </w:rPr>
      </w:pPr>
      <w:proofErr w:type="gramStart"/>
      <w:r>
        <w:rPr>
          <w:sz w:val="22"/>
          <w:szCs w:val="22"/>
        </w:rPr>
        <w:t>Common  po</w:t>
      </w:r>
      <w:r w:rsidR="00FF6C2F">
        <w:rPr>
          <w:sz w:val="22"/>
          <w:szCs w:val="22"/>
        </w:rPr>
        <w:t>lymorphism</w:t>
      </w:r>
      <w:proofErr w:type="gramEnd"/>
      <w:r w:rsidR="00FF6C2F">
        <w:rPr>
          <w:sz w:val="22"/>
          <w:szCs w:val="22"/>
        </w:rPr>
        <w:t xml:space="preserve"> are listed in Table 7</w:t>
      </w:r>
      <w:r>
        <w:rPr>
          <w:sz w:val="22"/>
          <w:szCs w:val="22"/>
        </w:rPr>
        <w:t xml:space="preserve">. They include six missense chamges in </w:t>
      </w:r>
      <w:r w:rsidRPr="00971FED">
        <w:rPr>
          <w:i/>
          <w:sz w:val="22"/>
          <w:szCs w:val="22"/>
        </w:rPr>
        <w:t xml:space="preserve">BRCA1 </w:t>
      </w:r>
      <w:r>
        <w:rPr>
          <w:sz w:val="22"/>
          <w:szCs w:val="22"/>
        </w:rPr>
        <w:t>(</w:t>
      </w:r>
      <w:r w:rsidRPr="003A4656">
        <w:rPr>
          <w:sz w:val="22"/>
          <w:szCs w:val="22"/>
        </w:rPr>
        <w:t>Y179C, E1038G, S1613G, P871L, K1183R and M1652I</w:t>
      </w:r>
      <w:r>
        <w:rPr>
          <w:sz w:val="22"/>
          <w:szCs w:val="22"/>
        </w:rPr>
        <w:t>)</w:t>
      </w:r>
      <w:r w:rsidRPr="003A4656">
        <w:rPr>
          <w:sz w:val="22"/>
          <w:szCs w:val="22"/>
        </w:rPr>
        <w:t xml:space="preserve"> </w:t>
      </w:r>
      <w:r>
        <w:rPr>
          <w:sz w:val="22"/>
          <w:szCs w:val="22"/>
        </w:rPr>
        <w:t xml:space="preserve">and two in </w:t>
      </w:r>
      <w:r w:rsidRPr="00971FED">
        <w:rPr>
          <w:i/>
          <w:sz w:val="22"/>
          <w:szCs w:val="22"/>
        </w:rPr>
        <w:t>BRCA2</w:t>
      </w:r>
      <w:r>
        <w:rPr>
          <w:sz w:val="22"/>
          <w:szCs w:val="22"/>
        </w:rPr>
        <w:t xml:space="preserve"> (</w:t>
      </w:r>
      <w:r w:rsidRPr="003A4656">
        <w:rPr>
          <w:sz w:val="22"/>
          <w:szCs w:val="22"/>
        </w:rPr>
        <w:t>Y42C and R2034C</w:t>
      </w:r>
      <w:r>
        <w:rPr>
          <w:sz w:val="22"/>
          <w:szCs w:val="22"/>
        </w:rPr>
        <w:t>)</w:t>
      </w:r>
      <w:proofErr w:type="gramStart"/>
      <w:r>
        <w:rPr>
          <w:sz w:val="22"/>
          <w:szCs w:val="22"/>
        </w:rPr>
        <w:t>,  plus</w:t>
      </w:r>
      <w:proofErr w:type="gramEnd"/>
      <w:r>
        <w:rPr>
          <w:sz w:val="22"/>
          <w:szCs w:val="22"/>
        </w:rPr>
        <w:t xml:space="preserve"> two intronic variants</w:t>
      </w:r>
      <w:r w:rsidRPr="003A4656">
        <w:rPr>
          <w:sz w:val="22"/>
          <w:szCs w:val="22"/>
        </w:rPr>
        <w:t xml:space="preserve"> </w:t>
      </w:r>
      <w:r>
        <w:rPr>
          <w:sz w:val="22"/>
          <w:szCs w:val="22"/>
        </w:rPr>
        <w:t>(</w:t>
      </w:r>
      <w:r w:rsidRPr="003A4656">
        <w:rPr>
          <w:sz w:val="22"/>
          <w:szCs w:val="22"/>
        </w:rPr>
        <w:t>IVS7–34 C</w:t>
      </w:r>
      <w:r w:rsidRPr="003A4656">
        <w:rPr>
          <w:i/>
          <w:iCs/>
          <w:sz w:val="22"/>
          <w:szCs w:val="22"/>
        </w:rPr>
        <w:t>&gt;</w:t>
      </w:r>
      <w:r w:rsidRPr="003A4656">
        <w:rPr>
          <w:sz w:val="22"/>
          <w:szCs w:val="22"/>
        </w:rPr>
        <w:t>T indentified in</w:t>
      </w:r>
      <w:r>
        <w:rPr>
          <w:sz w:val="22"/>
          <w:szCs w:val="22"/>
        </w:rPr>
        <w:t xml:space="preserve"> BRCA1 and</w:t>
      </w:r>
      <w:r w:rsidRPr="003A4656">
        <w:rPr>
          <w:sz w:val="22"/>
          <w:szCs w:val="22"/>
        </w:rPr>
        <w:t xml:space="preserve"> IVS24-16 T</w:t>
      </w:r>
      <w:r w:rsidRPr="003A4656">
        <w:rPr>
          <w:iCs/>
          <w:sz w:val="22"/>
          <w:szCs w:val="22"/>
        </w:rPr>
        <w:t>&gt;C</w:t>
      </w:r>
      <w:r w:rsidRPr="003A4656">
        <w:rPr>
          <w:sz w:val="22"/>
          <w:szCs w:val="22"/>
        </w:rPr>
        <w:t xml:space="preserve"> identified in </w:t>
      </w:r>
      <w:r w:rsidRPr="003A4656">
        <w:rPr>
          <w:i/>
          <w:sz w:val="22"/>
          <w:szCs w:val="22"/>
        </w:rPr>
        <w:t>BRCA2</w:t>
      </w:r>
      <w:r w:rsidRPr="00971FED">
        <w:rPr>
          <w:sz w:val="22"/>
          <w:szCs w:val="22"/>
        </w:rPr>
        <w:t>).</w:t>
      </w:r>
      <w:r w:rsidRPr="003A4656">
        <w:rPr>
          <w:sz w:val="22"/>
          <w:szCs w:val="22"/>
        </w:rPr>
        <w:t xml:space="preserve"> </w:t>
      </w:r>
    </w:p>
    <w:p w:rsidR="00C83F64" w:rsidRPr="003A4656" w:rsidRDefault="00C83F64" w:rsidP="00AD5CA2">
      <w:pPr>
        <w:ind w:right="0"/>
        <w:jc w:val="center"/>
        <w:rPr>
          <w:sz w:val="22"/>
          <w:szCs w:val="22"/>
        </w:rPr>
      </w:pPr>
    </w:p>
    <w:p w:rsidR="00DA0174" w:rsidRPr="003A4656" w:rsidRDefault="009B1BA3" w:rsidP="00AD5CA2">
      <w:pPr>
        <w:ind w:right="0"/>
        <w:jc w:val="center"/>
        <w:rPr>
          <w:sz w:val="22"/>
          <w:szCs w:val="22"/>
        </w:rPr>
      </w:pPr>
      <w:proofErr w:type="gramStart"/>
      <w:r w:rsidRPr="003A4656">
        <w:rPr>
          <w:sz w:val="22"/>
          <w:szCs w:val="22"/>
        </w:rPr>
        <w:t xml:space="preserve">Table </w:t>
      </w:r>
      <w:r w:rsidR="00FF6C2F">
        <w:rPr>
          <w:sz w:val="22"/>
          <w:szCs w:val="22"/>
        </w:rPr>
        <w:t>7</w:t>
      </w:r>
      <w:r w:rsidR="00DA0174" w:rsidRPr="003A4656">
        <w:rPr>
          <w:sz w:val="22"/>
          <w:szCs w:val="22"/>
        </w:rPr>
        <w:t>.</w:t>
      </w:r>
      <w:proofErr w:type="gramEnd"/>
      <w:r w:rsidR="00DA0174" w:rsidRPr="003A4656">
        <w:rPr>
          <w:sz w:val="22"/>
          <w:szCs w:val="22"/>
        </w:rPr>
        <w:t xml:space="preserve"> </w:t>
      </w:r>
      <w:r w:rsidR="00DA0174" w:rsidRPr="003A4656">
        <w:rPr>
          <w:i/>
          <w:sz w:val="22"/>
          <w:szCs w:val="22"/>
        </w:rPr>
        <w:t>BRCA1</w:t>
      </w:r>
      <w:r w:rsidR="00DA0174" w:rsidRPr="003A4656">
        <w:rPr>
          <w:sz w:val="22"/>
          <w:szCs w:val="22"/>
        </w:rPr>
        <w:t xml:space="preserve"> and </w:t>
      </w:r>
      <w:r w:rsidR="00DA0174" w:rsidRPr="003A4656">
        <w:rPr>
          <w:i/>
          <w:sz w:val="22"/>
          <w:szCs w:val="22"/>
        </w:rPr>
        <w:t>BRCA2</w:t>
      </w:r>
      <w:r w:rsidR="00DA0174" w:rsidRPr="003A4656">
        <w:rPr>
          <w:sz w:val="22"/>
          <w:szCs w:val="22"/>
        </w:rPr>
        <w:t xml:space="preserve"> polymorphisms</w:t>
      </w:r>
    </w:p>
    <w:tbl>
      <w:tblPr>
        <w:tblStyle w:val="Sfondochiaro1"/>
        <w:tblW w:w="6720" w:type="dxa"/>
        <w:jc w:val="center"/>
        <w:tblLook w:val="04A0"/>
      </w:tblPr>
      <w:tblGrid>
        <w:gridCol w:w="1310"/>
        <w:gridCol w:w="1340"/>
        <w:gridCol w:w="2300"/>
        <w:gridCol w:w="2120"/>
      </w:tblGrid>
      <w:tr w:rsidR="00DA0174" w:rsidRPr="003A4656" w:rsidTr="00866007">
        <w:trPr>
          <w:cnfStyle w:val="1000000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Gene</w:t>
            </w:r>
          </w:p>
        </w:tc>
        <w:tc>
          <w:tcPr>
            <w:tcW w:w="1340" w:type="dxa"/>
            <w:noWrap/>
            <w:hideMark/>
          </w:tcPr>
          <w:p w:rsidR="00DA0174" w:rsidRPr="003A4656" w:rsidRDefault="00DA0174" w:rsidP="00AD5CA2">
            <w:pPr>
              <w:spacing w:line="276" w:lineRule="auto"/>
              <w:ind w:right="0"/>
              <w:cnfStyle w:val="100000000000"/>
              <w:rPr>
                <w:sz w:val="22"/>
                <w:szCs w:val="22"/>
                <w:lang w:eastAsia="en-US"/>
              </w:rPr>
            </w:pPr>
            <w:r w:rsidRPr="003A4656">
              <w:rPr>
                <w:sz w:val="22"/>
                <w:szCs w:val="22"/>
                <w:lang w:eastAsia="en-US"/>
              </w:rPr>
              <w:t>Exon</w:t>
            </w:r>
          </w:p>
        </w:tc>
        <w:tc>
          <w:tcPr>
            <w:tcW w:w="2300" w:type="dxa"/>
            <w:noWrap/>
            <w:hideMark/>
          </w:tcPr>
          <w:p w:rsidR="00DA0174" w:rsidRPr="003A4656" w:rsidRDefault="00DA0174" w:rsidP="00AD5CA2">
            <w:pPr>
              <w:spacing w:line="276" w:lineRule="auto"/>
              <w:ind w:right="0"/>
              <w:cnfStyle w:val="100000000000"/>
              <w:rPr>
                <w:sz w:val="22"/>
                <w:szCs w:val="22"/>
                <w:lang w:eastAsia="en-US"/>
              </w:rPr>
            </w:pPr>
            <w:r w:rsidRPr="003A4656">
              <w:rPr>
                <w:sz w:val="22"/>
                <w:szCs w:val="22"/>
                <w:lang w:eastAsia="en-US"/>
              </w:rPr>
              <w:t>Mutation</w:t>
            </w:r>
          </w:p>
        </w:tc>
        <w:tc>
          <w:tcPr>
            <w:tcW w:w="2120" w:type="dxa"/>
            <w:noWrap/>
            <w:hideMark/>
          </w:tcPr>
          <w:p w:rsidR="00DA0174" w:rsidRPr="003A4656" w:rsidRDefault="00DA0174" w:rsidP="00AD5CA2">
            <w:pPr>
              <w:spacing w:line="276" w:lineRule="auto"/>
              <w:ind w:left="52" w:right="0"/>
              <w:cnfStyle w:val="100000000000"/>
              <w:rPr>
                <w:sz w:val="22"/>
                <w:szCs w:val="22"/>
                <w:lang w:eastAsia="en-US"/>
              </w:rPr>
            </w:pPr>
            <w:r w:rsidRPr="003A4656">
              <w:rPr>
                <w:sz w:val="22"/>
                <w:szCs w:val="22"/>
                <w:lang w:eastAsia="en-US"/>
              </w:rPr>
              <w:t>Protein change</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7</w:t>
            </w:r>
          </w:p>
        </w:tc>
        <w:tc>
          <w:tcPr>
            <w:tcW w:w="2300" w:type="dxa"/>
            <w:noWrap/>
            <w:hideMark/>
          </w:tcPr>
          <w:p w:rsidR="00DA0174" w:rsidRPr="003A4656" w:rsidRDefault="00FB627D" w:rsidP="00AD5CA2">
            <w:pPr>
              <w:spacing w:line="276" w:lineRule="auto"/>
              <w:ind w:right="0"/>
              <w:cnfStyle w:val="000000100000"/>
              <w:rPr>
                <w:color w:val="000000"/>
                <w:sz w:val="22"/>
                <w:szCs w:val="22"/>
                <w:lang w:eastAsia="en-US"/>
              </w:rPr>
            </w:pPr>
            <w:r w:rsidRPr="003A4656">
              <w:rPr>
                <w:sz w:val="22"/>
                <w:szCs w:val="22"/>
              </w:rPr>
              <w:t>561-34</w:t>
            </w:r>
            <w:r w:rsidRPr="003A4656">
              <w:rPr>
                <w:color w:val="000000"/>
                <w:sz w:val="22"/>
                <w:szCs w:val="22"/>
                <w:lang w:eastAsia="en-US"/>
              </w:rPr>
              <w:t xml:space="preserve"> C&gt;T</w:t>
            </w:r>
          </w:p>
        </w:tc>
        <w:tc>
          <w:tcPr>
            <w:tcW w:w="2120" w:type="dxa"/>
            <w:noWrap/>
            <w:hideMark/>
          </w:tcPr>
          <w:p w:rsidR="00DA0174" w:rsidRPr="003A4656" w:rsidRDefault="00AA1664" w:rsidP="00AD5CA2">
            <w:pPr>
              <w:spacing w:line="276" w:lineRule="auto"/>
              <w:ind w:left="52" w:right="0"/>
              <w:cnfStyle w:val="000000100000"/>
              <w:rPr>
                <w:sz w:val="22"/>
                <w:szCs w:val="22"/>
                <w:lang w:eastAsia="en-US"/>
              </w:rPr>
            </w:pPr>
            <w:r w:rsidRPr="003A4656">
              <w:rPr>
                <w:sz w:val="22"/>
                <w:szCs w:val="22"/>
                <w:lang w:eastAsia="en-US"/>
              </w:rPr>
              <w:t>Not applicable</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8</w:t>
            </w:r>
          </w:p>
        </w:tc>
        <w:tc>
          <w:tcPr>
            <w:tcW w:w="2300" w:type="dxa"/>
            <w:noWrap/>
            <w:hideMark/>
          </w:tcPr>
          <w:p w:rsidR="00DA0174" w:rsidRPr="003A4656" w:rsidRDefault="00FB627D" w:rsidP="00AD5CA2">
            <w:pPr>
              <w:spacing w:line="276" w:lineRule="auto"/>
              <w:ind w:right="0"/>
              <w:cnfStyle w:val="000000000000"/>
              <w:rPr>
                <w:sz w:val="22"/>
                <w:szCs w:val="22"/>
                <w:lang w:eastAsia="en-US"/>
              </w:rPr>
            </w:pPr>
            <w:r w:rsidRPr="003A4656">
              <w:rPr>
                <w:sz w:val="22"/>
                <w:szCs w:val="22"/>
                <w:lang w:eastAsia="en-US"/>
              </w:rPr>
              <w:t>655 A&gt;G</w:t>
            </w:r>
          </w:p>
        </w:tc>
        <w:tc>
          <w:tcPr>
            <w:tcW w:w="2120" w:type="dxa"/>
            <w:noWrap/>
            <w:hideMark/>
          </w:tcPr>
          <w:p w:rsidR="00DA0174" w:rsidRPr="003A4656" w:rsidRDefault="00FB627D" w:rsidP="00AD5CA2">
            <w:pPr>
              <w:spacing w:line="276" w:lineRule="auto"/>
              <w:ind w:left="52" w:right="0"/>
              <w:cnfStyle w:val="000000000000"/>
              <w:rPr>
                <w:sz w:val="22"/>
                <w:szCs w:val="22"/>
                <w:lang w:eastAsia="en-US"/>
              </w:rPr>
            </w:pPr>
            <w:r w:rsidRPr="003A4656">
              <w:rPr>
                <w:sz w:val="22"/>
                <w:szCs w:val="22"/>
                <w:lang w:eastAsia="en-US"/>
              </w:rPr>
              <w:t>Y</w:t>
            </w:r>
            <w:r w:rsidR="00DA0174" w:rsidRPr="003A4656">
              <w:rPr>
                <w:sz w:val="22"/>
                <w:szCs w:val="22"/>
                <w:lang w:eastAsia="en-US"/>
              </w:rPr>
              <w:t>179</w:t>
            </w:r>
            <w:r w:rsidRPr="003A4656">
              <w:rPr>
                <w:sz w:val="22"/>
                <w:szCs w:val="22"/>
                <w:lang w:eastAsia="en-US"/>
              </w:rPr>
              <w:t>C</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11</w:t>
            </w:r>
          </w:p>
        </w:tc>
        <w:tc>
          <w:tcPr>
            <w:tcW w:w="2300" w:type="dxa"/>
            <w:noWrap/>
            <w:hideMark/>
          </w:tcPr>
          <w:p w:rsidR="00DA0174" w:rsidRPr="003A4656" w:rsidRDefault="00FB627D" w:rsidP="00AD5CA2">
            <w:pPr>
              <w:spacing w:line="276" w:lineRule="auto"/>
              <w:ind w:right="0"/>
              <w:cnfStyle w:val="000000100000"/>
              <w:rPr>
                <w:sz w:val="22"/>
                <w:szCs w:val="22"/>
                <w:lang w:eastAsia="en-US"/>
              </w:rPr>
            </w:pPr>
            <w:r w:rsidRPr="003A4656">
              <w:rPr>
                <w:sz w:val="22"/>
                <w:szCs w:val="22"/>
                <w:lang w:eastAsia="en-US"/>
              </w:rPr>
              <w:t>2731</w:t>
            </w:r>
            <w:r w:rsidR="00DA0174" w:rsidRPr="003A4656">
              <w:rPr>
                <w:sz w:val="22"/>
                <w:szCs w:val="22"/>
                <w:lang w:eastAsia="en-US"/>
              </w:rPr>
              <w:t>C&gt;T</w:t>
            </w:r>
          </w:p>
        </w:tc>
        <w:tc>
          <w:tcPr>
            <w:tcW w:w="2120" w:type="dxa"/>
            <w:noWrap/>
            <w:hideMark/>
          </w:tcPr>
          <w:p w:rsidR="00DA0174" w:rsidRPr="003A4656" w:rsidRDefault="00DA0174" w:rsidP="00AD5CA2">
            <w:pPr>
              <w:spacing w:line="276" w:lineRule="auto"/>
              <w:ind w:left="52" w:right="0"/>
              <w:cnfStyle w:val="000000100000"/>
              <w:rPr>
                <w:sz w:val="22"/>
                <w:szCs w:val="22"/>
                <w:lang w:eastAsia="en-US"/>
              </w:rPr>
            </w:pPr>
            <w:r w:rsidRPr="003A4656">
              <w:rPr>
                <w:sz w:val="22"/>
                <w:szCs w:val="22"/>
                <w:lang w:eastAsia="en-US"/>
              </w:rPr>
              <w:t>P871L</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11</w:t>
            </w:r>
          </w:p>
        </w:tc>
        <w:tc>
          <w:tcPr>
            <w:tcW w:w="2300" w:type="dxa"/>
            <w:noWrap/>
            <w:hideMark/>
          </w:tcPr>
          <w:p w:rsidR="00DA0174" w:rsidRPr="003A4656" w:rsidRDefault="00FB627D" w:rsidP="00AD5CA2">
            <w:pPr>
              <w:spacing w:line="276" w:lineRule="auto"/>
              <w:ind w:right="0"/>
              <w:cnfStyle w:val="000000000000"/>
              <w:rPr>
                <w:sz w:val="22"/>
                <w:szCs w:val="22"/>
                <w:lang w:eastAsia="en-US"/>
              </w:rPr>
            </w:pPr>
            <w:r w:rsidRPr="003A4656">
              <w:rPr>
                <w:sz w:val="22"/>
                <w:szCs w:val="22"/>
                <w:lang w:eastAsia="en-US"/>
              </w:rPr>
              <w:t>3232</w:t>
            </w:r>
            <w:r w:rsidR="00DA0174" w:rsidRPr="003A4656">
              <w:rPr>
                <w:sz w:val="22"/>
                <w:szCs w:val="22"/>
                <w:lang w:eastAsia="en-US"/>
              </w:rPr>
              <w:t>A&gt;G</w:t>
            </w:r>
          </w:p>
        </w:tc>
        <w:tc>
          <w:tcPr>
            <w:tcW w:w="2120" w:type="dxa"/>
            <w:noWrap/>
            <w:hideMark/>
          </w:tcPr>
          <w:p w:rsidR="00DA0174" w:rsidRPr="003A4656" w:rsidRDefault="00FB627D" w:rsidP="00AD5CA2">
            <w:pPr>
              <w:spacing w:line="276" w:lineRule="auto"/>
              <w:ind w:left="52" w:right="0"/>
              <w:cnfStyle w:val="000000000000"/>
              <w:rPr>
                <w:sz w:val="22"/>
                <w:szCs w:val="22"/>
                <w:lang w:eastAsia="en-US"/>
              </w:rPr>
            </w:pPr>
            <w:r w:rsidRPr="003A4656">
              <w:rPr>
                <w:sz w:val="22"/>
                <w:szCs w:val="22"/>
                <w:lang w:eastAsia="en-US"/>
              </w:rPr>
              <w:t>E</w:t>
            </w:r>
            <w:r w:rsidR="00DA0174" w:rsidRPr="003A4656">
              <w:rPr>
                <w:sz w:val="22"/>
                <w:szCs w:val="22"/>
                <w:lang w:eastAsia="en-US"/>
              </w:rPr>
              <w:t>1038G</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11</w:t>
            </w:r>
          </w:p>
        </w:tc>
        <w:tc>
          <w:tcPr>
            <w:tcW w:w="2300" w:type="dxa"/>
            <w:noWrap/>
            <w:hideMark/>
          </w:tcPr>
          <w:p w:rsidR="00DA0174" w:rsidRPr="003A4656" w:rsidRDefault="00FB627D" w:rsidP="00AD5CA2">
            <w:pPr>
              <w:spacing w:line="276" w:lineRule="auto"/>
              <w:ind w:right="0"/>
              <w:cnfStyle w:val="000000100000"/>
              <w:rPr>
                <w:sz w:val="22"/>
                <w:szCs w:val="22"/>
                <w:lang w:eastAsia="en-US"/>
              </w:rPr>
            </w:pPr>
            <w:r w:rsidRPr="003A4656">
              <w:rPr>
                <w:sz w:val="22"/>
                <w:szCs w:val="22"/>
                <w:lang w:eastAsia="en-US"/>
              </w:rPr>
              <w:t>3667</w:t>
            </w:r>
            <w:r w:rsidR="00DA0174" w:rsidRPr="003A4656">
              <w:rPr>
                <w:sz w:val="22"/>
                <w:szCs w:val="22"/>
                <w:lang w:eastAsia="en-US"/>
              </w:rPr>
              <w:t>A&gt;G</w:t>
            </w:r>
          </w:p>
        </w:tc>
        <w:tc>
          <w:tcPr>
            <w:tcW w:w="2120" w:type="dxa"/>
            <w:noWrap/>
            <w:hideMark/>
          </w:tcPr>
          <w:p w:rsidR="00DA0174" w:rsidRPr="003A4656" w:rsidRDefault="00FB627D" w:rsidP="00AD5CA2">
            <w:pPr>
              <w:spacing w:line="276" w:lineRule="auto"/>
              <w:ind w:left="52" w:right="0"/>
              <w:cnfStyle w:val="000000100000"/>
              <w:rPr>
                <w:sz w:val="22"/>
                <w:szCs w:val="22"/>
                <w:lang w:eastAsia="en-US"/>
              </w:rPr>
            </w:pPr>
            <w:r w:rsidRPr="003A4656">
              <w:rPr>
                <w:sz w:val="22"/>
                <w:szCs w:val="22"/>
                <w:lang w:eastAsia="en-US"/>
              </w:rPr>
              <w:t>K</w:t>
            </w:r>
            <w:r w:rsidR="00DA0174" w:rsidRPr="003A4656">
              <w:rPr>
                <w:sz w:val="22"/>
                <w:szCs w:val="22"/>
                <w:lang w:eastAsia="en-US"/>
              </w:rPr>
              <w:t>1183</w:t>
            </w:r>
            <w:r w:rsidRPr="003A4656">
              <w:rPr>
                <w:sz w:val="22"/>
                <w:szCs w:val="22"/>
                <w:lang w:eastAsia="en-US"/>
              </w:rPr>
              <w:t>R</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BRCA1</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16</w:t>
            </w:r>
          </w:p>
        </w:tc>
        <w:tc>
          <w:tcPr>
            <w:tcW w:w="2300" w:type="dxa"/>
            <w:noWrap/>
            <w:hideMark/>
          </w:tcPr>
          <w:p w:rsidR="00DA0174" w:rsidRPr="003A4656" w:rsidRDefault="00FB627D" w:rsidP="00AD5CA2">
            <w:pPr>
              <w:spacing w:line="276" w:lineRule="auto"/>
              <w:ind w:right="0"/>
              <w:cnfStyle w:val="000000000000"/>
              <w:rPr>
                <w:sz w:val="22"/>
                <w:szCs w:val="22"/>
                <w:lang w:eastAsia="en-US"/>
              </w:rPr>
            </w:pPr>
            <w:r w:rsidRPr="003A4656">
              <w:rPr>
                <w:sz w:val="22"/>
                <w:szCs w:val="22"/>
                <w:lang w:eastAsia="en-US"/>
              </w:rPr>
              <w:t>4956</w:t>
            </w:r>
            <w:r w:rsidR="00DA0174" w:rsidRPr="003A4656">
              <w:rPr>
                <w:sz w:val="22"/>
                <w:szCs w:val="22"/>
                <w:lang w:eastAsia="en-US"/>
              </w:rPr>
              <w:t>A&gt;G</w:t>
            </w:r>
          </w:p>
        </w:tc>
        <w:tc>
          <w:tcPr>
            <w:tcW w:w="2120" w:type="dxa"/>
            <w:noWrap/>
            <w:hideMark/>
          </w:tcPr>
          <w:p w:rsidR="00DA0174" w:rsidRPr="003A4656" w:rsidRDefault="00DA0174" w:rsidP="00AD5CA2">
            <w:pPr>
              <w:spacing w:line="276" w:lineRule="auto"/>
              <w:ind w:left="52" w:right="0"/>
              <w:cnfStyle w:val="000000000000"/>
              <w:rPr>
                <w:sz w:val="22"/>
                <w:szCs w:val="22"/>
                <w:lang w:eastAsia="en-US"/>
              </w:rPr>
            </w:pPr>
            <w:r w:rsidRPr="003A4656">
              <w:rPr>
                <w:sz w:val="22"/>
                <w:szCs w:val="22"/>
                <w:lang w:eastAsia="en-US"/>
              </w:rPr>
              <w:t>S1613G</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w:t>
            </w:r>
            <w:r w:rsidR="00AA1664" w:rsidRPr="003A4656">
              <w:rPr>
                <w:sz w:val="22"/>
                <w:szCs w:val="22"/>
                <w:lang w:eastAsia="en-US"/>
              </w:rPr>
              <w:t>1</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16</w:t>
            </w:r>
          </w:p>
        </w:tc>
        <w:tc>
          <w:tcPr>
            <w:tcW w:w="2300" w:type="dxa"/>
            <w:noWrap/>
            <w:hideMark/>
          </w:tcPr>
          <w:p w:rsidR="00DA0174" w:rsidRPr="003A4656" w:rsidRDefault="00AA1664" w:rsidP="00AD5CA2">
            <w:pPr>
              <w:spacing w:line="276" w:lineRule="auto"/>
              <w:ind w:right="0"/>
              <w:cnfStyle w:val="000000100000"/>
              <w:rPr>
                <w:sz w:val="22"/>
                <w:szCs w:val="22"/>
                <w:lang w:eastAsia="en-US"/>
              </w:rPr>
            </w:pPr>
            <w:r w:rsidRPr="003A4656">
              <w:rPr>
                <w:sz w:val="22"/>
                <w:szCs w:val="22"/>
                <w:lang w:eastAsia="en-US"/>
              </w:rPr>
              <w:t>5075G</w:t>
            </w:r>
            <w:r w:rsidR="00DA0174" w:rsidRPr="003A4656">
              <w:rPr>
                <w:sz w:val="22"/>
                <w:szCs w:val="22"/>
                <w:lang w:eastAsia="en-US"/>
              </w:rPr>
              <w:t>&gt;A</w:t>
            </w:r>
          </w:p>
        </w:tc>
        <w:tc>
          <w:tcPr>
            <w:tcW w:w="2120" w:type="dxa"/>
            <w:noWrap/>
            <w:hideMark/>
          </w:tcPr>
          <w:p w:rsidR="00DA0174" w:rsidRPr="003A4656" w:rsidRDefault="00AA1664" w:rsidP="00AD5CA2">
            <w:pPr>
              <w:spacing w:line="276" w:lineRule="auto"/>
              <w:ind w:left="52" w:right="0"/>
              <w:cnfStyle w:val="000000100000"/>
              <w:rPr>
                <w:color w:val="000000"/>
                <w:sz w:val="22"/>
                <w:szCs w:val="22"/>
                <w:lang w:eastAsia="en-US"/>
              </w:rPr>
            </w:pPr>
            <w:r w:rsidRPr="003A4656">
              <w:rPr>
                <w:sz w:val="22"/>
                <w:szCs w:val="22"/>
              </w:rPr>
              <w:t>M1652I</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BRCA2</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3</w:t>
            </w:r>
          </w:p>
        </w:tc>
        <w:tc>
          <w:tcPr>
            <w:tcW w:w="2300" w:type="dxa"/>
            <w:noWrap/>
            <w:hideMark/>
          </w:tcPr>
          <w:p w:rsidR="00DA0174" w:rsidRPr="003A4656" w:rsidRDefault="00AA1664" w:rsidP="00AD5CA2">
            <w:pPr>
              <w:spacing w:line="276" w:lineRule="auto"/>
              <w:ind w:right="0"/>
              <w:cnfStyle w:val="000000000000"/>
              <w:rPr>
                <w:sz w:val="22"/>
                <w:szCs w:val="22"/>
                <w:lang w:eastAsia="en-US"/>
              </w:rPr>
            </w:pPr>
            <w:r w:rsidRPr="003A4656">
              <w:rPr>
                <w:sz w:val="22"/>
                <w:szCs w:val="22"/>
                <w:lang w:eastAsia="en-US"/>
              </w:rPr>
              <w:t>353</w:t>
            </w:r>
            <w:r w:rsidR="00DA0174" w:rsidRPr="003A4656">
              <w:rPr>
                <w:sz w:val="22"/>
                <w:szCs w:val="22"/>
                <w:lang w:eastAsia="en-US"/>
              </w:rPr>
              <w:t>A&gt;G</w:t>
            </w:r>
          </w:p>
        </w:tc>
        <w:tc>
          <w:tcPr>
            <w:tcW w:w="2120" w:type="dxa"/>
            <w:noWrap/>
            <w:hideMark/>
          </w:tcPr>
          <w:p w:rsidR="00DA0174" w:rsidRPr="003A4656" w:rsidRDefault="00AA1664" w:rsidP="00AD5CA2">
            <w:pPr>
              <w:spacing w:line="276" w:lineRule="auto"/>
              <w:ind w:left="52" w:right="0"/>
              <w:cnfStyle w:val="000000000000"/>
              <w:rPr>
                <w:sz w:val="22"/>
                <w:szCs w:val="22"/>
                <w:lang w:eastAsia="en-US"/>
              </w:rPr>
            </w:pPr>
            <w:r w:rsidRPr="003A4656">
              <w:rPr>
                <w:sz w:val="22"/>
                <w:szCs w:val="22"/>
                <w:lang w:eastAsia="en-US"/>
              </w:rPr>
              <w:t>Y4</w:t>
            </w:r>
            <w:r w:rsidR="00DA0174" w:rsidRPr="003A4656">
              <w:rPr>
                <w:sz w:val="22"/>
                <w:szCs w:val="22"/>
                <w:lang w:eastAsia="en-US"/>
              </w:rPr>
              <w:t>2C</w:t>
            </w:r>
          </w:p>
        </w:tc>
      </w:tr>
      <w:tr w:rsidR="00DA0174" w:rsidRPr="003A4656" w:rsidTr="00866007">
        <w:trPr>
          <w:cnfStyle w:val="000000100000"/>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BRCA2</w:t>
            </w:r>
          </w:p>
        </w:tc>
        <w:tc>
          <w:tcPr>
            <w:tcW w:w="1340" w:type="dxa"/>
            <w:noWrap/>
            <w:hideMark/>
          </w:tcPr>
          <w:p w:rsidR="00DA0174" w:rsidRPr="003A4656" w:rsidRDefault="00DA0174" w:rsidP="00AD5CA2">
            <w:pPr>
              <w:spacing w:line="276" w:lineRule="auto"/>
              <w:ind w:right="0"/>
              <w:cnfStyle w:val="000000100000"/>
              <w:rPr>
                <w:sz w:val="22"/>
                <w:szCs w:val="22"/>
                <w:lang w:eastAsia="en-US"/>
              </w:rPr>
            </w:pPr>
            <w:r w:rsidRPr="003A4656">
              <w:rPr>
                <w:sz w:val="22"/>
                <w:szCs w:val="22"/>
                <w:lang w:eastAsia="en-US"/>
              </w:rPr>
              <w:t>11</w:t>
            </w:r>
          </w:p>
        </w:tc>
        <w:tc>
          <w:tcPr>
            <w:tcW w:w="2300" w:type="dxa"/>
            <w:noWrap/>
            <w:hideMark/>
          </w:tcPr>
          <w:p w:rsidR="00DA0174" w:rsidRPr="003A4656" w:rsidRDefault="00AA1664" w:rsidP="00AD5CA2">
            <w:pPr>
              <w:spacing w:line="276" w:lineRule="auto"/>
              <w:ind w:right="0"/>
              <w:cnfStyle w:val="000000100000"/>
              <w:rPr>
                <w:sz w:val="22"/>
                <w:szCs w:val="22"/>
                <w:lang w:eastAsia="en-US"/>
              </w:rPr>
            </w:pPr>
            <w:r w:rsidRPr="003A4656">
              <w:rPr>
                <w:sz w:val="22"/>
                <w:szCs w:val="22"/>
                <w:lang w:eastAsia="en-US"/>
              </w:rPr>
              <w:t>6328</w:t>
            </w:r>
            <w:r w:rsidR="00DA0174" w:rsidRPr="003A4656">
              <w:rPr>
                <w:sz w:val="22"/>
                <w:szCs w:val="22"/>
                <w:lang w:eastAsia="en-US"/>
              </w:rPr>
              <w:t>C&gt;T</w:t>
            </w:r>
          </w:p>
        </w:tc>
        <w:tc>
          <w:tcPr>
            <w:tcW w:w="2120" w:type="dxa"/>
            <w:noWrap/>
            <w:hideMark/>
          </w:tcPr>
          <w:p w:rsidR="00DA0174" w:rsidRPr="003A4656" w:rsidRDefault="00AA1664" w:rsidP="00AD5CA2">
            <w:pPr>
              <w:spacing w:line="276" w:lineRule="auto"/>
              <w:ind w:left="52" w:right="0"/>
              <w:cnfStyle w:val="000000100000"/>
              <w:rPr>
                <w:sz w:val="22"/>
                <w:szCs w:val="22"/>
                <w:lang w:eastAsia="en-US"/>
              </w:rPr>
            </w:pPr>
            <w:r w:rsidRPr="003A4656">
              <w:rPr>
                <w:sz w:val="22"/>
                <w:szCs w:val="22"/>
                <w:lang w:eastAsia="en-US"/>
              </w:rPr>
              <w:t>R</w:t>
            </w:r>
            <w:r w:rsidR="00DA0174" w:rsidRPr="003A4656">
              <w:rPr>
                <w:sz w:val="22"/>
                <w:szCs w:val="22"/>
                <w:lang w:eastAsia="en-US"/>
              </w:rPr>
              <w:t>2034C</w:t>
            </w:r>
          </w:p>
        </w:tc>
      </w:tr>
      <w:tr w:rsidR="00DA0174" w:rsidRPr="003A4656" w:rsidTr="00866007">
        <w:trPr>
          <w:trHeight w:val="300"/>
          <w:jc w:val="center"/>
        </w:trPr>
        <w:tc>
          <w:tcPr>
            <w:cnfStyle w:val="001000000000"/>
            <w:tcW w:w="960" w:type="dxa"/>
            <w:noWrap/>
            <w:hideMark/>
          </w:tcPr>
          <w:p w:rsidR="00DA0174" w:rsidRPr="003A4656" w:rsidRDefault="00DA0174" w:rsidP="00AD5CA2">
            <w:pPr>
              <w:spacing w:line="276" w:lineRule="auto"/>
              <w:ind w:right="0"/>
              <w:rPr>
                <w:sz w:val="22"/>
                <w:szCs w:val="22"/>
                <w:lang w:eastAsia="en-US"/>
              </w:rPr>
            </w:pPr>
            <w:r w:rsidRPr="003A4656">
              <w:rPr>
                <w:sz w:val="22"/>
                <w:szCs w:val="22"/>
                <w:lang w:eastAsia="en-US"/>
              </w:rPr>
              <w:t>BRCA2</w:t>
            </w:r>
          </w:p>
        </w:tc>
        <w:tc>
          <w:tcPr>
            <w:tcW w:w="1340" w:type="dxa"/>
            <w:noWrap/>
            <w:hideMark/>
          </w:tcPr>
          <w:p w:rsidR="00DA0174" w:rsidRPr="003A4656" w:rsidRDefault="00DA0174" w:rsidP="00AD5CA2">
            <w:pPr>
              <w:spacing w:line="276" w:lineRule="auto"/>
              <w:ind w:right="0"/>
              <w:cnfStyle w:val="000000000000"/>
              <w:rPr>
                <w:sz w:val="22"/>
                <w:szCs w:val="22"/>
                <w:lang w:eastAsia="en-US"/>
              </w:rPr>
            </w:pPr>
            <w:r w:rsidRPr="003A4656">
              <w:rPr>
                <w:sz w:val="22"/>
                <w:szCs w:val="22"/>
                <w:lang w:eastAsia="en-US"/>
              </w:rPr>
              <w:t>24</w:t>
            </w:r>
          </w:p>
        </w:tc>
        <w:tc>
          <w:tcPr>
            <w:tcW w:w="2300" w:type="dxa"/>
            <w:noWrap/>
            <w:hideMark/>
          </w:tcPr>
          <w:p w:rsidR="00DA0174" w:rsidRPr="003A4656" w:rsidRDefault="00AA1664" w:rsidP="00AD5CA2">
            <w:pPr>
              <w:spacing w:line="276" w:lineRule="auto"/>
              <w:ind w:right="0"/>
              <w:cnfStyle w:val="000000000000"/>
              <w:rPr>
                <w:color w:val="000000"/>
                <w:sz w:val="22"/>
                <w:szCs w:val="22"/>
                <w:lang w:eastAsia="en-US"/>
              </w:rPr>
            </w:pPr>
            <w:r w:rsidRPr="003A4656">
              <w:rPr>
                <w:sz w:val="22"/>
                <w:szCs w:val="22"/>
              </w:rPr>
              <w:t>9485-16</w:t>
            </w:r>
            <w:r w:rsidR="009F5CA5" w:rsidRPr="003A4656">
              <w:rPr>
                <w:sz w:val="22"/>
                <w:szCs w:val="22"/>
              </w:rPr>
              <w:t>T&gt;C</w:t>
            </w:r>
          </w:p>
        </w:tc>
        <w:tc>
          <w:tcPr>
            <w:tcW w:w="2120" w:type="dxa"/>
            <w:noWrap/>
            <w:hideMark/>
          </w:tcPr>
          <w:p w:rsidR="00DA0174" w:rsidRPr="003A4656" w:rsidRDefault="00DA0174" w:rsidP="00AD5CA2">
            <w:pPr>
              <w:spacing w:line="276" w:lineRule="auto"/>
              <w:ind w:left="52" w:right="0"/>
              <w:cnfStyle w:val="000000000000"/>
              <w:rPr>
                <w:sz w:val="22"/>
                <w:szCs w:val="22"/>
                <w:lang w:eastAsia="en-US"/>
              </w:rPr>
            </w:pPr>
            <w:r w:rsidRPr="003A4656">
              <w:rPr>
                <w:sz w:val="22"/>
                <w:szCs w:val="22"/>
                <w:lang w:eastAsia="en-US"/>
              </w:rPr>
              <w:t>Not applicable</w:t>
            </w:r>
          </w:p>
        </w:tc>
      </w:tr>
    </w:tbl>
    <w:p w:rsidR="00E5595E" w:rsidRPr="003A4656" w:rsidRDefault="00E5595E" w:rsidP="00AD5CA2">
      <w:pPr>
        <w:ind w:left="0" w:right="0"/>
        <w:rPr>
          <w:bCs/>
          <w:sz w:val="22"/>
          <w:szCs w:val="22"/>
        </w:rPr>
      </w:pPr>
    </w:p>
    <w:p w:rsidR="00971FED" w:rsidRPr="00971FED" w:rsidRDefault="00971FED" w:rsidP="00971FED">
      <w:pPr>
        <w:pStyle w:val="ListParagraph"/>
        <w:numPr>
          <w:ilvl w:val="0"/>
          <w:numId w:val="25"/>
        </w:numPr>
        <w:ind w:left="720" w:right="0"/>
        <w:jc w:val="both"/>
        <w:rPr>
          <w:rFonts w:ascii="Times New Roman" w:hAnsi="Times New Roman"/>
          <w:b/>
          <w:lang w:val="en-GB"/>
        </w:rPr>
      </w:pPr>
      <w:r w:rsidRPr="003A4656">
        <w:rPr>
          <w:rFonts w:ascii="Times New Roman" w:hAnsi="Times New Roman"/>
          <w:b/>
          <w:lang w:val="en-GB"/>
        </w:rPr>
        <w:t xml:space="preserve">Functional evaluation of </w:t>
      </w:r>
      <w:r>
        <w:rPr>
          <w:rFonts w:ascii="Times New Roman" w:hAnsi="Times New Roman"/>
          <w:b/>
          <w:lang w:val="en-GB"/>
        </w:rPr>
        <w:t>VUS</w:t>
      </w:r>
      <w:r w:rsidRPr="003A4656">
        <w:rPr>
          <w:rFonts w:ascii="Times New Roman" w:hAnsi="Times New Roman"/>
          <w:b/>
          <w:lang w:val="en-GB"/>
        </w:rPr>
        <w:t xml:space="preserve"> identified in </w:t>
      </w:r>
      <w:r w:rsidRPr="003A4656">
        <w:rPr>
          <w:rFonts w:ascii="Times New Roman" w:hAnsi="Times New Roman"/>
          <w:b/>
          <w:i/>
          <w:iCs/>
          <w:lang w:val="en-GB"/>
        </w:rPr>
        <w:t xml:space="preserve">BRCA1 </w:t>
      </w:r>
      <w:r w:rsidRPr="003A4656">
        <w:rPr>
          <w:rFonts w:ascii="Times New Roman" w:hAnsi="Times New Roman"/>
          <w:b/>
          <w:lang w:val="en-GB"/>
        </w:rPr>
        <w:t xml:space="preserve">using the GFP-reassembly </w:t>
      </w:r>
      <w:r w:rsidRPr="003A4656">
        <w:rPr>
          <w:rFonts w:ascii="Times New Roman" w:hAnsi="Times New Roman"/>
          <w:b/>
          <w:i/>
          <w:iCs/>
          <w:lang w:val="en-GB"/>
        </w:rPr>
        <w:t>in vitro</w:t>
      </w:r>
      <w:r w:rsidR="00826D66">
        <w:rPr>
          <w:rFonts w:ascii="Times New Roman" w:hAnsi="Times New Roman"/>
          <w:b/>
          <w:lang w:val="en-GB"/>
        </w:rPr>
        <w:t xml:space="preserve"> assay</w:t>
      </w:r>
    </w:p>
    <w:p w:rsidR="00C83F64" w:rsidRPr="003A4656" w:rsidRDefault="00C83F64" w:rsidP="00AD5CA2">
      <w:pPr>
        <w:ind w:left="0" w:right="0"/>
        <w:rPr>
          <w:bCs/>
          <w:sz w:val="22"/>
          <w:szCs w:val="22"/>
        </w:rPr>
      </w:pPr>
      <w:r w:rsidRPr="003A4656">
        <w:rPr>
          <w:bCs/>
          <w:sz w:val="22"/>
          <w:szCs w:val="22"/>
        </w:rPr>
        <w:t xml:space="preserve">We chose to study a set of 18 variants mapped to the region coding for the RING domain of BRCA1. This region </w:t>
      </w:r>
      <w:r w:rsidRPr="003A4656">
        <w:rPr>
          <w:sz w:val="22"/>
          <w:szCs w:val="22"/>
        </w:rPr>
        <w:t xml:space="preserve">encompasses exons 2 to 6 and has been implicated in interactions with at least five different proteins, including formation of stable heterodimers with BARD1 (reviewed in </w:t>
      </w:r>
      <w:r w:rsidR="0082528F" w:rsidRPr="003A4656">
        <w:rPr>
          <w:rStyle w:val="HTMLCite"/>
          <w:i w:val="0"/>
          <w:sz w:val="22"/>
          <w:szCs w:val="22"/>
        </w:rPr>
        <w:t>Welcsh P.L. and King</w:t>
      </w:r>
      <w:r w:rsidRPr="003A4656">
        <w:rPr>
          <w:rStyle w:val="HTMLCite"/>
          <w:i w:val="0"/>
          <w:sz w:val="22"/>
          <w:szCs w:val="22"/>
        </w:rPr>
        <w:t xml:space="preserve"> M.C.</w:t>
      </w:r>
      <w:r w:rsidRPr="003A4656">
        <w:rPr>
          <w:rStyle w:val="cit-pub-date"/>
          <w:iCs/>
          <w:sz w:val="22"/>
          <w:szCs w:val="22"/>
        </w:rPr>
        <w:t xml:space="preserve">, 2001). The latter binding </w:t>
      </w:r>
      <w:r w:rsidRPr="003A4656">
        <w:rPr>
          <w:sz w:val="22"/>
          <w:szCs w:val="22"/>
        </w:rPr>
        <w:t xml:space="preserve">ensure genome stability through its role in protein ubiquitylation (Baer R. and Ludwig T., 2002; Starita L.M. et al., 2006; Heine G.F. </w:t>
      </w:r>
      <w:proofErr w:type="gramStart"/>
      <w:r w:rsidRPr="003A4656">
        <w:rPr>
          <w:sz w:val="22"/>
          <w:szCs w:val="22"/>
        </w:rPr>
        <w:t>and  Parvin</w:t>
      </w:r>
      <w:proofErr w:type="gramEnd"/>
      <w:r w:rsidRPr="003A4656">
        <w:rPr>
          <w:sz w:val="22"/>
          <w:szCs w:val="22"/>
        </w:rPr>
        <w:t xml:space="preserve"> J.D., 2007). Ten </w:t>
      </w:r>
      <w:r w:rsidRPr="003A4656">
        <w:rPr>
          <w:i/>
          <w:sz w:val="22"/>
          <w:szCs w:val="22"/>
        </w:rPr>
        <w:t>BRCA1</w:t>
      </w:r>
      <w:r w:rsidRPr="003A4656">
        <w:rPr>
          <w:sz w:val="22"/>
          <w:szCs w:val="22"/>
        </w:rPr>
        <w:t xml:space="preserve"> UVs were selected among those identified in at risk individuals recruited through the Medical Genetic Unit of the Istituto Nazionale Tumori, Milano, Italy. The </w:t>
      </w:r>
      <w:r w:rsidR="00A3761F">
        <w:rPr>
          <w:color w:val="000000"/>
          <w:sz w:val="22"/>
          <w:szCs w:val="22"/>
        </w:rPr>
        <w:t>D67Y</w:t>
      </w:r>
      <w:r w:rsidRPr="003A4656">
        <w:rPr>
          <w:color w:val="000000"/>
          <w:sz w:val="22"/>
          <w:szCs w:val="22"/>
        </w:rPr>
        <w:t xml:space="preserve"> and </w:t>
      </w:r>
      <w:proofErr w:type="gramStart"/>
      <w:r w:rsidR="00A3761F">
        <w:rPr>
          <w:color w:val="000000"/>
          <w:sz w:val="22"/>
          <w:szCs w:val="22"/>
        </w:rPr>
        <w:t>C61G</w:t>
      </w:r>
      <w:r w:rsidRPr="003A4656">
        <w:rPr>
          <w:color w:val="000000"/>
          <w:sz w:val="22"/>
          <w:szCs w:val="22"/>
        </w:rPr>
        <w:t>,</w:t>
      </w:r>
      <w:proofErr w:type="gramEnd"/>
      <w:r w:rsidRPr="003A4656">
        <w:rPr>
          <w:color w:val="000000"/>
          <w:sz w:val="22"/>
          <w:szCs w:val="22"/>
        </w:rPr>
        <w:t xml:space="preserve"> were included as positive and negative controls respectively (</w:t>
      </w:r>
      <w:r w:rsidRPr="003A4656">
        <w:rPr>
          <w:sz w:val="22"/>
          <w:szCs w:val="22"/>
        </w:rPr>
        <w:t>Brzovic P.S. et al., 1998; Morris J.R. et al., 2006; Easton D.</w:t>
      </w:r>
      <w:r w:rsidR="00523BF4" w:rsidRPr="003A4656">
        <w:rPr>
          <w:sz w:val="22"/>
          <w:szCs w:val="22"/>
        </w:rPr>
        <w:t>F.</w:t>
      </w:r>
      <w:r w:rsidRPr="003A4656">
        <w:rPr>
          <w:sz w:val="22"/>
          <w:szCs w:val="22"/>
        </w:rPr>
        <w:t xml:space="preserve"> et al., 2007). In addition</w:t>
      </w:r>
      <w:r w:rsidR="00DC1B79">
        <w:rPr>
          <w:sz w:val="22"/>
          <w:szCs w:val="22"/>
        </w:rPr>
        <w:t>,</w:t>
      </w:r>
      <w:r w:rsidRPr="003A4656">
        <w:rPr>
          <w:sz w:val="22"/>
          <w:szCs w:val="22"/>
        </w:rPr>
        <w:t xml:space="preserve"> five variants previously classified as pathogenic (</w:t>
      </w:r>
      <w:r w:rsidR="00A3761F">
        <w:rPr>
          <w:sz w:val="22"/>
          <w:szCs w:val="22"/>
        </w:rPr>
        <w:t>M18T</w:t>
      </w:r>
      <w:r w:rsidRPr="003A4656">
        <w:rPr>
          <w:sz w:val="22"/>
          <w:szCs w:val="22"/>
        </w:rPr>
        <w:t xml:space="preserve">, </w:t>
      </w:r>
      <w:r w:rsidR="00A3761F">
        <w:rPr>
          <w:sz w:val="22"/>
          <w:szCs w:val="22"/>
        </w:rPr>
        <w:t>T37K</w:t>
      </w:r>
      <w:r w:rsidRPr="003A4656">
        <w:rPr>
          <w:sz w:val="22"/>
          <w:szCs w:val="22"/>
        </w:rPr>
        <w:t xml:space="preserve">, </w:t>
      </w:r>
      <w:r w:rsidR="00A3761F">
        <w:rPr>
          <w:sz w:val="22"/>
          <w:szCs w:val="22"/>
        </w:rPr>
        <w:t>C39R</w:t>
      </w:r>
      <w:r w:rsidRPr="003A4656">
        <w:rPr>
          <w:sz w:val="22"/>
          <w:szCs w:val="22"/>
        </w:rPr>
        <w:t xml:space="preserve">, </w:t>
      </w:r>
      <w:r w:rsidR="00A3761F">
        <w:rPr>
          <w:sz w:val="22"/>
          <w:szCs w:val="22"/>
        </w:rPr>
        <w:t>C44S</w:t>
      </w:r>
      <w:r w:rsidRPr="003A4656">
        <w:rPr>
          <w:sz w:val="22"/>
          <w:szCs w:val="22"/>
        </w:rPr>
        <w:t xml:space="preserve">, </w:t>
      </w:r>
      <w:r w:rsidR="00A3761F">
        <w:rPr>
          <w:sz w:val="22"/>
          <w:szCs w:val="22"/>
        </w:rPr>
        <w:t>C44Y</w:t>
      </w:r>
      <w:r w:rsidRPr="003A4656">
        <w:rPr>
          <w:sz w:val="22"/>
          <w:szCs w:val="22"/>
        </w:rPr>
        <w:t>) and one as neutral (</w:t>
      </w:r>
      <w:r w:rsidR="00A3761F">
        <w:rPr>
          <w:sz w:val="22"/>
          <w:szCs w:val="22"/>
        </w:rPr>
        <w:t>K45Q</w:t>
      </w:r>
      <w:r w:rsidRPr="003A4656">
        <w:rPr>
          <w:sz w:val="22"/>
          <w:szCs w:val="22"/>
        </w:rPr>
        <w:t>) in the LOVD-IARC database (http://brca.iarc.fr/LOVD/home.php), were included to assess the sensitivity and specificity of the functional approach.</w:t>
      </w:r>
    </w:p>
    <w:p w:rsidR="00C83F64" w:rsidRPr="003A4656" w:rsidRDefault="00C83F64" w:rsidP="00AD5CA2">
      <w:pPr>
        <w:tabs>
          <w:tab w:val="left" w:pos="90"/>
        </w:tabs>
        <w:ind w:left="0" w:right="0"/>
        <w:rPr>
          <w:sz w:val="22"/>
          <w:szCs w:val="22"/>
        </w:rPr>
      </w:pPr>
      <w:r w:rsidRPr="003A4656">
        <w:rPr>
          <w:sz w:val="22"/>
          <w:szCs w:val="22"/>
        </w:rPr>
        <w:t>To assess whether the selected variants affect the BRCA1/BARD1 complex formation, we carried out a GFP-fragment reassembly screening, a Bimolecular Fluorescence Complementation assay (BiFC) (Ghosh I. et al., 2000). In this assay, GFP is dissected into two fragments (NfrG</w:t>
      </w:r>
      <w:r w:rsidR="00DC1B79">
        <w:rPr>
          <w:sz w:val="22"/>
          <w:szCs w:val="22"/>
        </w:rPr>
        <w:t xml:space="preserve">FP and CfrGFP) that, </w:t>
      </w:r>
      <w:r w:rsidRPr="003A4656">
        <w:rPr>
          <w:sz w:val="22"/>
          <w:szCs w:val="22"/>
        </w:rPr>
        <w:t xml:space="preserve">when expressed together in </w:t>
      </w:r>
      <w:r w:rsidRPr="003A4656">
        <w:rPr>
          <w:i/>
          <w:iCs/>
          <w:sz w:val="22"/>
          <w:szCs w:val="22"/>
        </w:rPr>
        <w:t xml:space="preserve">Escherichia coli </w:t>
      </w:r>
      <w:r w:rsidRPr="003A4656">
        <w:rPr>
          <w:sz w:val="22"/>
          <w:szCs w:val="22"/>
        </w:rPr>
        <w:t>(</w:t>
      </w:r>
      <w:r w:rsidRPr="003A4656">
        <w:rPr>
          <w:i/>
          <w:iCs/>
          <w:sz w:val="22"/>
          <w:szCs w:val="22"/>
        </w:rPr>
        <w:t>E. coli</w:t>
      </w:r>
      <w:r w:rsidRPr="003A4656">
        <w:rPr>
          <w:sz w:val="22"/>
          <w:szCs w:val="22"/>
        </w:rPr>
        <w:t>)</w:t>
      </w:r>
      <w:r w:rsidR="00DC1B79">
        <w:rPr>
          <w:sz w:val="22"/>
          <w:szCs w:val="22"/>
        </w:rPr>
        <w:t>,</w:t>
      </w:r>
      <w:r w:rsidRPr="003A4656">
        <w:rPr>
          <w:i/>
          <w:iCs/>
          <w:sz w:val="22"/>
          <w:szCs w:val="22"/>
        </w:rPr>
        <w:t xml:space="preserve"> </w:t>
      </w:r>
      <w:r w:rsidRPr="003A4656">
        <w:rPr>
          <w:sz w:val="22"/>
          <w:szCs w:val="22"/>
        </w:rPr>
        <w:t xml:space="preserve">do not reassemble into a fluorescent protein. If, however, the two fragments of GFP are each individually fused to two interacting proteins, this interaction can mediate reassembly of the GFP, with consequent cellular fluorescence. </w:t>
      </w:r>
    </w:p>
    <w:p w:rsidR="00C83F64" w:rsidRDefault="00C83F64" w:rsidP="00AD5CA2">
      <w:pPr>
        <w:tabs>
          <w:tab w:val="left" w:pos="90"/>
        </w:tabs>
        <w:ind w:left="0" w:right="0"/>
        <w:rPr>
          <w:sz w:val="22"/>
          <w:szCs w:val="22"/>
        </w:rPr>
      </w:pPr>
      <w:r w:rsidRPr="003A4656">
        <w:rPr>
          <w:sz w:val="22"/>
          <w:szCs w:val="22"/>
        </w:rPr>
        <w:t>Under inducing conditions (0.2% L-arabinose and 20μM IPTG), bright fluorescence was observed i</w:t>
      </w:r>
      <w:r w:rsidR="00DC1B79">
        <w:rPr>
          <w:sz w:val="22"/>
          <w:szCs w:val="22"/>
        </w:rPr>
        <w:t xml:space="preserve">n bacterial cells co-expressing: a) </w:t>
      </w:r>
      <w:r w:rsidRPr="003A4656">
        <w:rPr>
          <w:sz w:val="22"/>
          <w:szCs w:val="22"/>
        </w:rPr>
        <w:t>strong interacting anti-parallel Z-NfrGFP/Z-CfrGFP  (Z</w:t>
      </w:r>
      <w:r w:rsidRPr="003A4656">
        <w:rPr>
          <w:sz w:val="22"/>
          <w:szCs w:val="22"/>
          <w:vertAlign w:val="superscript"/>
        </w:rPr>
        <w:t>N</w:t>
      </w:r>
      <w:r w:rsidRPr="003A4656">
        <w:rPr>
          <w:sz w:val="22"/>
          <w:szCs w:val="22"/>
        </w:rPr>
        <w:t>/Z</w:t>
      </w:r>
      <w:r w:rsidRPr="003A4656">
        <w:rPr>
          <w:sz w:val="22"/>
          <w:szCs w:val="22"/>
          <w:vertAlign w:val="superscript"/>
        </w:rPr>
        <w:t>C</w:t>
      </w:r>
      <w:r w:rsidR="00DC1B79">
        <w:rPr>
          <w:sz w:val="22"/>
          <w:szCs w:val="22"/>
        </w:rPr>
        <w:t>) fusion peptides;</w:t>
      </w:r>
      <w:r w:rsidRPr="003A4656">
        <w:rPr>
          <w:sz w:val="22"/>
          <w:szCs w:val="22"/>
        </w:rPr>
        <w:t xml:space="preserve"> </w:t>
      </w:r>
      <w:r w:rsidR="00DC1B79">
        <w:rPr>
          <w:sz w:val="22"/>
          <w:szCs w:val="22"/>
        </w:rPr>
        <w:t xml:space="preserve">b) </w:t>
      </w:r>
      <w:r w:rsidRPr="003A4656">
        <w:rPr>
          <w:sz w:val="22"/>
          <w:szCs w:val="22"/>
        </w:rPr>
        <w:t xml:space="preserve">BARD1-NfrGFP </w:t>
      </w:r>
      <w:r w:rsidR="00FE5422">
        <w:rPr>
          <w:sz w:val="22"/>
          <w:szCs w:val="22"/>
        </w:rPr>
        <w:t>and</w:t>
      </w:r>
      <w:r w:rsidRPr="003A4656">
        <w:rPr>
          <w:sz w:val="22"/>
          <w:szCs w:val="22"/>
        </w:rPr>
        <w:t xml:space="preserve"> BRCA1</w:t>
      </w:r>
      <w:r w:rsidRPr="00FE5422">
        <w:rPr>
          <w:sz w:val="22"/>
          <w:szCs w:val="22"/>
          <w:vertAlign w:val="subscript"/>
        </w:rPr>
        <w:t>wt</w:t>
      </w:r>
      <w:r w:rsidRPr="003A4656">
        <w:rPr>
          <w:sz w:val="22"/>
          <w:szCs w:val="22"/>
        </w:rPr>
        <w:t>-CfrGFP or BRCA1</w:t>
      </w:r>
      <w:r w:rsidR="00FE5422" w:rsidRPr="00FE5422">
        <w:rPr>
          <w:sz w:val="22"/>
          <w:szCs w:val="22"/>
          <w:vertAlign w:val="subscript"/>
        </w:rPr>
        <w:t>D67Y</w:t>
      </w:r>
      <w:r w:rsidRPr="003A4656">
        <w:rPr>
          <w:sz w:val="22"/>
          <w:szCs w:val="22"/>
        </w:rPr>
        <w:t>-CfrGFP, carrying the neutral variant D67Y used as positive control</w:t>
      </w:r>
      <w:r w:rsidR="00DC1B79">
        <w:rPr>
          <w:sz w:val="22"/>
          <w:szCs w:val="22"/>
        </w:rPr>
        <w:t>s;</w:t>
      </w:r>
      <w:r w:rsidRPr="003A4656">
        <w:rPr>
          <w:sz w:val="22"/>
          <w:szCs w:val="22"/>
        </w:rPr>
        <w:t xml:space="preserve"> </w:t>
      </w:r>
      <w:r w:rsidR="00DC1B79">
        <w:rPr>
          <w:sz w:val="22"/>
          <w:szCs w:val="22"/>
        </w:rPr>
        <w:t xml:space="preserve">c) </w:t>
      </w:r>
      <w:r w:rsidR="00DC1B79" w:rsidRPr="003A4656">
        <w:rPr>
          <w:sz w:val="22"/>
          <w:szCs w:val="22"/>
        </w:rPr>
        <w:t xml:space="preserve">BARD1-NfrGFP </w:t>
      </w:r>
      <w:r w:rsidR="00FE5422">
        <w:rPr>
          <w:sz w:val="22"/>
          <w:szCs w:val="22"/>
        </w:rPr>
        <w:t>together with</w:t>
      </w:r>
      <w:r w:rsidR="00DC1B79" w:rsidRPr="003A4656">
        <w:rPr>
          <w:sz w:val="22"/>
          <w:szCs w:val="22"/>
        </w:rPr>
        <w:t xml:space="preserve"> </w:t>
      </w:r>
      <w:r w:rsidRPr="003A4656">
        <w:rPr>
          <w:sz w:val="22"/>
          <w:szCs w:val="22"/>
        </w:rPr>
        <w:t xml:space="preserve">BRCA1-CfrGFP </w:t>
      </w:r>
      <w:r w:rsidR="00FE5422">
        <w:rPr>
          <w:sz w:val="22"/>
          <w:szCs w:val="22"/>
        </w:rPr>
        <w:t>fusion peptides</w:t>
      </w:r>
      <w:r w:rsidR="00DC1B79">
        <w:rPr>
          <w:sz w:val="22"/>
          <w:szCs w:val="22"/>
        </w:rPr>
        <w:t xml:space="preserve"> </w:t>
      </w:r>
      <w:r w:rsidRPr="003A4656">
        <w:rPr>
          <w:sz w:val="22"/>
          <w:szCs w:val="22"/>
        </w:rPr>
        <w:t>bearing the following variants: I15T, M18T, L28P, I31M, T37K, K45Q, M48K, T77M and G98V. No fluorescence was obs</w:t>
      </w:r>
      <w:r w:rsidR="00DC1B79">
        <w:rPr>
          <w:sz w:val="22"/>
          <w:szCs w:val="22"/>
        </w:rPr>
        <w:t xml:space="preserve">erved in bacteria co-expressing: a) </w:t>
      </w:r>
      <w:r w:rsidRPr="003A4656">
        <w:rPr>
          <w:sz w:val="22"/>
          <w:szCs w:val="22"/>
        </w:rPr>
        <w:t>non-cognate Z-CfrGFP/BARD1-NfrGFP (Z</w:t>
      </w:r>
      <w:r w:rsidRPr="003A4656">
        <w:rPr>
          <w:sz w:val="22"/>
          <w:szCs w:val="22"/>
          <w:vertAlign w:val="superscript"/>
        </w:rPr>
        <w:t>C</w:t>
      </w:r>
      <w:r w:rsidRPr="003A4656">
        <w:rPr>
          <w:sz w:val="22"/>
          <w:szCs w:val="22"/>
        </w:rPr>
        <w:t>/B</w:t>
      </w:r>
      <w:r w:rsidRPr="003A4656">
        <w:rPr>
          <w:sz w:val="22"/>
          <w:szCs w:val="22"/>
          <w:vertAlign w:val="superscript"/>
        </w:rPr>
        <w:t>N</w:t>
      </w:r>
      <w:r w:rsidRPr="003A4656">
        <w:rPr>
          <w:sz w:val="22"/>
          <w:szCs w:val="22"/>
        </w:rPr>
        <w:t>)</w:t>
      </w:r>
      <w:r w:rsidR="00DC1B79">
        <w:rPr>
          <w:sz w:val="22"/>
          <w:szCs w:val="22"/>
        </w:rPr>
        <w:t xml:space="preserve"> fusion peptides</w:t>
      </w:r>
      <w:r w:rsidRPr="003A4656">
        <w:rPr>
          <w:sz w:val="22"/>
          <w:szCs w:val="22"/>
        </w:rPr>
        <w:t>,</w:t>
      </w:r>
      <w:r w:rsidR="00DC1B79">
        <w:rPr>
          <w:sz w:val="22"/>
          <w:szCs w:val="22"/>
        </w:rPr>
        <w:t xml:space="preserve"> b)</w:t>
      </w:r>
      <w:r w:rsidRPr="003A4656">
        <w:rPr>
          <w:sz w:val="22"/>
          <w:szCs w:val="22"/>
        </w:rPr>
        <w:t xml:space="preserve"> BARD1-NfrGFP and BRCA1 </w:t>
      </w:r>
      <w:r w:rsidRPr="00FE5422">
        <w:rPr>
          <w:sz w:val="22"/>
          <w:szCs w:val="22"/>
          <w:vertAlign w:val="subscript"/>
        </w:rPr>
        <w:t>C61G</w:t>
      </w:r>
      <w:r w:rsidRPr="003A4656">
        <w:rPr>
          <w:sz w:val="22"/>
          <w:szCs w:val="22"/>
        </w:rPr>
        <w:t xml:space="preserve">-CfrGFP, carrying the </w:t>
      </w:r>
      <w:r w:rsidR="00DC1B79">
        <w:rPr>
          <w:sz w:val="22"/>
          <w:szCs w:val="22"/>
        </w:rPr>
        <w:t xml:space="preserve">pathogenic mutation </w:t>
      </w:r>
      <w:r w:rsidR="00FE5422">
        <w:rPr>
          <w:sz w:val="22"/>
          <w:szCs w:val="22"/>
        </w:rPr>
        <w:t>C61G used as negative control;</w:t>
      </w:r>
      <w:r w:rsidRPr="003A4656">
        <w:rPr>
          <w:sz w:val="22"/>
          <w:szCs w:val="22"/>
        </w:rPr>
        <w:t xml:space="preserve"> </w:t>
      </w:r>
      <w:r w:rsidR="00FE5422">
        <w:rPr>
          <w:sz w:val="22"/>
          <w:szCs w:val="22"/>
        </w:rPr>
        <w:t xml:space="preserve">c) </w:t>
      </w:r>
      <w:r w:rsidR="00FE5422" w:rsidRPr="003A4656">
        <w:rPr>
          <w:sz w:val="22"/>
          <w:szCs w:val="22"/>
        </w:rPr>
        <w:t xml:space="preserve">BARD1-NfrGFP </w:t>
      </w:r>
      <w:r w:rsidR="00FE5422">
        <w:rPr>
          <w:sz w:val="22"/>
          <w:szCs w:val="22"/>
        </w:rPr>
        <w:t>together with</w:t>
      </w:r>
      <w:r w:rsidR="00FE5422" w:rsidRPr="003A4656">
        <w:rPr>
          <w:sz w:val="22"/>
          <w:szCs w:val="22"/>
        </w:rPr>
        <w:t xml:space="preserve"> BRCA1-CfrGFP </w:t>
      </w:r>
      <w:r w:rsidR="00FE5422">
        <w:rPr>
          <w:sz w:val="22"/>
          <w:szCs w:val="22"/>
        </w:rPr>
        <w:t xml:space="preserve">fusion peptides </w:t>
      </w:r>
      <w:r w:rsidRPr="003A4656">
        <w:rPr>
          <w:sz w:val="22"/>
          <w:szCs w:val="22"/>
        </w:rPr>
        <w:t xml:space="preserve">bearing the following variants: </w:t>
      </w:r>
      <w:r w:rsidR="00FE5422">
        <w:rPr>
          <w:sz w:val="22"/>
          <w:szCs w:val="22"/>
        </w:rPr>
        <w:t>p.</w:t>
      </w:r>
      <w:r w:rsidRPr="003A4656">
        <w:rPr>
          <w:sz w:val="22"/>
          <w:szCs w:val="22"/>
        </w:rPr>
        <w:t>7-10del, L22S,</w:t>
      </w:r>
      <w:r w:rsidR="00FE5422">
        <w:rPr>
          <w:sz w:val="22"/>
          <w:szCs w:val="22"/>
        </w:rPr>
        <w:t xml:space="preserve"> </w:t>
      </w:r>
      <w:r w:rsidRPr="003A4656">
        <w:rPr>
          <w:sz w:val="22"/>
          <w:szCs w:val="22"/>
        </w:rPr>
        <w:t>C39R, C39Y,</w:t>
      </w:r>
      <w:r w:rsidR="00FE5422">
        <w:rPr>
          <w:sz w:val="22"/>
          <w:szCs w:val="22"/>
        </w:rPr>
        <w:t xml:space="preserve"> </w:t>
      </w:r>
      <w:r w:rsidRPr="003A4656">
        <w:rPr>
          <w:sz w:val="22"/>
          <w:szCs w:val="22"/>
        </w:rPr>
        <w:t xml:space="preserve">C44F, C44S, C44Y, C64R and C64Y (Figure 7). </w:t>
      </w:r>
    </w:p>
    <w:p w:rsidR="00985322" w:rsidRDefault="00985322" w:rsidP="00AD5CA2">
      <w:pPr>
        <w:tabs>
          <w:tab w:val="left" w:pos="90"/>
        </w:tabs>
        <w:ind w:left="0" w:right="0"/>
        <w:jc w:val="center"/>
        <w:rPr>
          <w:sz w:val="22"/>
          <w:szCs w:val="22"/>
        </w:rPr>
      </w:pPr>
    </w:p>
    <w:p w:rsidR="00C941EF" w:rsidRPr="003A4656" w:rsidRDefault="00C941EF" w:rsidP="00AD5CA2">
      <w:pPr>
        <w:tabs>
          <w:tab w:val="left" w:pos="90"/>
        </w:tabs>
        <w:ind w:left="0" w:right="0"/>
        <w:jc w:val="center"/>
        <w:rPr>
          <w:sz w:val="22"/>
          <w:szCs w:val="22"/>
        </w:rPr>
      </w:pPr>
      <w:r w:rsidRPr="003A4656">
        <w:rPr>
          <w:noProof/>
          <w:sz w:val="22"/>
          <w:szCs w:val="22"/>
          <w:lang w:val="en-US" w:eastAsia="en-US"/>
        </w:rPr>
        <w:drawing>
          <wp:inline distT="0" distB="0" distL="0" distR="0">
            <wp:extent cx="2725947" cy="2376628"/>
            <wp:effectExtent l="0" t="0" r="0" b="0"/>
            <wp:docPr id="12" name="Picture 12" descr="GFP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FP figure"/>
                    <pic:cNvPicPr>
                      <a:picLocks noChangeAspect="1" noChangeArrowheads="1"/>
                    </pic:cNvPicPr>
                  </pic:nvPicPr>
                  <pic:blipFill>
                    <a:blip r:embed="rId51" cstate="print"/>
                    <a:srcRect/>
                    <a:stretch>
                      <a:fillRect/>
                    </a:stretch>
                  </pic:blipFill>
                  <pic:spPr bwMode="auto">
                    <a:xfrm>
                      <a:off x="0" y="0"/>
                      <a:ext cx="2726918" cy="2377474"/>
                    </a:xfrm>
                    <a:prstGeom prst="rect">
                      <a:avLst/>
                    </a:prstGeom>
                    <a:noFill/>
                    <a:ln w="9525">
                      <a:noFill/>
                      <a:miter lim="800000"/>
                      <a:headEnd/>
                      <a:tailEnd/>
                    </a:ln>
                  </pic:spPr>
                </pic:pic>
              </a:graphicData>
            </a:graphic>
          </wp:inline>
        </w:drawing>
      </w:r>
    </w:p>
    <w:p w:rsidR="00C941EF" w:rsidRPr="003A4656" w:rsidRDefault="00C941EF" w:rsidP="00AD5CA2">
      <w:pPr>
        <w:tabs>
          <w:tab w:val="left" w:pos="90"/>
        </w:tabs>
        <w:ind w:left="1710" w:right="1620"/>
        <w:rPr>
          <w:i/>
        </w:rPr>
      </w:pPr>
      <w:proofErr w:type="gramStart"/>
      <w:r w:rsidRPr="003A4656">
        <w:rPr>
          <w:i/>
        </w:rPr>
        <w:t>Fig.7 Detection of BRCA1/BARD1 interaction by GFP-fragment reassembly screening.</w:t>
      </w:r>
      <w:proofErr w:type="gramEnd"/>
      <w:r w:rsidRPr="003A4656">
        <w:rPr>
          <w:i/>
        </w:rPr>
        <w:t xml:space="preserve"> Fluorescence was observed, under long-wave (365nm) UV light, after 24 h of growth at 30°C followed by 2 days of incubation at RT. [Abbreviations: L-arabinose (L-ara); NfrGFPBARD1 (B</w:t>
      </w:r>
      <w:r w:rsidRPr="003A4656">
        <w:rPr>
          <w:i/>
          <w:vertAlign w:val="superscript"/>
        </w:rPr>
        <w:t>N</w:t>
      </w:r>
      <w:r w:rsidRPr="003A4656">
        <w:rPr>
          <w:i/>
        </w:rPr>
        <w:t>); H6-NfrGFP (Z</w:t>
      </w:r>
      <w:r w:rsidRPr="003A4656">
        <w:rPr>
          <w:i/>
          <w:vertAlign w:val="superscript"/>
        </w:rPr>
        <w:t>N</w:t>
      </w:r>
      <w:r w:rsidRPr="003A4656">
        <w:rPr>
          <w:i/>
        </w:rPr>
        <w:t>); ZCfrGFP-HA (Z</w:t>
      </w:r>
      <w:r w:rsidRPr="003A4656">
        <w:rPr>
          <w:i/>
          <w:vertAlign w:val="superscript"/>
        </w:rPr>
        <w:t>C</w:t>
      </w:r>
      <w:r w:rsidRPr="003A4656">
        <w:rPr>
          <w:i/>
        </w:rPr>
        <w:t>)]</w:t>
      </w:r>
    </w:p>
    <w:p w:rsidR="00C941EF" w:rsidRPr="003A4656" w:rsidRDefault="00C941EF" w:rsidP="00AD5CA2">
      <w:pPr>
        <w:tabs>
          <w:tab w:val="left" w:pos="90"/>
        </w:tabs>
        <w:ind w:left="0" w:right="0"/>
        <w:rPr>
          <w:sz w:val="22"/>
          <w:szCs w:val="22"/>
        </w:rPr>
      </w:pPr>
    </w:p>
    <w:p w:rsidR="00C83F64" w:rsidRPr="003A4656" w:rsidRDefault="00C83F64" w:rsidP="00AD5CA2">
      <w:pPr>
        <w:tabs>
          <w:tab w:val="left" w:pos="90"/>
        </w:tabs>
        <w:ind w:left="0" w:right="0"/>
        <w:rPr>
          <w:sz w:val="22"/>
          <w:szCs w:val="22"/>
        </w:rPr>
      </w:pPr>
      <w:r w:rsidRPr="003A4656">
        <w:rPr>
          <w:sz w:val="22"/>
          <w:szCs w:val="22"/>
        </w:rPr>
        <w:t xml:space="preserve">In addition, since unassembled GFP fusion fragments are unfolded and less soluble (Magliery T.J. et al., 2005) IMAC purified reassembled complexes from the soluble fraction of co-transformed cells </w:t>
      </w:r>
      <w:r w:rsidRPr="003A4656">
        <w:rPr>
          <w:i/>
          <w:iCs/>
          <w:sz w:val="22"/>
          <w:szCs w:val="22"/>
        </w:rPr>
        <w:t xml:space="preserve">E. coli </w:t>
      </w:r>
      <w:r w:rsidRPr="003A4656">
        <w:rPr>
          <w:sz w:val="22"/>
          <w:szCs w:val="22"/>
        </w:rPr>
        <w:t>BL21-(DE3) were analyzed by Western blotting, using a polyclonal anti-GFP antibody</w:t>
      </w:r>
      <w:r w:rsidR="00C555A4">
        <w:rPr>
          <w:sz w:val="22"/>
          <w:szCs w:val="22"/>
        </w:rPr>
        <w:t>.</w:t>
      </w:r>
      <w:r w:rsidRPr="003A4656">
        <w:rPr>
          <w:sz w:val="22"/>
          <w:szCs w:val="22"/>
        </w:rPr>
        <w:t xml:space="preserve"> </w:t>
      </w:r>
      <w:r w:rsidR="00E930DF">
        <w:rPr>
          <w:sz w:val="22"/>
          <w:szCs w:val="22"/>
        </w:rPr>
        <w:t xml:space="preserve">The detection of two strong bands </w:t>
      </w:r>
      <w:r w:rsidR="00E930DF" w:rsidRPr="003A4656">
        <w:rPr>
          <w:sz w:val="22"/>
          <w:szCs w:val="22"/>
        </w:rPr>
        <w:t>corresponding to the complex components</w:t>
      </w:r>
      <w:r w:rsidR="00E930DF">
        <w:rPr>
          <w:sz w:val="22"/>
          <w:szCs w:val="22"/>
        </w:rPr>
        <w:t xml:space="preserve">, confirmed interaction with BARD1 for all BRCA1 constructs that tested positive </w:t>
      </w:r>
      <w:r w:rsidR="0033633C">
        <w:rPr>
          <w:sz w:val="22"/>
          <w:szCs w:val="22"/>
        </w:rPr>
        <w:t xml:space="preserve">in the </w:t>
      </w:r>
      <w:r w:rsidR="0033633C" w:rsidRPr="003A4656">
        <w:rPr>
          <w:sz w:val="22"/>
          <w:szCs w:val="22"/>
        </w:rPr>
        <w:t>fluorescence reassembly assay</w:t>
      </w:r>
      <w:r w:rsidR="0033633C">
        <w:rPr>
          <w:sz w:val="22"/>
          <w:szCs w:val="22"/>
        </w:rPr>
        <w:t>, whereas no bands were detected in the case of constructs for which no fluorescence was observed, confirming lack of interaction</w:t>
      </w:r>
      <w:r w:rsidR="00A3761F">
        <w:rPr>
          <w:sz w:val="22"/>
          <w:szCs w:val="22"/>
        </w:rPr>
        <w:t xml:space="preserve"> </w:t>
      </w:r>
      <w:r w:rsidR="0045404E" w:rsidRPr="003A4656">
        <w:rPr>
          <w:sz w:val="22"/>
          <w:szCs w:val="22"/>
        </w:rPr>
        <w:t>(</w:t>
      </w:r>
      <w:r w:rsidR="00C555A4">
        <w:rPr>
          <w:sz w:val="22"/>
          <w:szCs w:val="22"/>
        </w:rPr>
        <w:t>Figure 8</w:t>
      </w:r>
      <w:r w:rsidR="0045404E" w:rsidRPr="003A4656">
        <w:rPr>
          <w:sz w:val="22"/>
          <w:szCs w:val="22"/>
        </w:rPr>
        <w:t>)</w:t>
      </w:r>
      <w:r w:rsidR="0033633C">
        <w:rPr>
          <w:sz w:val="22"/>
          <w:szCs w:val="22"/>
        </w:rPr>
        <w:t>.</w:t>
      </w:r>
      <w:r w:rsidRPr="003A4656">
        <w:rPr>
          <w:sz w:val="22"/>
          <w:szCs w:val="22"/>
        </w:rPr>
        <w:t xml:space="preserve"> Unpurified cell lysate from co-transformed </w:t>
      </w:r>
      <w:r w:rsidRPr="003A4656">
        <w:rPr>
          <w:i/>
          <w:sz w:val="22"/>
          <w:szCs w:val="22"/>
        </w:rPr>
        <w:t>E.coli</w:t>
      </w:r>
      <w:r w:rsidRPr="003A4656">
        <w:rPr>
          <w:sz w:val="22"/>
          <w:szCs w:val="22"/>
        </w:rPr>
        <w:t xml:space="preserve"> BL21-(DE3) bacteria were visualized by Comassie staining, revealing that all BRCA1-CfrGFP-HA fusion peptides were expressed to a similar extent</w:t>
      </w:r>
      <w:r w:rsidR="00C555A4">
        <w:rPr>
          <w:sz w:val="22"/>
          <w:szCs w:val="22"/>
        </w:rPr>
        <w:t xml:space="preserve"> (data not shown)</w:t>
      </w:r>
      <w:r w:rsidR="00A3761F">
        <w:rPr>
          <w:sz w:val="22"/>
          <w:szCs w:val="22"/>
        </w:rPr>
        <w:t>.</w:t>
      </w:r>
      <w:r w:rsidRPr="003A4656">
        <w:rPr>
          <w:sz w:val="22"/>
          <w:szCs w:val="22"/>
        </w:rPr>
        <w:t xml:space="preserve"> This demonstrates that the lack of co-purification for the above indicated variants is attributable to the lack of binding to BARD1 and not to poor expression of the BRCA1 variant peptides.</w:t>
      </w:r>
    </w:p>
    <w:p w:rsidR="00C941EF" w:rsidRPr="003A4656" w:rsidRDefault="00A3761F" w:rsidP="00AD5CA2">
      <w:pPr>
        <w:tabs>
          <w:tab w:val="left" w:pos="90"/>
        </w:tabs>
        <w:ind w:left="0" w:right="0"/>
        <w:jc w:val="center"/>
        <w:rPr>
          <w:sz w:val="22"/>
          <w:szCs w:val="22"/>
        </w:rPr>
      </w:pPr>
      <w:r>
        <w:rPr>
          <w:noProof/>
          <w:sz w:val="22"/>
          <w:szCs w:val="22"/>
          <w:lang w:val="en-US" w:eastAsia="en-US"/>
        </w:rPr>
        <w:drawing>
          <wp:inline distT="0" distB="0" distL="0" distR="0">
            <wp:extent cx="3514725" cy="2322918"/>
            <wp:effectExtent l="0" t="0" r="0" b="0"/>
            <wp:docPr id="9" name="Picture 8" descr="GFP REASSEMBLY 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FP REASSEMBLY OK.png"/>
                    <pic:cNvPicPr/>
                  </pic:nvPicPr>
                  <pic:blipFill>
                    <a:blip r:embed="rId52" cstate="print"/>
                    <a:stretch>
                      <a:fillRect/>
                    </a:stretch>
                  </pic:blipFill>
                  <pic:spPr>
                    <a:xfrm>
                      <a:off x="0" y="0"/>
                      <a:ext cx="3516149" cy="2323859"/>
                    </a:xfrm>
                    <a:prstGeom prst="rect">
                      <a:avLst/>
                    </a:prstGeom>
                  </pic:spPr>
                </pic:pic>
              </a:graphicData>
            </a:graphic>
          </wp:inline>
        </w:drawing>
      </w:r>
    </w:p>
    <w:p w:rsidR="00C941EF" w:rsidRDefault="00C941EF" w:rsidP="00D446EF">
      <w:pPr>
        <w:tabs>
          <w:tab w:val="left" w:pos="90"/>
        </w:tabs>
        <w:ind w:left="1260" w:right="1170"/>
        <w:rPr>
          <w:i/>
        </w:rPr>
      </w:pPr>
      <w:proofErr w:type="gramStart"/>
      <w:r w:rsidRPr="003A4656">
        <w:rPr>
          <w:i/>
        </w:rPr>
        <w:t>Fig. 8.</w:t>
      </w:r>
      <w:proofErr w:type="gramEnd"/>
      <w:r w:rsidRPr="003A4656">
        <w:rPr>
          <w:i/>
        </w:rPr>
        <w:t xml:space="preserve"> Reassembled complexes were purified by IMAC methods from the soluble fraction of </w:t>
      </w:r>
      <w:r w:rsidRPr="003A4656">
        <w:rPr>
          <w:i/>
          <w:iCs/>
        </w:rPr>
        <w:t>E. coli</w:t>
      </w:r>
      <w:r w:rsidRPr="003A4656">
        <w:rPr>
          <w:i/>
        </w:rPr>
        <w:t xml:space="preserve"> BL21 (DE3), and visualized by Western blotting using an anti-GFP antibody </w:t>
      </w:r>
    </w:p>
    <w:p w:rsidR="00A3761F" w:rsidRDefault="00A3761F" w:rsidP="00D446EF">
      <w:pPr>
        <w:tabs>
          <w:tab w:val="left" w:pos="90"/>
        </w:tabs>
        <w:ind w:left="1260" w:right="1170"/>
        <w:rPr>
          <w:i/>
        </w:rPr>
      </w:pPr>
    </w:p>
    <w:p w:rsidR="00C941EF" w:rsidRDefault="00C941EF" w:rsidP="00AD5CA2">
      <w:pPr>
        <w:tabs>
          <w:tab w:val="left" w:pos="90"/>
        </w:tabs>
        <w:ind w:left="0" w:right="0"/>
        <w:rPr>
          <w:sz w:val="22"/>
          <w:szCs w:val="22"/>
        </w:rPr>
      </w:pPr>
    </w:p>
    <w:p w:rsidR="00C941EF" w:rsidRPr="003A4656" w:rsidRDefault="00C941EF" w:rsidP="00AD5CA2">
      <w:pPr>
        <w:pStyle w:val="ListParagraph"/>
        <w:numPr>
          <w:ilvl w:val="0"/>
          <w:numId w:val="25"/>
        </w:numPr>
        <w:tabs>
          <w:tab w:val="left" w:pos="90"/>
        </w:tabs>
        <w:ind w:right="0"/>
        <w:rPr>
          <w:rFonts w:ascii="Times New Roman" w:hAnsi="Times New Roman"/>
          <w:b/>
          <w:lang w:val="en-GB"/>
        </w:rPr>
      </w:pPr>
      <w:r w:rsidRPr="003A4656">
        <w:rPr>
          <w:rFonts w:ascii="Times New Roman" w:hAnsi="Times New Roman"/>
          <w:b/>
          <w:i/>
          <w:lang w:val="en-GB"/>
        </w:rPr>
        <w:t>In silico</w:t>
      </w:r>
      <w:r w:rsidRPr="003A4656">
        <w:rPr>
          <w:rFonts w:ascii="Times New Roman" w:hAnsi="Times New Roman"/>
          <w:b/>
          <w:lang w:val="en-GB"/>
        </w:rPr>
        <w:t xml:space="preserve"> analysis of BRCA1 </w:t>
      </w:r>
      <w:r w:rsidR="00826D66">
        <w:rPr>
          <w:rFonts w:ascii="Times New Roman" w:hAnsi="Times New Roman"/>
          <w:b/>
          <w:lang w:val="en-GB"/>
        </w:rPr>
        <w:t>VUS</w:t>
      </w:r>
    </w:p>
    <w:p w:rsidR="00B6298F" w:rsidRPr="003A4656" w:rsidRDefault="00C941EF" w:rsidP="00AD5CA2">
      <w:pPr>
        <w:tabs>
          <w:tab w:val="left" w:pos="90"/>
        </w:tabs>
        <w:ind w:left="0" w:right="0"/>
        <w:rPr>
          <w:sz w:val="22"/>
          <w:szCs w:val="22"/>
        </w:rPr>
      </w:pPr>
      <w:r w:rsidRPr="003A4656">
        <w:rPr>
          <w:i/>
          <w:sz w:val="22"/>
          <w:szCs w:val="22"/>
        </w:rPr>
        <w:t>In silico</w:t>
      </w:r>
      <w:r w:rsidR="001640D4">
        <w:rPr>
          <w:sz w:val="22"/>
          <w:szCs w:val="22"/>
        </w:rPr>
        <w:t xml:space="preserve"> analysi</w:t>
      </w:r>
      <w:r w:rsidRPr="003A4656">
        <w:rPr>
          <w:sz w:val="22"/>
          <w:szCs w:val="22"/>
        </w:rPr>
        <w:t xml:space="preserve">s </w:t>
      </w:r>
      <w:r w:rsidR="001E47F8">
        <w:rPr>
          <w:sz w:val="22"/>
          <w:szCs w:val="22"/>
        </w:rPr>
        <w:t xml:space="preserve">of the missense variants tested with the GFP-reassembly assay </w:t>
      </w:r>
      <w:r w:rsidRPr="003A4656">
        <w:rPr>
          <w:sz w:val="22"/>
          <w:szCs w:val="22"/>
        </w:rPr>
        <w:t>h</w:t>
      </w:r>
      <w:r w:rsidR="001640D4">
        <w:rPr>
          <w:sz w:val="22"/>
          <w:szCs w:val="22"/>
        </w:rPr>
        <w:t>as</w:t>
      </w:r>
      <w:r w:rsidRPr="003A4656">
        <w:rPr>
          <w:sz w:val="22"/>
          <w:szCs w:val="22"/>
        </w:rPr>
        <w:t xml:space="preserve"> been performed using different computational methods (described in Material and Methods). The results are reported in table</w:t>
      </w:r>
      <w:r w:rsidR="00FF6C2F">
        <w:rPr>
          <w:sz w:val="22"/>
          <w:szCs w:val="22"/>
        </w:rPr>
        <w:t xml:space="preserve"> 8</w:t>
      </w:r>
      <w:r w:rsidRPr="003A4656">
        <w:rPr>
          <w:sz w:val="22"/>
          <w:szCs w:val="22"/>
        </w:rPr>
        <w:t xml:space="preserve">. </w:t>
      </w: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Default="00D446EF" w:rsidP="00AD5CA2">
      <w:pPr>
        <w:tabs>
          <w:tab w:val="left" w:pos="90"/>
        </w:tabs>
        <w:ind w:left="0" w:right="0"/>
        <w:jc w:val="center"/>
        <w:rPr>
          <w:sz w:val="22"/>
          <w:szCs w:val="22"/>
        </w:rPr>
      </w:pPr>
    </w:p>
    <w:p w:rsidR="00985322" w:rsidRPr="003A4656" w:rsidRDefault="00985322"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D446EF" w:rsidRPr="003A4656" w:rsidRDefault="00D446EF" w:rsidP="00AD5CA2">
      <w:pPr>
        <w:tabs>
          <w:tab w:val="left" w:pos="90"/>
        </w:tabs>
        <w:ind w:left="0" w:right="0"/>
        <w:jc w:val="center"/>
        <w:rPr>
          <w:sz w:val="22"/>
          <w:szCs w:val="22"/>
        </w:rPr>
      </w:pPr>
    </w:p>
    <w:p w:rsidR="00985322" w:rsidRDefault="00985322" w:rsidP="00AD5CA2">
      <w:pPr>
        <w:tabs>
          <w:tab w:val="left" w:pos="90"/>
        </w:tabs>
        <w:ind w:left="0" w:right="0"/>
        <w:jc w:val="center"/>
        <w:rPr>
          <w:sz w:val="22"/>
          <w:szCs w:val="22"/>
        </w:rPr>
      </w:pPr>
    </w:p>
    <w:p w:rsidR="00C941EF" w:rsidRDefault="00B6298F" w:rsidP="00AD5CA2">
      <w:pPr>
        <w:tabs>
          <w:tab w:val="left" w:pos="90"/>
        </w:tabs>
        <w:ind w:left="0" w:right="0"/>
        <w:jc w:val="center"/>
        <w:rPr>
          <w:sz w:val="22"/>
          <w:szCs w:val="22"/>
        </w:rPr>
      </w:pPr>
      <w:proofErr w:type="gramStart"/>
      <w:r w:rsidRPr="003A4656">
        <w:rPr>
          <w:sz w:val="22"/>
          <w:szCs w:val="22"/>
        </w:rPr>
        <w:t xml:space="preserve">Table </w:t>
      </w:r>
      <w:r w:rsidR="00FF6C2F">
        <w:rPr>
          <w:sz w:val="22"/>
          <w:szCs w:val="22"/>
        </w:rPr>
        <w:t>8</w:t>
      </w:r>
      <w:r w:rsidRPr="003A4656">
        <w:rPr>
          <w:sz w:val="22"/>
          <w:szCs w:val="22"/>
        </w:rPr>
        <w:t>.</w:t>
      </w:r>
      <w:proofErr w:type="gramEnd"/>
      <w:r w:rsidRPr="003A4656">
        <w:rPr>
          <w:sz w:val="22"/>
          <w:szCs w:val="22"/>
        </w:rPr>
        <w:t xml:space="preserve"> </w:t>
      </w:r>
      <w:r w:rsidRPr="003A4656">
        <w:rPr>
          <w:i/>
          <w:sz w:val="22"/>
          <w:szCs w:val="22"/>
        </w:rPr>
        <w:t>In silico</w:t>
      </w:r>
      <w:r w:rsidRPr="003A4656">
        <w:rPr>
          <w:sz w:val="22"/>
          <w:szCs w:val="22"/>
        </w:rPr>
        <w:t xml:space="preserve"> analysis of BRCA1 </w:t>
      </w:r>
      <w:r w:rsidR="00D20B63">
        <w:rPr>
          <w:sz w:val="22"/>
          <w:szCs w:val="22"/>
        </w:rPr>
        <w:t>VUS</w:t>
      </w:r>
    </w:p>
    <w:p w:rsidR="0063749A" w:rsidRPr="003A4656" w:rsidRDefault="0063749A" w:rsidP="00AD5CA2">
      <w:pPr>
        <w:tabs>
          <w:tab w:val="left" w:pos="90"/>
        </w:tabs>
        <w:ind w:left="0" w:right="0"/>
        <w:jc w:val="center"/>
        <w:rPr>
          <w:sz w:val="22"/>
          <w:szCs w:val="22"/>
        </w:rPr>
      </w:pPr>
      <w:r>
        <w:rPr>
          <w:noProof/>
          <w:sz w:val="22"/>
          <w:szCs w:val="22"/>
          <w:lang w:val="en-US" w:eastAsia="en-US"/>
        </w:rPr>
        <w:drawing>
          <wp:inline distT="0" distB="0" distL="0" distR="0">
            <wp:extent cx="4495800" cy="3330022"/>
            <wp:effectExtent l="19050" t="0" r="0" b="0"/>
            <wp:docPr id="10" name="Picture 9" descr="tab in sil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 in silico.png"/>
                    <pic:cNvPicPr/>
                  </pic:nvPicPr>
                  <pic:blipFill>
                    <a:blip r:embed="rId53" cstate="print"/>
                    <a:stretch>
                      <a:fillRect/>
                    </a:stretch>
                  </pic:blipFill>
                  <pic:spPr>
                    <a:xfrm>
                      <a:off x="0" y="0"/>
                      <a:ext cx="4495800" cy="3330022"/>
                    </a:xfrm>
                    <a:prstGeom prst="rect">
                      <a:avLst/>
                    </a:prstGeom>
                  </pic:spPr>
                </pic:pic>
              </a:graphicData>
            </a:graphic>
          </wp:inline>
        </w:drawing>
      </w:r>
    </w:p>
    <w:p w:rsidR="00C941EF" w:rsidRPr="003A4656" w:rsidRDefault="00C941EF" w:rsidP="00AD5CA2">
      <w:pPr>
        <w:tabs>
          <w:tab w:val="left" w:pos="90"/>
        </w:tabs>
        <w:ind w:left="0" w:right="0"/>
        <w:rPr>
          <w:sz w:val="22"/>
          <w:szCs w:val="22"/>
        </w:rPr>
      </w:pPr>
    </w:p>
    <w:p w:rsidR="003F0767" w:rsidRPr="003A4656" w:rsidRDefault="003F0767" w:rsidP="00AD5CA2">
      <w:pPr>
        <w:tabs>
          <w:tab w:val="left" w:pos="90"/>
        </w:tabs>
        <w:ind w:left="0" w:right="0"/>
        <w:rPr>
          <w:sz w:val="22"/>
          <w:szCs w:val="22"/>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tabs>
          <w:tab w:val="left" w:pos="90"/>
        </w:tabs>
        <w:ind w:left="0"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AD5CA2">
      <w:pPr>
        <w:pStyle w:val="ListParagraph"/>
        <w:ind w:right="0"/>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C941EF" w:rsidRPr="003A4656" w:rsidRDefault="00C941EF"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Default="00DE0442" w:rsidP="0045404E">
      <w:pPr>
        <w:ind w:left="0"/>
        <w:rPr>
          <w:rFonts w:eastAsia="Calibri"/>
          <w:sz w:val="22"/>
          <w:szCs w:val="22"/>
          <w:lang w:eastAsia="en-US"/>
        </w:rPr>
      </w:pPr>
    </w:p>
    <w:p w:rsidR="0045404E" w:rsidRPr="0045404E" w:rsidRDefault="0045404E" w:rsidP="0045404E">
      <w:pPr>
        <w:ind w:left="0"/>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B089A" w:rsidRPr="003A4656" w:rsidRDefault="00DB089A" w:rsidP="00583E5E">
      <w:pPr>
        <w:pStyle w:val="ListParagraph"/>
        <w:jc w:val="both"/>
        <w:rPr>
          <w:rFonts w:ascii="Times New Roman" w:hAnsi="Times New Roman"/>
          <w:lang w:val="en-GB"/>
        </w:rPr>
      </w:pPr>
    </w:p>
    <w:p w:rsidR="00DB089A" w:rsidRPr="003A4656" w:rsidRDefault="00DB089A" w:rsidP="00583E5E">
      <w:pPr>
        <w:pStyle w:val="ListParagraph"/>
        <w:jc w:val="both"/>
        <w:rPr>
          <w:rFonts w:ascii="Times New Roman" w:hAnsi="Times New Roman"/>
          <w:lang w:val="en-GB"/>
        </w:rPr>
      </w:pPr>
    </w:p>
    <w:p w:rsidR="00DB089A" w:rsidRPr="003A4656" w:rsidRDefault="00DB089A"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DE0442" w:rsidRPr="003A4656" w:rsidRDefault="00DE0442" w:rsidP="00583E5E">
      <w:pPr>
        <w:pStyle w:val="ListParagraph"/>
        <w:jc w:val="both"/>
        <w:rPr>
          <w:rFonts w:ascii="Times New Roman" w:hAnsi="Times New Roman"/>
          <w:lang w:val="en-GB"/>
        </w:rPr>
      </w:pPr>
    </w:p>
    <w:p w:rsidR="00B91ECF" w:rsidRDefault="00B91ECF" w:rsidP="00D446EF">
      <w:pPr>
        <w:pStyle w:val="ListParagraph"/>
        <w:jc w:val="right"/>
        <w:rPr>
          <w:rFonts w:ascii="Times New Roman" w:eastAsia="Times New Roman" w:hAnsi="Times New Roman"/>
          <w:b/>
          <w:i/>
          <w:sz w:val="36"/>
          <w:szCs w:val="36"/>
          <w:lang w:val="en-GB" w:eastAsia="fr-FR"/>
        </w:rPr>
      </w:pPr>
    </w:p>
    <w:p w:rsidR="00B91ECF" w:rsidRDefault="00B91ECF" w:rsidP="00D446EF">
      <w:pPr>
        <w:pStyle w:val="ListParagraph"/>
        <w:jc w:val="right"/>
        <w:rPr>
          <w:rFonts w:ascii="Times New Roman" w:eastAsia="Times New Roman" w:hAnsi="Times New Roman"/>
          <w:b/>
          <w:i/>
          <w:sz w:val="36"/>
          <w:szCs w:val="36"/>
          <w:lang w:val="en-GB" w:eastAsia="fr-FR"/>
        </w:rPr>
      </w:pPr>
    </w:p>
    <w:p w:rsidR="00C941EF" w:rsidRPr="003A4656" w:rsidRDefault="00D446EF" w:rsidP="00D446EF">
      <w:pPr>
        <w:pStyle w:val="ListParagraph"/>
        <w:jc w:val="right"/>
        <w:rPr>
          <w:rFonts w:ascii="Times New Roman" w:eastAsia="Times New Roman" w:hAnsi="Times New Roman"/>
          <w:b/>
          <w:i/>
          <w:sz w:val="36"/>
          <w:szCs w:val="36"/>
          <w:lang w:val="en-GB" w:eastAsia="fr-FR"/>
        </w:rPr>
      </w:pPr>
      <w:r w:rsidRPr="003A4656">
        <w:rPr>
          <w:rFonts w:ascii="Times New Roman" w:eastAsia="Times New Roman" w:hAnsi="Times New Roman"/>
          <w:b/>
          <w:i/>
          <w:sz w:val="36"/>
          <w:szCs w:val="36"/>
          <w:lang w:val="en-GB" w:eastAsia="fr-FR"/>
        </w:rPr>
        <w:t>D</w:t>
      </w:r>
      <w:r w:rsidR="00C941EF" w:rsidRPr="003A4656">
        <w:rPr>
          <w:rFonts w:ascii="Times New Roman" w:eastAsia="Times New Roman" w:hAnsi="Times New Roman"/>
          <w:b/>
          <w:i/>
          <w:sz w:val="36"/>
          <w:szCs w:val="36"/>
          <w:lang w:val="en-GB" w:eastAsia="fr-FR"/>
        </w:rPr>
        <w:t>iscussion and Conclusions</w:t>
      </w: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Default="00C941EF" w:rsidP="00583E5E">
      <w:pPr>
        <w:rPr>
          <w:sz w:val="22"/>
          <w:szCs w:val="22"/>
        </w:rPr>
      </w:pPr>
    </w:p>
    <w:p w:rsidR="0063749A" w:rsidRDefault="0063749A" w:rsidP="00583E5E">
      <w:pPr>
        <w:rPr>
          <w:sz w:val="22"/>
          <w:szCs w:val="22"/>
        </w:rPr>
      </w:pPr>
    </w:p>
    <w:p w:rsidR="0063749A" w:rsidRDefault="0063749A" w:rsidP="00583E5E">
      <w:pPr>
        <w:rPr>
          <w:sz w:val="22"/>
          <w:szCs w:val="22"/>
        </w:rPr>
      </w:pPr>
    </w:p>
    <w:p w:rsidR="00985322" w:rsidRDefault="00985322" w:rsidP="00583E5E">
      <w:pPr>
        <w:rPr>
          <w:sz w:val="22"/>
          <w:szCs w:val="22"/>
        </w:rPr>
      </w:pPr>
    </w:p>
    <w:p w:rsidR="0063749A" w:rsidRPr="003A4656" w:rsidRDefault="0063749A" w:rsidP="00583E5E">
      <w:pPr>
        <w:rPr>
          <w:sz w:val="22"/>
          <w:szCs w:val="22"/>
        </w:rPr>
      </w:pPr>
    </w:p>
    <w:p w:rsidR="00C941EF" w:rsidRDefault="00C941EF" w:rsidP="00583E5E">
      <w:pPr>
        <w:rPr>
          <w:sz w:val="22"/>
          <w:szCs w:val="22"/>
        </w:rPr>
      </w:pPr>
    </w:p>
    <w:p w:rsidR="00DB089A" w:rsidRPr="003A4656" w:rsidRDefault="0045404E" w:rsidP="00D446EF">
      <w:pPr>
        <w:tabs>
          <w:tab w:val="left" w:pos="0"/>
        </w:tabs>
        <w:ind w:left="0" w:right="0"/>
        <w:rPr>
          <w:sz w:val="22"/>
          <w:szCs w:val="22"/>
        </w:rPr>
      </w:pPr>
      <w:r>
        <w:rPr>
          <w:sz w:val="22"/>
          <w:szCs w:val="22"/>
        </w:rPr>
        <w:t>The i</w:t>
      </w:r>
      <w:r w:rsidR="00DB089A" w:rsidRPr="003A4656">
        <w:rPr>
          <w:sz w:val="22"/>
          <w:szCs w:val="22"/>
        </w:rPr>
        <w:t xml:space="preserve">dentification of </w:t>
      </w:r>
      <w:r w:rsidR="00DB089A" w:rsidRPr="003A4656">
        <w:rPr>
          <w:i/>
          <w:sz w:val="22"/>
          <w:szCs w:val="22"/>
        </w:rPr>
        <w:t>BRCA1</w:t>
      </w:r>
      <w:r w:rsidR="00DB089A" w:rsidRPr="003A4656">
        <w:rPr>
          <w:sz w:val="22"/>
          <w:szCs w:val="22"/>
        </w:rPr>
        <w:t xml:space="preserve"> and </w:t>
      </w:r>
      <w:r w:rsidR="00DB089A" w:rsidRPr="003A4656">
        <w:rPr>
          <w:i/>
          <w:sz w:val="22"/>
          <w:szCs w:val="22"/>
        </w:rPr>
        <w:t>BRCA2</w:t>
      </w:r>
      <w:r w:rsidR="00DB089A" w:rsidRPr="003A4656">
        <w:rPr>
          <w:sz w:val="22"/>
          <w:szCs w:val="22"/>
        </w:rPr>
        <w:t xml:space="preserve"> had led the major changes in the treatment of women with an inherited predisposition </w:t>
      </w:r>
      <w:r>
        <w:rPr>
          <w:sz w:val="22"/>
          <w:szCs w:val="22"/>
        </w:rPr>
        <w:t>to</w:t>
      </w:r>
      <w:r w:rsidR="00DB089A" w:rsidRPr="003A4656">
        <w:rPr>
          <w:sz w:val="22"/>
          <w:szCs w:val="22"/>
        </w:rPr>
        <w:t xml:space="preserve"> breast and ovarian cancer. The innovative feature of clinical changes has been the genetic approach to the identification of high-risk women. The medical and surgical options offered to high-risk women remain conventional. Ultimately, one hopes that understanding the pathways in which </w:t>
      </w:r>
      <w:r w:rsidR="00DB089A" w:rsidRPr="003A4656">
        <w:rPr>
          <w:i/>
          <w:sz w:val="22"/>
          <w:szCs w:val="22"/>
        </w:rPr>
        <w:t>BRCA1</w:t>
      </w:r>
      <w:r w:rsidR="00DB089A" w:rsidRPr="003A4656">
        <w:rPr>
          <w:sz w:val="22"/>
          <w:szCs w:val="22"/>
        </w:rPr>
        <w:t xml:space="preserve"> and </w:t>
      </w:r>
      <w:r w:rsidR="00DB089A" w:rsidRPr="003A4656">
        <w:rPr>
          <w:i/>
          <w:sz w:val="22"/>
          <w:szCs w:val="22"/>
        </w:rPr>
        <w:t>BRCA2</w:t>
      </w:r>
      <w:r w:rsidR="00DB089A" w:rsidRPr="003A4656">
        <w:rPr>
          <w:sz w:val="22"/>
          <w:szCs w:val="22"/>
        </w:rPr>
        <w:t xml:space="preserve"> participate in normal breast cells and in breast tumorigenesis will become the basis of non-invasive intervention for women at risk. Understanding the normal functions and regulation of BRCA1 and BRCA2 proteins may reveal how direct or indirect functional inactivation of </w:t>
      </w:r>
      <w:r w:rsidR="00DB089A" w:rsidRPr="003A4656">
        <w:rPr>
          <w:i/>
          <w:sz w:val="22"/>
          <w:szCs w:val="22"/>
        </w:rPr>
        <w:t xml:space="preserve">BRCA </w:t>
      </w:r>
      <w:r w:rsidR="00DB089A" w:rsidRPr="003A4656">
        <w:rPr>
          <w:sz w:val="22"/>
          <w:szCs w:val="22"/>
        </w:rPr>
        <w:t xml:space="preserve">genes ultimately leads to breast tumorigenesis. It is now clear that the normal protein products of </w:t>
      </w:r>
      <w:r w:rsidR="00DB089A" w:rsidRPr="003A4656">
        <w:rPr>
          <w:i/>
          <w:sz w:val="22"/>
          <w:szCs w:val="22"/>
        </w:rPr>
        <w:t>BRCA1</w:t>
      </w:r>
      <w:r w:rsidR="00DB089A" w:rsidRPr="003A4656">
        <w:rPr>
          <w:sz w:val="22"/>
          <w:szCs w:val="22"/>
        </w:rPr>
        <w:t xml:space="preserve"> and </w:t>
      </w:r>
      <w:r w:rsidR="00DB089A" w:rsidRPr="003A4656">
        <w:rPr>
          <w:i/>
          <w:sz w:val="22"/>
          <w:szCs w:val="22"/>
        </w:rPr>
        <w:t>BRCA2</w:t>
      </w:r>
      <w:r w:rsidR="00DB089A" w:rsidRPr="003A4656">
        <w:rPr>
          <w:sz w:val="22"/>
          <w:szCs w:val="22"/>
        </w:rPr>
        <w:t xml:space="preserve"> are involved in the fundamental cellular process of maintaining genomic integrity and transcriptional regulation.</w:t>
      </w:r>
    </w:p>
    <w:p w:rsidR="00DB089A" w:rsidRPr="003A4656" w:rsidRDefault="00DB089A" w:rsidP="00D446EF">
      <w:pPr>
        <w:tabs>
          <w:tab w:val="left" w:pos="0"/>
        </w:tabs>
        <w:ind w:left="0" w:right="0"/>
        <w:rPr>
          <w:sz w:val="22"/>
          <w:szCs w:val="22"/>
        </w:rPr>
      </w:pPr>
      <w:r w:rsidRPr="003A4656">
        <w:rPr>
          <w:sz w:val="22"/>
          <w:szCs w:val="22"/>
        </w:rPr>
        <w:t xml:space="preserve">Together, mutations in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genes account for a relevant proportion of families with hereditary susceptibility to breast and ovarian cancer (Miki Y. et al, 1994; Wooster R. et al, 1995). Tumorigenesis in individuals with </w:t>
      </w:r>
      <w:r w:rsidRPr="003A4656">
        <w:rPr>
          <w:i/>
          <w:sz w:val="22"/>
          <w:szCs w:val="22"/>
        </w:rPr>
        <w:t xml:space="preserve">BRCA </w:t>
      </w:r>
      <w:r w:rsidRPr="003A4656">
        <w:rPr>
          <w:sz w:val="22"/>
          <w:szCs w:val="22"/>
        </w:rPr>
        <w:t xml:space="preserve">germline mutations requires somatic inactivation of the remaining wild-type allele, suggesting that the </w:t>
      </w:r>
      <w:r w:rsidRPr="003A4656">
        <w:rPr>
          <w:i/>
          <w:sz w:val="22"/>
          <w:szCs w:val="22"/>
        </w:rPr>
        <w:t>BRCA</w:t>
      </w:r>
      <w:r w:rsidRPr="003A4656">
        <w:rPr>
          <w:sz w:val="22"/>
          <w:szCs w:val="22"/>
        </w:rPr>
        <w:t xml:space="preserve"> genes are tumour suppressor (Smith S.A. et al., 1992; Collins N. et al., 1995). </w:t>
      </w:r>
    </w:p>
    <w:p w:rsidR="00DB089A" w:rsidRPr="003A4656" w:rsidRDefault="00DB089A" w:rsidP="00D446EF">
      <w:pPr>
        <w:tabs>
          <w:tab w:val="left" w:pos="0"/>
        </w:tabs>
        <w:ind w:left="0" w:right="0"/>
        <w:rPr>
          <w:sz w:val="22"/>
          <w:szCs w:val="22"/>
          <w:lang w:eastAsia="it-IT"/>
        </w:rPr>
      </w:pPr>
      <w:r w:rsidRPr="003A4656">
        <w:rPr>
          <w:sz w:val="22"/>
          <w:szCs w:val="22"/>
        </w:rPr>
        <w:t xml:space="preserve">Biochemical, genetic and cytological studies have revealed multiple functions for </w:t>
      </w:r>
      <w:r w:rsidRPr="003A4656">
        <w:rPr>
          <w:i/>
          <w:sz w:val="22"/>
          <w:szCs w:val="22"/>
        </w:rPr>
        <w:t>BRCA1</w:t>
      </w:r>
      <w:r w:rsidRPr="003A4656">
        <w:rPr>
          <w:sz w:val="22"/>
          <w:szCs w:val="22"/>
        </w:rPr>
        <w:t xml:space="preserve"> and </w:t>
      </w:r>
      <w:r w:rsidRPr="003A4656">
        <w:rPr>
          <w:i/>
          <w:sz w:val="22"/>
          <w:szCs w:val="22"/>
        </w:rPr>
        <w:t>BRCA2</w:t>
      </w:r>
      <w:r w:rsidRPr="003A4656">
        <w:rPr>
          <w:sz w:val="22"/>
          <w:szCs w:val="22"/>
        </w:rPr>
        <w:t xml:space="preserve">. Together these genes have common functions even if they have a different structure; they co-regulate cell cycle progression and transcriptional activation. They have been consistently linked to various processes involved in the DNA damage response, mainly in the repair of double-strand breaks (DSBs) by homologous recombination (HR) </w:t>
      </w:r>
      <w:r w:rsidRPr="003A4656">
        <w:rPr>
          <w:sz w:val="22"/>
          <w:szCs w:val="22"/>
          <w:lang w:eastAsia="it-IT"/>
        </w:rPr>
        <w:t>(</w:t>
      </w:r>
      <w:r w:rsidR="00880130" w:rsidRPr="003A4656">
        <w:rPr>
          <w:rFonts w:eastAsia="TimesNewRomanPS"/>
          <w:sz w:val="22"/>
          <w:szCs w:val="22"/>
        </w:rPr>
        <w:t>Venkitaraman A.R, 2001</w:t>
      </w:r>
      <w:r w:rsidRPr="003A4656">
        <w:rPr>
          <w:sz w:val="22"/>
          <w:szCs w:val="22"/>
          <w:lang w:eastAsia="it-IT"/>
        </w:rPr>
        <w:t xml:space="preserve">). These functions may be modified by sequence alterations that in some cases give rise to a functionally inactive truncated protein. </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In the context of genetic tests performed in families with hereditary susceptibility to breast and/or ovarian cancer, mutational analyses for </w:t>
      </w:r>
      <w:r w:rsidRPr="003A4656">
        <w:rPr>
          <w:i/>
          <w:sz w:val="22"/>
          <w:szCs w:val="22"/>
          <w:lang w:eastAsia="it-IT"/>
        </w:rPr>
        <w:t>BRCA1</w:t>
      </w:r>
      <w:r w:rsidRPr="003A4656">
        <w:rPr>
          <w:sz w:val="22"/>
          <w:szCs w:val="22"/>
          <w:lang w:eastAsia="it-IT"/>
        </w:rPr>
        <w:t xml:space="preserve"> and </w:t>
      </w:r>
      <w:r w:rsidRPr="003A4656">
        <w:rPr>
          <w:i/>
          <w:sz w:val="22"/>
          <w:szCs w:val="22"/>
          <w:lang w:eastAsia="it-IT"/>
        </w:rPr>
        <w:t>BRCA2</w:t>
      </w:r>
      <w:r w:rsidRPr="003A4656">
        <w:rPr>
          <w:sz w:val="22"/>
          <w:szCs w:val="22"/>
          <w:lang w:eastAsia="it-IT"/>
        </w:rPr>
        <w:t xml:space="preserve"> may detect alterations classifiable into three distinct groups, in relation to their clinical significance: a) pathogenic or likely pathogenic mutations,</w:t>
      </w:r>
      <w:proofErr w:type="gramStart"/>
      <w:r w:rsidRPr="003A4656">
        <w:rPr>
          <w:sz w:val="22"/>
          <w:szCs w:val="22"/>
          <w:lang w:eastAsia="it-IT"/>
        </w:rPr>
        <w:t xml:space="preserve"> b) not pathogenic or likely not pathogenic mutations,</w:t>
      </w:r>
      <w:proofErr w:type="gramEnd"/>
      <w:r w:rsidRPr="003A4656">
        <w:rPr>
          <w:sz w:val="22"/>
          <w:szCs w:val="22"/>
          <w:lang w:eastAsia="it-IT"/>
        </w:rPr>
        <w:t xml:space="preserve"> and c) variants of uncertain significance (VUS).</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The incapacity to attribute a pathogenic significance to </w:t>
      </w:r>
      <w:r w:rsidR="0045404E">
        <w:rPr>
          <w:sz w:val="22"/>
          <w:szCs w:val="22"/>
          <w:lang w:eastAsia="it-IT"/>
        </w:rPr>
        <w:t xml:space="preserve">the </w:t>
      </w:r>
      <w:r w:rsidRPr="003A4656">
        <w:rPr>
          <w:sz w:val="22"/>
          <w:szCs w:val="22"/>
          <w:lang w:eastAsia="it-IT"/>
        </w:rPr>
        <w:t>latter group of variations, and consequently, to establish a clear cause-effect relationship between them and the inherited predisposition to cancer, severely limits their use for the purpose of genetic counselling. Actually, in the absence of additional evidences, the presence or absence of these germline variants cannot discriminate between subjects at high risk and those at low risk.</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The </w:t>
      </w:r>
      <w:r w:rsidRPr="003A4656">
        <w:rPr>
          <w:rStyle w:val="hps"/>
          <w:color w:val="222222"/>
          <w:sz w:val="22"/>
          <w:szCs w:val="22"/>
        </w:rPr>
        <w:t>assignment</w:t>
      </w:r>
      <w:r w:rsidRPr="003A4656">
        <w:rPr>
          <w:sz w:val="22"/>
          <w:szCs w:val="22"/>
          <w:lang w:eastAsia="it-IT"/>
        </w:rPr>
        <w:t xml:space="preserve"> of a clinical significance to a specific sequence variant requires the following information: the type and the site of mutation, the presence of the same mutation in a control group, the co-segregation of the variant and disease within families, the co-occurrence with a deleterious mutation, the type of amino acid change, the conservation of the amino acid across the species and its biochemical function (Judkins T. et al., 2005). </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Another difficulty related to the management of the families, is represented by the extreme individual variability of cancer risks observed, attributable both to genetic factors able to modify the penetrance and expressivity of </w:t>
      </w:r>
      <w:r w:rsidRPr="003A4656">
        <w:rPr>
          <w:i/>
          <w:sz w:val="22"/>
          <w:szCs w:val="22"/>
          <w:lang w:eastAsia="it-IT"/>
        </w:rPr>
        <w:t xml:space="preserve">BRCA </w:t>
      </w:r>
      <w:r w:rsidRPr="003A4656">
        <w:rPr>
          <w:sz w:val="22"/>
          <w:szCs w:val="22"/>
          <w:lang w:eastAsia="it-IT"/>
        </w:rPr>
        <w:t xml:space="preserve">gene mutations, and the effect of non-genetic factors, such as exposure to drugs and reproductive history. However, it is also possible that different mutations in the </w:t>
      </w:r>
      <w:r w:rsidRPr="003A4656">
        <w:rPr>
          <w:i/>
          <w:sz w:val="22"/>
          <w:szCs w:val="22"/>
          <w:lang w:eastAsia="it-IT"/>
        </w:rPr>
        <w:t>BRCA</w:t>
      </w:r>
      <w:r w:rsidRPr="003A4656">
        <w:rPr>
          <w:sz w:val="22"/>
          <w:szCs w:val="22"/>
          <w:lang w:eastAsia="it-IT"/>
        </w:rPr>
        <w:t xml:space="preserve"> genes have different effects that modify the interactions of protein products with their physiological counterpart, resulting in a greater or lesser propensity of the cell to evolve in cancer (Wooster </w:t>
      </w:r>
      <w:r w:rsidR="002D3B8F" w:rsidRPr="003A4656">
        <w:rPr>
          <w:sz w:val="22"/>
          <w:szCs w:val="22"/>
          <w:lang w:eastAsia="it-IT"/>
        </w:rPr>
        <w:t xml:space="preserve">R. </w:t>
      </w:r>
      <w:r w:rsidRPr="003A4656">
        <w:rPr>
          <w:sz w:val="22"/>
          <w:szCs w:val="22"/>
          <w:lang w:eastAsia="it-IT"/>
        </w:rPr>
        <w:t>and Weber</w:t>
      </w:r>
      <w:r w:rsidR="002D3B8F" w:rsidRPr="003A4656">
        <w:rPr>
          <w:sz w:val="22"/>
          <w:szCs w:val="22"/>
          <w:lang w:eastAsia="it-IT"/>
        </w:rPr>
        <w:t xml:space="preserve"> B.L.</w:t>
      </w:r>
      <w:r w:rsidRPr="003A4656">
        <w:rPr>
          <w:sz w:val="22"/>
          <w:szCs w:val="22"/>
          <w:lang w:eastAsia="it-IT"/>
        </w:rPr>
        <w:t xml:space="preserve">, 2003). BRCA genes encode, in fact, high molecular weight proteins able to preserve genome integrity thanks to the interaction with other nuclear proteins like </w:t>
      </w:r>
      <w:proofErr w:type="gramStart"/>
      <w:r w:rsidRPr="003A4656">
        <w:rPr>
          <w:sz w:val="22"/>
          <w:szCs w:val="22"/>
          <w:lang w:eastAsia="it-IT"/>
        </w:rPr>
        <w:t xml:space="preserve">ATM </w:t>
      </w:r>
      <w:r w:rsidR="00D446EF" w:rsidRPr="003A4656">
        <w:rPr>
          <w:sz w:val="22"/>
          <w:szCs w:val="22"/>
          <w:lang w:eastAsia="it-IT"/>
        </w:rPr>
        <w:t>,</w:t>
      </w:r>
      <w:proofErr w:type="gramEnd"/>
      <w:r w:rsidR="00D446EF" w:rsidRPr="003A4656">
        <w:rPr>
          <w:sz w:val="22"/>
          <w:szCs w:val="22"/>
          <w:lang w:eastAsia="it-IT"/>
        </w:rPr>
        <w:t xml:space="preserve"> CHK2 , RAD51 , BARD1 and DSS1</w:t>
      </w:r>
      <w:r w:rsidRPr="003A4656">
        <w:rPr>
          <w:sz w:val="22"/>
          <w:szCs w:val="22"/>
          <w:lang w:eastAsia="it-IT"/>
        </w:rPr>
        <w:t xml:space="preserve">. On the basis of these observations, </w:t>
      </w:r>
      <w:r w:rsidRPr="003A4656">
        <w:rPr>
          <w:i/>
          <w:sz w:val="22"/>
          <w:szCs w:val="22"/>
          <w:lang w:eastAsia="it-IT"/>
        </w:rPr>
        <w:t>in vitro</w:t>
      </w:r>
      <w:r w:rsidRPr="003A4656">
        <w:rPr>
          <w:sz w:val="22"/>
          <w:szCs w:val="22"/>
          <w:lang w:eastAsia="it-IT"/>
        </w:rPr>
        <w:t xml:space="preserve"> assays have been performed to test the effect of VUS identified in </w:t>
      </w:r>
      <w:r w:rsidRPr="003A4656">
        <w:rPr>
          <w:i/>
          <w:sz w:val="22"/>
          <w:szCs w:val="22"/>
          <w:lang w:eastAsia="it-IT"/>
        </w:rPr>
        <w:t>BRCA</w:t>
      </w:r>
      <w:r w:rsidRPr="003A4656">
        <w:rPr>
          <w:sz w:val="22"/>
          <w:szCs w:val="22"/>
          <w:lang w:eastAsia="it-IT"/>
        </w:rPr>
        <w:t xml:space="preserve"> genes on the formation of the respective protein complexes.</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The aims of this study were to determine the presence of </w:t>
      </w:r>
      <w:r w:rsidRPr="003A4656">
        <w:rPr>
          <w:i/>
          <w:sz w:val="22"/>
          <w:szCs w:val="22"/>
          <w:lang w:eastAsia="it-IT"/>
        </w:rPr>
        <w:t>BRCA1</w:t>
      </w:r>
      <w:r w:rsidRPr="003A4656">
        <w:rPr>
          <w:sz w:val="22"/>
          <w:szCs w:val="22"/>
          <w:lang w:eastAsia="it-IT"/>
        </w:rPr>
        <w:t xml:space="preserve"> and </w:t>
      </w:r>
      <w:r w:rsidRPr="003A4656">
        <w:rPr>
          <w:i/>
          <w:sz w:val="22"/>
          <w:szCs w:val="22"/>
          <w:lang w:eastAsia="it-IT"/>
        </w:rPr>
        <w:t>BRCA2</w:t>
      </w:r>
      <w:r w:rsidRPr="003A4656">
        <w:rPr>
          <w:sz w:val="22"/>
          <w:szCs w:val="22"/>
          <w:lang w:eastAsia="it-IT"/>
        </w:rPr>
        <w:t xml:space="preserve"> mutations in Sicilian women at risk for breast/ovarian cancer and to classify </w:t>
      </w:r>
      <w:r w:rsidR="0045404E">
        <w:rPr>
          <w:sz w:val="22"/>
          <w:szCs w:val="22"/>
          <w:lang w:eastAsia="it-IT"/>
        </w:rPr>
        <w:t xml:space="preserve">VUS detected in the </w:t>
      </w:r>
      <w:r w:rsidRPr="003A4656">
        <w:rPr>
          <w:i/>
          <w:sz w:val="22"/>
          <w:szCs w:val="22"/>
          <w:lang w:eastAsia="it-IT"/>
        </w:rPr>
        <w:t>BRCA1</w:t>
      </w:r>
      <w:r w:rsidRPr="003A4656">
        <w:rPr>
          <w:sz w:val="22"/>
          <w:szCs w:val="22"/>
          <w:lang w:eastAsia="it-IT"/>
        </w:rPr>
        <w:t xml:space="preserve"> </w:t>
      </w:r>
      <w:r w:rsidR="00A42D96">
        <w:rPr>
          <w:sz w:val="22"/>
          <w:szCs w:val="22"/>
          <w:lang w:eastAsia="it-IT"/>
        </w:rPr>
        <w:t>gene</w:t>
      </w:r>
      <w:r w:rsidR="0045404E">
        <w:rPr>
          <w:sz w:val="22"/>
          <w:szCs w:val="22"/>
          <w:lang w:eastAsia="it-IT"/>
        </w:rPr>
        <w:t>.</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The identification of </w:t>
      </w:r>
      <w:r w:rsidRPr="003A4656">
        <w:rPr>
          <w:i/>
          <w:sz w:val="22"/>
          <w:szCs w:val="22"/>
          <w:lang w:eastAsia="it-IT"/>
        </w:rPr>
        <w:t>BRCA1</w:t>
      </w:r>
      <w:r w:rsidRPr="003A4656">
        <w:rPr>
          <w:sz w:val="22"/>
          <w:szCs w:val="22"/>
          <w:lang w:eastAsia="it-IT"/>
        </w:rPr>
        <w:t xml:space="preserve"> and </w:t>
      </w:r>
      <w:r w:rsidRPr="003A4656">
        <w:rPr>
          <w:i/>
          <w:sz w:val="22"/>
          <w:szCs w:val="22"/>
          <w:lang w:eastAsia="it-IT"/>
        </w:rPr>
        <w:t>BRCA2</w:t>
      </w:r>
      <w:r w:rsidRPr="003A4656">
        <w:rPr>
          <w:sz w:val="22"/>
          <w:szCs w:val="22"/>
          <w:lang w:eastAsia="it-IT"/>
        </w:rPr>
        <w:t xml:space="preserve"> alterations strictly depends on the adoption of specific criteria for the selection of patients affected with breast and/or ovarian cancer. The results of this study show that early onset of t</w:t>
      </w:r>
      <w:r w:rsidR="00D446EF" w:rsidRPr="003A4656">
        <w:rPr>
          <w:sz w:val="22"/>
          <w:szCs w:val="22"/>
          <w:lang w:eastAsia="it-IT"/>
        </w:rPr>
        <w:t xml:space="preserve">hese tumours and family </w:t>
      </w:r>
      <w:proofErr w:type="gramStart"/>
      <w:r w:rsidR="00D446EF" w:rsidRPr="003A4656">
        <w:rPr>
          <w:sz w:val="22"/>
          <w:szCs w:val="22"/>
          <w:lang w:eastAsia="it-IT"/>
        </w:rPr>
        <w:t xml:space="preserve">history </w:t>
      </w:r>
      <w:r w:rsidRPr="003A4656">
        <w:rPr>
          <w:sz w:val="22"/>
          <w:szCs w:val="22"/>
          <w:lang w:eastAsia="it-IT"/>
        </w:rPr>
        <w:t>are</w:t>
      </w:r>
      <w:proofErr w:type="gramEnd"/>
      <w:r w:rsidRPr="003A4656">
        <w:rPr>
          <w:sz w:val="22"/>
          <w:szCs w:val="22"/>
          <w:lang w:eastAsia="it-IT"/>
        </w:rPr>
        <w:t xml:space="preserve"> two important selection criteria for the identification of Sicilian patient carriers of </w:t>
      </w:r>
      <w:r w:rsidRPr="003A4656">
        <w:rPr>
          <w:i/>
          <w:sz w:val="22"/>
          <w:szCs w:val="22"/>
          <w:lang w:eastAsia="it-IT"/>
        </w:rPr>
        <w:t xml:space="preserve">BRCA </w:t>
      </w:r>
      <w:r w:rsidRPr="003A4656">
        <w:rPr>
          <w:sz w:val="22"/>
          <w:szCs w:val="22"/>
          <w:lang w:eastAsia="it-IT"/>
        </w:rPr>
        <w:t>gene mutations. All the families who were carriers of a deleterious mutation had at least one member with early-onset breast and/or ovarian cancer. The present results are in agreement with other studies (Ford D. et al., 1998; Easton D.F. et al., 2004; Marroni F. et al., 2004; Turchetti D. et al., 2000</w:t>
      </w:r>
      <w:r w:rsidR="00A42D96">
        <w:rPr>
          <w:sz w:val="22"/>
          <w:szCs w:val="22"/>
        </w:rPr>
        <w:t xml:space="preserve">), </w:t>
      </w:r>
      <w:r w:rsidRPr="003A4656">
        <w:rPr>
          <w:sz w:val="22"/>
          <w:szCs w:val="22"/>
          <w:lang w:eastAsia="it-IT"/>
        </w:rPr>
        <w:t xml:space="preserve">which indicate that the frequency of </w:t>
      </w:r>
      <w:r w:rsidRPr="003A4656">
        <w:rPr>
          <w:i/>
          <w:sz w:val="22"/>
          <w:szCs w:val="22"/>
          <w:lang w:eastAsia="it-IT"/>
        </w:rPr>
        <w:t>BRCA1</w:t>
      </w:r>
      <w:r w:rsidRPr="003A4656">
        <w:rPr>
          <w:sz w:val="22"/>
          <w:szCs w:val="22"/>
          <w:lang w:eastAsia="it-IT"/>
        </w:rPr>
        <w:t xml:space="preserve"> and </w:t>
      </w:r>
      <w:r w:rsidRPr="003A4656">
        <w:rPr>
          <w:i/>
          <w:sz w:val="22"/>
          <w:szCs w:val="22"/>
          <w:lang w:eastAsia="it-IT"/>
        </w:rPr>
        <w:t>BRCA2</w:t>
      </w:r>
      <w:r w:rsidRPr="003A4656">
        <w:rPr>
          <w:sz w:val="22"/>
          <w:szCs w:val="22"/>
          <w:lang w:eastAsia="it-IT"/>
        </w:rPr>
        <w:t xml:space="preserve"> mutations decreases as the age of cancer onset increases.</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The </w:t>
      </w:r>
      <w:r w:rsidRPr="003A4656">
        <w:rPr>
          <w:i/>
          <w:sz w:val="22"/>
          <w:szCs w:val="22"/>
          <w:lang w:eastAsia="it-IT"/>
        </w:rPr>
        <w:t>BRCA</w:t>
      </w:r>
      <w:r w:rsidRPr="003A4656">
        <w:rPr>
          <w:sz w:val="22"/>
          <w:szCs w:val="22"/>
          <w:lang w:eastAsia="it-IT"/>
        </w:rPr>
        <w:t xml:space="preserve"> genetic screening has made it possible to identify several alterations in</w:t>
      </w:r>
      <w:r w:rsidR="00A42D96">
        <w:rPr>
          <w:sz w:val="22"/>
          <w:szCs w:val="22"/>
          <w:lang w:eastAsia="it-IT"/>
        </w:rPr>
        <w:t xml:space="preserve"> Sicilian women. In particular,</w:t>
      </w:r>
      <w:r w:rsidRPr="003A4656">
        <w:rPr>
          <w:sz w:val="22"/>
          <w:szCs w:val="22"/>
          <w:lang w:eastAsia="it-IT"/>
        </w:rPr>
        <w:t xml:space="preserve"> we identified three frameshift mutations, 4843delC and 1479delAG in </w:t>
      </w:r>
      <w:r w:rsidRPr="003A4656">
        <w:rPr>
          <w:i/>
          <w:sz w:val="22"/>
          <w:szCs w:val="22"/>
          <w:lang w:eastAsia="it-IT"/>
        </w:rPr>
        <w:t>BRCA1</w:t>
      </w:r>
      <w:r w:rsidRPr="003A4656">
        <w:rPr>
          <w:sz w:val="22"/>
          <w:szCs w:val="22"/>
          <w:lang w:eastAsia="it-IT"/>
        </w:rPr>
        <w:t xml:space="preserve"> and 6310del5 in </w:t>
      </w:r>
      <w:r w:rsidRPr="003A4656">
        <w:rPr>
          <w:i/>
          <w:sz w:val="22"/>
          <w:szCs w:val="22"/>
          <w:lang w:eastAsia="it-IT"/>
        </w:rPr>
        <w:t>BRCA2</w:t>
      </w:r>
      <w:r w:rsidRPr="003A4656">
        <w:rPr>
          <w:sz w:val="22"/>
          <w:szCs w:val="22"/>
          <w:lang w:eastAsia="it-IT"/>
        </w:rPr>
        <w:t xml:space="preserve">, </w:t>
      </w:r>
      <w:r w:rsidR="0045404E">
        <w:rPr>
          <w:sz w:val="22"/>
          <w:szCs w:val="22"/>
          <w:lang w:eastAsia="it-IT"/>
        </w:rPr>
        <w:t xml:space="preserve">and </w:t>
      </w:r>
      <w:r w:rsidRPr="003A4656">
        <w:rPr>
          <w:sz w:val="22"/>
          <w:szCs w:val="22"/>
          <w:lang w:eastAsia="it-IT"/>
        </w:rPr>
        <w:t xml:space="preserve">one </w:t>
      </w:r>
      <w:r w:rsidRPr="003A4656">
        <w:rPr>
          <w:i/>
          <w:sz w:val="22"/>
          <w:szCs w:val="22"/>
          <w:lang w:eastAsia="it-IT"/>
        </w:rPr>
        <w:t>BRCA1</w:t>
      </w:r>
      <w:r w:rsidRPr="003A4656">
        <w:rPr>
          <w:sz w:val="22"/>
          <w:szCs w:val="22"/>
          <w:lang w:eastAsia="it-IT"/>
        </w:rPr>
        <w:t xml:space="preserve"> missense mutation (L22S) previously ascertained as deleterious. The 4843delC </w:t>
      </w:r>
      <w:r w:rsidR="005B3692">
        <w:rPr>
          <w:sz w:val="22"/>
          <w:szCs w:val="22"/>
          <w:lang w:eastAsia="it-IT"/>
        </w:rPr>
        <w:t xml:space="preserve">is likely to represent a </w:t>
      </w:r>
      <w:r w:rsidR="005B3692" w:rsidRPr="003A4656">
        <w:rPr>
          <w:sz w:val="22"/>
          <w:szCs w:val="22"/>
          <w:lang w:eastAsia="it-IT"/>
        </w:rPr>
        <w:t xml:space="preserve">Sicilian founder </w:t>
      </w:r>
      <w:proofErr w:type="gramStart"/>
      <w:r w:rsidR="005B3692" w:rsidRPr="003A4656">
        <w:rPr>
          <w:sz w:val="22"/>
          <w:szCs w:val="22"/>
          <w:lang w:eastAsia="it-IT"/>
        </w:rPr>
        <w:t>mutation</w:t>
      </w:r>
      <w:r w:rsidR="005B3692">
        <w:rPr>
          <w:sz w:val="22"/>
          <w:szCs w:val="22"/>
          <w:lang w:eastAsia="it-IT"/>
        </w:rPr>
        <w:t>,</w:t>
      </w:r>
      <w:proofErr w:type="gramEnd"/>
      <w:r w:rsidR="005B3692">
        <w:rPr>
          <w:sz w:val="22"/>
          <w:szCs w:val="22"/>
          <w:lang w:eastAsia="it-IT"/>
        </w:rPr>
        <w:t xml:space="preserve"> since </w:t>
      </w:r>
      <w:r w:rsidR="005B3692" w:rsidRPr="003A4656">
        <w:rPr>
          <w:sz w:val="22"/>
          <w:szCs w:val="22"/>
          <w:lang w:eastAsia="it-IT"/>
        </w:rPr>
        <w:t xml:space="preserve">it was </w:t>
      </w:r>
      <w:r w:rsidR="005B3692">
        <w:rPr>
          <w:sz w:val="22"/>
          <w:szCs w:val="22"/>
          <w:lang w:eastAsia="it-IT"/>
        </w:rPr>
        <w:t xml:space="preserve">previously </w:t>
      </w:r>
      <w:r w:rsidR="005B3692" w:rsidRPr="003A4656">
        <w:rPr>
          <w:sz w:val="22"/>
          <w:szCs w:val="22"/>
          <w:lang w:eastAsia="it-IT"/>
        </w:rPr>
        <w:t xml:space="preserve">identified in two families </w:t>
      </w:r>
      <w:r w:rsidR="005B3692">
        <w:rPr>
          <w:sz w:val="22"/>
          <w:szCs w:val="22"/>
          <w:lang w:eastAsia="it-IT"/>
        </w:rPr>
        <w:t>that</w:t>
      </w:r>
      <w:r w:rsidR="005B3692" w:rsidRPr="003A4656">
        <w:rPr>
          <w:sz w:val="22"/>
          <w:szCs w:val="22"/>
          <w:lang w:eastAsia="it-IT"/>
        </w:rPr>
        <w:t>, although not related, came from the same small geographical ar</w:t>
      </w:r>
      <w:r w:rsidR="005B3692">
        <w:rPr>
          <w:sz w:val="22"/>
          <w:szCs w:val="22"/>
          <w:lang w:eastAsia="it-IT"/>
        </w:rPr>
        <w:t xml:space="preserve">ea south-west of Palermo, and was not reported elsewhere </w:t>
      </w:r>
      <w:r w:rsidRPr="003A4656">
        <w:rPr>
          <w:sz w:val="22"/>
          <w:szCs w:val="22"/>
          <w:lang w:eastAsia="it-IT"/>
        </w:rPr>
        <w:t>(</w:t>
      </w:r>
      <w:r w:rsidRPr="003A4656">
        <w:rPr>
          <w:sz w:val="22"/>
          <w:szCs w:val="22"/>
        </w:rPr>
        <w:t>Calò V. et al., 2006)</w:t>
      </w:r>
      <w:r w:rsidR="005B3692">
        <w:rPr>
          <w:sz w:val="22"/>
          <w:szCs w:val="22"/>
          <w:lang w:eastAsia="it-IT"/>
        </w:rPr>
        <w:t>.</w:t>
      </w:r>
      <w:r w:rsidRPr="003A4656">
        <w:rPr>
          <w:sz w:val="22"/>
          <w:szCs w:val="22"/>
          <w:lang w:eastAsia="it-IT"/>
        </w:rPr>
        <w:t xml:space="preserve"> </w:t>
      </w:r>
    </w:p>
    <w:p w:rsidR="00DB089A" w:rsidRPr="003A4656" w:rsidRDefault="00DB089A" w:rsidP="00D446EF">
      <w:pPr>
        <w:tabs>
          <w:tab w:val="left" w:pos="0"/>
        </w:tabs>
        <w:ind w:left="0" w:right="0"/>
        <w:rPr>
          <w:sz w:val="22"/>
          <w:szCs w:val="22"/>
          <w:lang w:eastAsia="it-IT"/>
        </w:rPr>
      </w:pPr>
      <w:r w:rsidRPr="003A4656">
        <w:rPr>
          <w:sz w:val="22"/>
          <w:szCs w:val="22"/>
          <w:lang w:eastAsia="it-IT"/>
        </w:rPr>
        <w:t xml:space="preserve">In this group of patients we have </w:t>
      </w:r>
      <w:r w:rsidR="0045404E">
        <w:rPr>
          <w:sz w:val="22"/>
          <w:szCs w:val="22"/>
          <w:lang w:eastAsia="it-IT"/>
        </w:rPr>
        <w:t>also detected</w:t>
      </w:r>
      <w:r w:rsidRPr="003A4656">
        <w:rPr>
          <w:sz w:val="22"/>
          <w:szCs w:val="22"/>
          <w:lang w:eastAsia="it-IT"/>
        </w:rPr>
        <w:t xml:space="preserve"> a few VUSs. Two of these (V740L and A521T) were identified in the </w:t>
      </w:r>
      <w:r w:rsidRPr="003A4656">
        <w:rPr>
          <w:i/>
          <w:sz w:val="22"/>
          <w:szCs w:val="22"/>
          <w:lang w:eastAsia="it-IT"/>
        </w:rPr>
        <w:t>BRCA1</w:t>
      </w:r>
      <w:r w:rsidRPr="003A4656">
        <w:rPr>
          <w:sz w:val="22"/>
          <w:szCs w:val="22"/>
          <w:lang w:eastAsia="it-IT"/>
        </w:rPr>
        <w:t xml:space="preserve"> gene. These are located </w:t>
      </w:r>
      <w:r w:rsidR="0045404E">
        <w:rPr>
          <w:sz w:val="22"/>
          <w:szCs w:val="22"/>
          <w:lang w:eastAsia="it-IT"/>
        </w:rPr>
        <w:t>at</w:t>
      </w:r>
      <w:r w:rsidRPr="003A4656">
        <w:rPr>
          <w:sz w:val="22"/>
          <w:szCs w:val="22"/>
          <w:lang w:eastAsia="it-IT"/>
        </w:rPr>
        <w:t xml:space="preserve"> strongly conservative site</w:t>
      </w:r>
      <w:r w:rsidR="0045404E">
        <w:rPr>
          <w:sz w:val="22"/>
          <w:szCs w:val="22"/>
          <w:lang w:eastAsia="it-IT"/>
        </w:rPr>
        <w:t>s</w:t>
      </w:r>
      <w:r w:rsidRPr="003A4656">
        <w:rPr>
          <w:sz w:val="22"/>
          <w:szCs w:val="22"/>
          <w:lang w:eastAsia="it-IT"/>
        </w:rPr>
        <w:t xml:space="preserve"> and were previously observed in cancer patients (Fleming M.A. et al., 2003; Abkevich V. et al., 2004). The V740L and A521T are cla</w:t>
      </w:r>
      <w:r w:rsidR="0045404E">
        <w:rPr>
          <w:sz w:val="22"/>
          <w:szCs w:val="22"/>
          <w:lang w:eastAsia="it-IT"/>
        </w:rPr>
        <w:t>ssified as variants of unknown clinical importance</w:t>
      </w:r>
      <w:r w:rsidRPr="003A4656">
        <w:rPr>
          <w:sz w:val="22"/>
          <w:szCs w:val="22"/>
          <w:lang w:eastAsia="it-IT"/>
        </w:rPr>
        <w:t xml:space="preserve"> in the BIC database, where they are reported only once and twice, respectively. </w:t>
      </w:r>
    </w:p>
    <w:p w:rsidR="00DB089A" w:rsidRPr="003A4656" w:rsidRDefault="00DB089A" w:rsidP="00D446EF">
      <w:pPr>
        <w:tabs>
          <w:tab w:val="left" w:pos="0"/>
        </w:tabs>
        <w:ind w:left="0" w:right="0"/>
        <w:rPr>
          <w:sz w:val="22"/>
          <w:szCs w:val="22"/>
          <w:lang w:eastAsia="it-IT"/>
        </w:rPr>
      </w:pPr>
      <w:r w:rsidRPr="003A4656">
        <w:rPr>
          <w:sz w:val="22"/>
          <w:szCs w:val="22"/>
          <w:lang w:eastAsia="it-IT"/>
        </w:rPr>
        <w:t>Two unclassified gen</w:t>
      </w:r>
      <w:r w:rsidR="00D446EF" w:rsidRPr="003A4656">
        <w:rPr>
          <w:sz w:val="22"/>
          <w:szCs w:val="22"/>
          <w:lang w:eastAsia="it-IT"/>
        </w:rPr>
        <w:t>e</w:t>
      </w:r>
      <w:r w:rsidRPr="003A4656">
        <w:rPr>
          <w:sz w:val="22"/>
          <w:szCs w:val="22"/>
          <w:lang w:eastAsia="it-IT"/>
        </w:rPr>
        <w:t xml:space="preserve">tic variants (A22T, D2644V) were identified in our cohort in the </w:t>
      </w:r>
      <w:r w:rsidRPr="003A4656">
        <w:rPr>
          <w:i/>
          <w:sz w:val="22"/>
          <w:szCs w:val="22"/>
          <w:lang w:eastAsia="it-IT"/>
        </w:rPr>
        <w:t>BRCA2</w:t>
      </w:r>
      <w:r w:rsidRPr="003A4656">
        <w:rPr>
          <w:sz w:val="22"/>
          <w:szCs w:val="22"/>
          <w:lang w:eastAsia="it-IT"/>
        </w:rPr>
        <w:t xml:space="preserve"> gene.</w:t>
      </w:r>
    </w:p>
    <w:p w:rsidR="00DB089A" w:rsidRPr="003A4656" w:rsidRDefault="00DB089A" w:rsidP="00D446EF">
      <w:pPr>
        <w:tabs>
          <w:tab w:val="left" w:pos="0"/>
        </w:tabs>
        <w:ind w:left="0" w:right="0"/>
        <w:rPr>
          <w:sz w:val="22"/>
          <w:szCs w:val="22"/>
        </w:rPr>
      </w:pPr>
      <w:r w:rsidRPr="003A4656">
        <w:rPr>
          <w:sz w:val="22"/>
          <w:szCs w:val="22"/>
        </w:rPr>
        <w:t xml:space="preserve">The additional aim of this study was to classify </w:t>
      </w:r>
      <w:r w:rsidR="0045404E">
        <w:rPr>
          <w:sz w:val="22"/>
          <w:szCs w:val="22"/>
        </w:rPr>
        <w:t xml:space="preserve">a group of VUS mapped to the </w:t>
      </w:r>
      <w:r w:rsidRPr="003A4656">
        <w:rPr>
          <w:i/>
          <w:sz w:val="22"/>
          <w:szCs w:val="22"/>
        </w:rPr>
        <w:t xml:space="preserve">BRCA1 </w:t>
      </w:r>
      <w:r w:rsidRPr="003A4656">
        <w:rPr>
          <w:sz w:val="22"/>
          <w:szCs w:val="22"/>
        </w:rPr>
        <w:t>gene</w:t>
      </w:r>
      <w:r w:rsidR="0045404E">
        <w:rPr>
          <w:sz w:val="22"/>
          <w:szCs w:val="22"/>
        </w:rPr>
        <w:t xml:space="preserve"> region coding for the RING domain</w:t>
      </w:r>
      <w:r w:rsidRPr="003A4656">
        <w:rPr>
          <w:i/>
          <w:sz w:val="22"/>
          <w:szCs w:val="22"/>
        </w:rPr>
        <w:t xml:space="preserve">. </w:t>
      </w:r>
      <w:r w:rsidRPr="003A4656">
        <w:rPr>
          <w:sz w:val="22"/>
          <w:szCs w:val="22"/>
        </w:rPr>
        <w:t xml:space="preserve">This classification was performed through the use of </w:t>
      </w:r>
      <w:r w:rsidR="0045404E">
        <w:rPr>
          <w:sz w:val="22"/>
          <w:szCs w:val="22"/>
        </w:rPr>
        <w:t xml:space="preserve">a </w:t>
      </w:r>
      <w:r w:rsidRPr="003A4656">
        <w:rPr>
          <w:sz w:val="22"/>
          <w:szCs w:val="22"/>
        </w:rPr>
        <w:t xml:space="preserve">functional assay and </w:t>
      </w:r>
      <w:r w:rsidRPr="003A4656">
        <w:rPr>
          <w:i/>
          <w:sz w:val="22"/>
          <w:szCs w:val="22"/>
        </w:rPr>
        <w:t>in silico</w:t>
      </w:r>
      <w:r w:rsidRPr="003A4656">
        <w:rPr>
          <w:sz w:val="22"/>
          <w:szCs w:val="22"/>
        </w:rPr>
        <w:t xml:space="preserve"> tools. The latter, based on orthologous protein sequence alignments, are available for predicting the influence of variants on protein activity. </w:t>
      </w:r>
    </w:p>
    <w:p w:rsidR="00DB089A" w:rsidRPr="003A4656" w:rsidRDefault="00DB089A" w:rsidP="00D446EF">
      <w:pPr>
        <w:tabs>
          <w:tab w:val="left" w:pos="0"/>
        </w:tabs>
        <w:ind w:left="0" w:right="0"/>
        <w:rPr>
          <w:sz w:val="22"/>
          <w:szCs w:val="22"/>
        </w:rPr>
      </w:pPr>
      <w:r w:rsidRPr="003A4656">
        <w:rPr>
          <w:sz w:val="22"/>
          <w:szCs w:val="22"/>
        </w:rPr>
        <w:t xml:space="preserve">The purpose of functional assays </w:t>
      </w:r>
      <w:r w:rsidR="0045404E">
        <w:rPr>
          <w:sz w:val="22"/>
          <w:szCs w:val="22"/>
        </w:rPr>
        <w:t>was</w:t>
      </w:r>
      <w:r w:rsidRPr="003A4656">
        <w:rPr>
          <w:sz w:val="22"/>
          <w:szCs w:val="22"/>
        </w:rPr>
        <w:t xml:space="preserve"> to serve as independent classifiers of </w:t>
      </w:r>
      <w:r w:rsidR="00D446EF" w:rsidRPr="003A4656">
        <w:rPr>
          <w:sz w:val="22"/>
          <w:szCs w:val="22"/>
        </w:rPr>
        <w:t>VUS</w:t>
      </w:r>
      <w:r w:rsidRPr="003A4656">
        <w:rPr>
          <w:sz w:val="22"/>
          <w:szCs w:val="22"/>
        </w:rPr>
        <w:t xml:space="preserve"> by assessing, directly or indirectly, their influence on protein conformation or function and generating additional information that can be integrated with available genetic and epidemiological data into multifactorial likelihood models (Easton</w:t>
      </w:r>
      <w:r w:rsidR="00523BF4" w:rsidRPr="003A4656">
        <w:rPr>
          <w:sz w:val="22"/>
          <w:szCs w:val="22"/>
        </w:rPr>
        <w:t xml:space="preserve"> D.F.</w:t>
      </w:r>
      <w:r w:rsidRPr="003A4656">
        <w:rPr>
          <w:sz w:val="22"/>
          <w:szCs w:val="22"/>
        </w:rPr>
        <w:t xml:space="preserve"> et al., 2007; Goldgar</w:t>
      </w:r>
      <w:r w:rsidR="00816261" w:rsidRPr="003A4656">
        <w:rPr>
          <w:sz w:val="22"/>
          <w:szCs w:val="22"/>
        </w:rPr>
        <w:t xml:space="preserve"> D.E.</w:t>
      </w:r>
      <w:r w:rsidRPr="003A4656">
        <w:rPr>
          <w:sz w:val="22"/>
          <w:szCs w:val="22"/>
        </w:rPr>
        <w:t xml:space="preserve"> et al., 2004). </w:t>
      </w:r>
    </w:p>
    <w:p w:rsidR="00DB089A" w:rsidRPr="003A4656" w:rsidRDefault="00DB089A" w:rsidP="00D446EF">
      <w:pPr>
        <w:tabs>
          <w:tab w:val="left" w:pos="0"/>
        </w:tabs>
        <w:ind w:left="0" w:right="0"/>
        <w:rPr>
          <w:sz w:val="22"/>
          <w:szCs w:val="22"/>
        </w:rPr>
      </w:pPr>
      <w:r w:rsidRPr="003A4656">
        <w:rPr>
          <w:sz w:val="22"/>
          <w:szCs w:val="22"/>
        </w:rPr>
        <w:t xml:space="preserve">In this study we utilized the Green Fluorescent Protein (GFP)-reassembly fragment assay. This is an innovative technique used to identify and study interactions involving proteins and/or peptides. Specifically, the GFP </w:t>
      </w:r>
      <w:r w:rsidRPr="003A4656">
        <w:rPr>
          <w:bCs/>
          <w:sz w:val="22"/>
          <w:szCs w:val="22"/>
        </w:rPr>
        <w:t xml:space="preserve">is dissected at the genetic level, and the </w:t>
      </w:r>
      <w:r w:rsidR="007E29AC">
        <w:rPr>
          <w:bCs/>
          <w:sz w:val="22"/>
          <w:szCs w:val="22"/>
        </w:rPr>
        <w:t xml:space="preserve">gene </w:t>
      </w:r>
      <w:r w:rsidRPr="003A4656">
        <w:rPr>
          <w:bCs/>
          <w:sz w:val="22"/>
          <w:szCs w:val="22"/>
        </w:rPr>
        <w:t xml:space="preserve">fragments are fused to bait and prey, which are then co-expressed </w:t>
      </w:r>
      <w:r w:rsidRPr="007E29AC">
        <w:rPr>
          <w:bCs/>
          <w:i/>
          <w:sz w:val="22"/>
          <w:szCs w:val="22"/>
        </w:rPr>
        <w:t>in vivo</w:t>
      </w:r>
      <w:r w:rsidRPr="003A4656">
        <w:rPr>
          <w:bCs/>
          <w:sz w:val="22"/>
          <w:szCs w:val="22"/>
        </w:rPr>
        <w:t xml:space="preserve">. Bait and prey interaction brings the reporter fragments together, facilitating the reassembly of the active reporter protein, </w:t>
      </w:r>
      <w:r w:rsidR="007E29AC">
        <w:rPr>
          <w:bCs/>
          <w:sz w:val="22"/>
          <w:szCs w:val="22"/>
        </w:rPr>
        <w:t xml:space="preserve">thus </w:t>
      </w:r>
      <w:r w:rsidRPr="003A4656">
        <w:rPr>
          <w:bCs/>
          <w:sz w:val="22"/>
          <w:szCs w:val="22"/>
        </w:rPr>
        <w:t xml:space="preserve">giving a direct readout of the association. The interaction can be detected without exogenous fluorogenic or chromogenic agents, avoiding potential perturbation of the cells by these agents. This also avoids potential problems caused by uneven distributions of the chromogenic or fluorogenic substrates or ligands. </w:t>
      </w:r>
      <w:r w:rsidRPr="003A4656">
        <w:rPr>
          <w:sz w:val="22"/>
          <w:szCs w:val="22"/>
        </w:rPr>
        <w:t xml:space="preserve">This assay has been used to study the interaction between BRCA1 and BARD1 following the insertion of allelic variants into the cDNA sequence coding for </w:t>
      </w:r>
      <w:r w:rsidR="007E29AC">
        <w:rPr>
          <w:sz w:val="22"/>
          <w:szCs w:val="22"/>
        </w:rPr>
        <w:t xml:space="preserve">the </w:t>
      </w:r>
      <w:r w:rsidRPr="003A4656">
        <w:rPr>
          <w:sz w:val="22"/>
          <w:szCs w:val="22"/>
        </w:rPr>
        <w:t xml:space="preserve">RING domain of </w:t>
      </w:r>
      <w:r w:rsidRPr="003A4656">
        <w:rPr>
          <w:i/>
          <w:sz w:val="22"/>
          <w:szCs w:val="22"/>
        </w:rPr>
        <w:t>BRCA1</w:t>
      </w:r>
      <w:r w:rsidRPr="003A4656">
        <w:rPr>
          <w:sz w:val="22"/>
          <w:szCs w:val="22"/>
        </w:rPr>
        <w:t xml:space="preserve">. </w:t>
      </w:r>
    </w:p>
    <w:p w:rsidR="00DB089A" w:rsidRPr="003A4656" w:rsidRDefault="007E29AC" w:rsidP="00D446EF">
      <w:pPr>
        <w:tabs>
          <w:tab w:val="left" w:pos="0"/>
        </w:tabs>
        <w:ind w:left="0" w:right="0"/>
        <w:rPr>
          <w:sz w:val="22"/>
          <w:szCs w:val="22"/>
        </w:rPr>
      </w:pPr>
      <w:r>
        <w:rPr>
          <w:sz w:val="22"/>
          <w:szCs w:val="22"/>
        </w:rPr>
        <w:t xml:space="preserve">Our </w:t>
      </w:r>
      <w:r w:rsidRPr="003A4656">
        <w:rPr>
          <w:sz w:val="22"/>
          <w:szCs w:val="22"/>
        </w:rPr>
        <w:t>results</w:t>
      </w:r>
      <w:r w:rsidR="00DB089A" w:rsidRPr="003A4656">
        <w:rPr>
          <w:sz w:val="22"/>
          <w:szCs w:val="22"/>
        </w:rPr>
        <w:t xml:space="preserve"> indicate that the variants </w:t>
      </w:r>
      <w:r w:rsidR="00DB089A" w:rsidRPr="003A4656">
        <w:rPr>
          <w:b/>
          <w:sz w:val="22"/>
          <w:szCs w:val="22"/>
        </w:rPr>
        <w:t xml:space="preserve">p.7-10del, L22S, C39R, C39Y, C44F, C44S, C44Y, C64R </w:t>
      </w:r>
      <w:r w:rsidR="00DB089A" w:rsidRPr="003A4656">
        <w:rPr>
          <w:sz w:val="22"/>
          <w:szCs w:val="22"/>
        </w:rPr>
        <w:t>and</w:t>
      </w:r>
      <w:r w:rsidR="00DB089A" w:rsidRPr="003A4656">
        <w:rPr>
          <w:b/>
          <w:sz w:val="22"/>
          <w:szCs w:val="22"/>
        </w:rPr>
        <w:t xml:space="preserve"> C64Y</w:t>
      </w:r>
      <w:r w:rsidR="00DB089A" w:rsidRPr="003A4656">
        <w:rPr>
          <w:sz w:val="22"/>
          <w:szCs w:val="22"/>
        </w:rPr>
        <w:t xml:space="preserve"> </w:t>
      </w:r>
      <w:r w:rsidR="00DB089A" w:rsidRPr="003A4656">
        <w:rPr>
          <w:b/>
          <w:sz w:val="22"/>
          <w:szCs w:val="22"/>
        </w:rPr>
        <w:t>abolish</w:t>
      </w:r>
      <w:r w:rsidR="00DB089A" w:rsidRPr="003A4656">
        <w:rPr>
          <w:sz w:val="22"/>
          <w:szCs w:val="22"/>
        </w:rPr>
        <w:t xml:space="preserve"> the ability of the </w:t>
      </w:r>
      <w:r w:rsidR="00DB089A" w:rsidRPr="003A4656">
        <w:rPr>
          <w:b/>
          <w:sz w:val="22"/>
          <w:szCs w:val="22"/>
        </w:rPr>
        <w:t xml:space="preserve">BRCA1 </w:t>
      </w:r>
      <w:r w:rsidR="00DB089A" w:rsidRPr="003A4656">
        <w:rPr>
          <w:sz w:val="22"/>
          <w:szCs w:val="22"/>
        </w:rPr>
        <w:t xml:space="preserve">protein to </w:t>
      </w:r>
      <w:r w:rsidR="00DB089A" w:rsidRPr="003A4656">
        <w:rPr>
          <w:b/>
          <w:sz w:val="22"/>
          <w:szCs w:val="22"/>
        </w:rPr>
        <w:t>bind BARD1</w:t>
      </w:r>
      <w:r w:rsidR="00DB089A" w:rsidRPr="003A4656">
        <w:rPr>
          <w:sz w:val="22"/>
          <w:szCs w:val="22"/>
        </w:rPr>
        <w:t xml:space="preserve">, in a similar way as the proven deleterious mutation in the RING-domain C61G, while the variants I15T, M18T, L28P, I31M, T37K, K45Q, M48K, T77M and G98V behave like the wild-type BRCA1 and the D67Y neutral variant. Nine of the investigated variants had been previously classified as pathogenic (n=7) or neutral (n=2) using multifactorial models. For 7 of them, including all 5 variants affecting interaction, the results of the functional assay were consistent with this classification (Table </w:t>
      </w:r>
      <w:r w:rsidR="00FF6C2F">
        <w:rPr>
          <w:sz w:val="22"/>
          <w:szCs w:val="22"/>
        </w:rPr>
        <w:t>9</w:t>
      </w:r>
      <w:r w:rsidR="00DB089A" w:rsidRPr="003A4656">
        <w:rPr>
          <w:sz w:val="22"/>
          <w:szCs w:val="22"/>
        </w:rPr>
        <w:t xml:space="preserve">). Our observations support the utility of functional approaches in the assessment of the clinical relevance of </w:t>
      </w:r>
      <w:r w:rsidR="00D446EF" w:rsidRPr="003A4656">
        <w:rPr>
          <w:sz w:val="22"/>
          <w:szCs w:val="22"/>
        </w:rPr>
        <w:t>VUS</w:t>
      </w:r>
      <w:r w:rsidR="00DB089A" w:rsidRPr="003A4656">
        <w:rPr>
          <w:sz w:val="22"/>
          <w:szCs w:val="22"/>
        </w:rPr>
        <w:t>.</w:t>
      </w:r>
    </w:p>
    <w:p w:rsidR="00DB089A" w:rsidRPr="003A4656" w:rsidRDefault="00DB089A" w:rsidP="00D446EF">
      <w:pPr>
        <w:tabs>
          <w:tab w:val="left" w:pos="0"/>
        </w:tabs>
        <w:ind w:left="0" w:right="0"/>
        <w:rPr>
          <w:sz w:val="22"/>
          <w:szCs w:val="22"/>
        </w:rPr>
      </w:pPr>
      <w:r w:rsidRPr="003A4656">
        <w:rPr>
          <w:sz w:val="22"/>
          <w:szCs w:val="22"/>
        </w:rPr>
        <w:t>Two of the variants that in the GFP-reassembly fragment assay behaved as the wild-type protein and the protein carrying a neutral variant (M18T and T37K) are classified as pathogenic according to the IARC 5-class system (Vallè et al, 2012). Alternative approaches have been used to evaluate the ability of BRCA1 bearing M18T variant to bind BARD1. In particular Co-Immunoprecipitation (Co-Ip) technique shows a weak interaction between the two proteins</w:t>
      </w:r>
      <w:r w:rsidR="007E29AC">
        <w:rPr>
          <w:sz w:val="22"/>
          <w:szCs w:val="22"/>
        </w:rPr>
        <w:t xml:space="preserve"> (</w:t>
      </w:r>
      <w:r w:rsidR="00FA23F8">
        <w:rPr>
          <w:sz w:val="22"/>
          <w:szCs w:val="22"/>
        </w:rPr>
        <w:t xml:space="preserve">Ransburgh </w:t>
      </w:r>
      <w:r w:rsidR="007E29AC">
        <w:rPr>
          <w:sz w:val="22"/>
          <w:szCs w:val="22"/>
        </w:rPr>
        <w:t>D</w:t>
      </w:r>
      <w:r w:rsidR="00FA23F8">
        <w:rPr>
          <w:sz w:val="22"/>
          <w:szCs w:val="22"/>
        </w:rPr>
        <w:t>.</w:t>
      </w:r>
      <w:r w:rsidR="007E29AC">
        <w:rPr>
          <w:sz w:val="22"/>
          <w:szCs w:val="22"/>
        </w:rPr>
        <w:t>J</w:t>
      </w:r>
      <w:r w:rsidR="00E520F2">
        <w:rPr>
          <w:sz w:val="22"/>
          <w:szCs w:val="22"/>
        </w:rPr>
        <w:t>.</w:t>
      </w:r>
      <w:r w:rsidR="007E29AC">
        <w:rPr>
          <w:sz w:val="22"/>
          <w:szCs w:val="22"/>
        </w:rPr>
        <w:t>R</w:t>
      </w:r>
      <w:r w:rsidR="00E520F2">
        <w:rPr>
          <w:sz w:val="22"/>
          <w:szCs w:val="22"/>
        </w:rPr>
        <w:t>.</w:t>
      </w:r>
      <w:r w:rsidR="007E29AC">
        <w:rPr>
          <w:sz w:val="22"/>
          <w:szCs w:val="22"/>
        </w:rPr>
        <w:t xml:space="preserve"> et al., 2010)</w:t>
      </w:r>
      <w:r w:rsidRPr="003A4656">
        <w:rPr>
          <w:sz w:val="22"/>
          <w:szCs w:val="22"/>
        </w:rPr>
        <w:t xml:space="preserve">. This observation suggests the inadequacy of GFP-fragment reassembly assay to distinguish between strong and weak interactions and indicates that the phenotypic consequence of an allelic variant, as measured by a single functional assay, does not necessarily reflect its effect on cancer risk. Therefore, in order to minimize misclassification of </w:t>
      </w:r>
      <w:r w:rsidR="00D446EF" w:rsidRPr="003A4656">
        <w:rPr>
          <w:sz w:val="22"/>
          <w:szCs w:val="22"/>
        </w:rPr>
        <w:t>VUS</w:t>
      </w:r>
      <w:r w:rsidRPr="003A4656">
        <w:rPr>
          <w:sz w:val="22"/>
          <w:szCs w:val="22"/>
        </w:rPr>
        <w:t xml:space="preserve"> on the basis of the results of functional analyses, the outcome of more than one assay should be considered.</w:t>
      </w:r>
    </w:p>
    <w:p w:rsidR="00DB089A" w:rsidRPr="003A4656" w:rsidRDefault="00DB089A" w:rsidP="00D446EF">
      <w:pPr>
        <w:tabs>
          <w:tab w:val="left" w:pos="0"/>
        </w:tabs>
        <w:ind w:left="0" w:right="0"/>
        <w:rPr>
          <w:sz w:val="22"/>
          <w:szCs w:val="22"/>
        </w:rPr>
      </w:pPr>
    </w:p>
    <w:p w:rsidR="00D446EF" w:rsidRPr="003A4656" w:rsidRDefault="00D446EF" w:rsidP="00D446EF">
      <w:pPr>
        <w:tabs>
          <w:tab w:val="left" w:pos="0"/>
        </w:tabs>
        <w:ind w:left="0" w:right="0"/>
        <w:rPr>
          <w:sz w:val="22"/>
          <w:szCs w:val="22"/>
        </w:rPr>
      </w:pPr>
    </w:p>
    <w:p w:rsidR="00D446EF" w:rsidRPr="003A4656" w:rsidRDefault="00D446EF" w:rsidP="00D446EF">
      <w:pPr>
        <w:tabs>
          <w:tab w:val="left" w:pos="0"/>
        </w:tabs>
        <w:ind w:left="0" w:right="0"/>
        <w:rPr>
          <w:sz w:val="22"/>
          <w:szCs w:val="22"/>
        </w:rPr>
      </w:pPr>
    </w:p>
    <w:p w:rsidR="00D446EF" w:rsidRDefault="00D446EF" w:rsidP="00D446EF">
      <w:pPr>
        <w:tabs>
          <w:tab w:val="left" w:pos="0"/>
        </w:tabs>
        <w:ind w:left="0" w:right="0"/>
        <w:rPr>
          <w:sz w:val="22"/>
          <w:szCs w:val="22"/>
        </w:rPr>
      </w:pPr>
    </w:p>
    <w:p w:rsidR="00A42D96" w:rsidRPr="003A4656" w:rsidRDefault="00A42D96" w:rsidP="00D446EF">
      <w:pPr>
        <w:tabs>
          <w:tab w:val="left" w:pos="0"/>
        </w:tabs>
        <w:ind w:left="0" w:right="0"/>
        <w:rPr>
          <w:sz w:val="22"/>
          <w:szCs w:val="22"/>
        </w:rPr>
      </w:pPr>
    </w:p>
    <w:p w:rsidR="00D446EF" w:rsidRPr="003A4656" w:rsidRDefault="00D446EF" w:rsidP="00D446EF">
      <w:pPr>
        <w:tabs>
          <w:tab w:val="left" w:pos="0"/>
        </w:tabs>
        <w:ind w:left="0" w:right="0"/>
        <w:rPr>
          <w:sz w:val="22"/>
          <w:szCs w:val="22"/>
        </w:rPr>
      </w:pPr>
    </w:p>
    <w:p w:rsidR="00D446EF" w:rsidRPr="003A4656" w:rsidRDefault="00D446EF" w:rsidP="00D446EF">
      <w:pPr>
        <w:tabs>
          <w:tab w:val="left" w:pos="0"/>
        </w:tabs>
        <w:ind w:left="0" w:right="0"/>
        <w:rPr>
          <w:sz w:val="22"/>
          <w:szCs w:val="22"/>
        </w:rPr>
      </w:pPr>
    </w:p>
    <w:p w:rsidR="00C941EF" w:rsidRPr="003A4656" w:rsidRDefault="00EA5887" w:rsidP="00A42D96">
      <w:pPr>
        <w:tabs>
          <w:tab w:val="left" w:pos="0"/>
        </w:tabs>
        <w:ind w:left="0" w:right="0"/>
        <w:jc w:val="center"/>
        <w:rPr>
          <w:sz w:val="22"/>
          <w:szCs w:val="22"/>
        </w:rPr>
      </w:pPr>
      <w:proofErr w:type="gramStart"/>
      <w:r w:rsidRPr="003A4656">
        <w:rPr>
          <w:sz w:val="22"/>
          <w:szCs w:val="22"/>
        </w:rPr>
        <w:t xml:space="preserve">Table </w:t>
      </w:r>
      <w:r w:rsidR="00FF6C2F">
        <w:rPr>
          <w:sz w:val="22"/>
          <w:szCs w:val="22"/>
        </w:rPr>
        <w:t>9</w:t>
      </w:r>
      <w:r w:rsidRPr="003A4656">
        <w:rPr>
          <w:sz w:val="22"/>
          <w:szCs w:val="22"/>
        </w:rPr>
        <w:t>.</w:t>
      </w:r>
      <w:proofErr w:type="gramEnd"/>
      <w:r w:rsidRPr="003A4656">
        <w:rPr>
          <w:sz w:val="22"/>
          <w:szCs w:val="22"/>
        </w:rPr>
        <w:t xml:space="preserve"> GFP-reassembly assay results and IARC classification</w:t>
      </w:r>
    </w:p>
    <w:p w:rsidR="00EA5887" w:rsidRPr="003A4656" w:rsidRDefault="0073193A" w:rsidP="00D446EF">
      <w:pPr>
        <w:tabs>
          <w:tab w:val="left" w:pos="0"/>
        </w:tabs>
        <w:ind w:left="0" w:right="0"/>
        <w:rPr>
          <w:sz w:val="22"/>
          <w:szCs w:val="22"/>
        </w:rPr>
      </w:pPr>
      <w:r>
        <w:rPr>
          <w:noProof/>
          <w:sz w:val="22"/>
          <w:szCs w:val="22"/>
          <w:lang w:val="en-US" w:eastAsia="en-US"/>
        </w:rPr>
        <w:drawing>
          <wp:inline distT="0" distB="0" distL="0" distR="0">
            <wp:extent cx="4743450" cy="2514600"/>
            <wp:effectExtent l="19050" t="0" r="0" b="0"/>
            <wp:docPr id="11" name="Picture 10" descr="Tab Discussio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 Discussione.png"/>
                    <pic:cNvPicPr/>
                  </pic:nvPicPr>
                  <pic:blipFill>
                    <a:blip r:embed="rId54" cstate="print"/>
                    <a:stretch>
                      <a:fillRect/>
                    </a:stretch>
                  </pic:blipFill>
                  <pic:spPr>
                    <a:xfrm>
                      <a:off x="0" y="0"/>
                      <a:ext cx="4743450" cy="2514600"/>
                    </a:xfrm>
                    <a:prstGeom prst="rect">
                      <a:avLst/>
                    </a:prstGeom>
                  </pic:spPr>
                </pic:pic>
              </a:graphicData>
            </a:graphic>
          </wp:inline>
        </w:drawing>
      </w:r>
    </w:p>
    <w:p w:rsidR="00D446EF" w:rsidRPr="003A4656" w:rsidRDefault="00D446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r w:rsidRPr="003A4656">
        <w:rPr>
          <w:sz w:val="22"/>
          <w:szCs w:val="22"/>
        </w:rPr>
        <w:t xml:space="preserve">In the future, therefore, we think to </w:t>
      </w:r>
      <w:r w:rsidRPr="003A4656">
        <w:rPr>
          <w:bCs/>
          <w:sz w:val="22"/>
          <w:szCs w:val="22"/>
        </w:rPr>
        <w:t>use complementary techniques (e.g.</w:t>
      </w:r>
      <w:r w:rsidR="007E29AC">
        <w:rPr>
          <w:bCs/>
          <w:sz w:val="22"/>
          <w:szCs w:val="22"/>
        </w:rPr>
        <w:t>,</w:t>
      </w:r>
      <w:r w:rsidRPr="003A4656">
        <w:rPr>
          <w:bCs/>
          <w:sz w:val="22"/>
          <w:szCs w:val="22"/>
        </w:rPr>
        <w:t xml:space="preserve"> Co-Ip) to verify positive interactions </w:t>
      </w:r>
      <w:r w:rsidR="00A42D96">
        <w:rPr>
          <w:bCs/>
          <w:sz w:val="22"/>
          <w:szCs w:val="22"/>
        </w:rPr>
        <w:t xml:space="preserve">detected </w:t>
      </w:r>
      <w:r w:rsidRPr="003A4656">
        <w:rPr>
          <w:bCs/>
          <w:sz w:val="22"/>
          <w:szCs w:val="22"/>
        </w:rPr>
        <w:t xml:space="preserve">in </w:t>
      </w:r>
      <w:r w:rsidR="00A42D96">
        <w:rPr>
          <w:bCs/>
          <w:sz w:val="22"/>
          <w:szCs w:val="22"/>
        </w:rPr>
        <w:t xml:space="preserve">the </w:t>
      </w:r>
      <w:r w:rsidRPr="003A4656">
        <w:rPr>
          <w:bCs/>
          <w:sz w:val="22"/>
          <w:szCs w:val="22"/>
        </w:rPr>
        <w:t>GFP-reassembly assay</w:t>
      </w:r>
      <w:r w:rsidRPr="003A4656">
        <w:rPr>
          <w:sz w:val="22"/>
          <w:szCs w:val="22"/>
        </w:rPr>
        <w:t xml:space="preserve"> and </w:t>
      </w:r>
      <w:r w:rsidR="007E29AC">
        <w:rPr>
          <w:sz w:val="22"/>
          <w:szCs w:val="22"/>
        </w:rPr>
        <w:t xml:space="preserve">to </w:t>
      </w:r>
      <w:r w:rsidRPr="003A4656">
        <w:rPr>
          <w:sz w:val="22"/>
          <w:szCs w:val="22"/>
        </w:rPr>
        <w:t>increase the number of classified variants</w:t>
      </w:r>
      <w:r w:rsidR="007E29AC">
        <w:rPr>
          <w:sz w:val="22"/>
          <w:szCs w:val="22"/>
        </w:rPr>
        <w:t>,</w:t>
      </w:r>
      <w:r w:rsidRPr="003A4656">
        <w:rPr>
          <w:sz w:val="22"/>
          <w:szCs w:val="22"/>
        </w:rPr>
        <w:t xml:space="preserve"> </w:t>
      </w:r>
      <w:r w:rsidR="007E29AC">
        <w:rPr>
          <w:sz w:val="22"/>
          <w:szCs w:val="22"/>
        </w:rPr>
        <w:t>in order to assess</w:t>
      </w:r>
      <w:r w:rsidRPr="003A4656">
        <w:rPr>
          <w:sz w:val="22"/>
          <w:szCs w:val="22"/>
        </w:rPr>
        <w:t xml:space="preserve"> the sensitivity and specificity of the assay. Moreover</w:t>
      </w:r>
      <w:r w:rsidR="007E29AC">
        <w:rPr>
          <w:sz w:val="22"/>
          <w:szCs w:val="22"/>
        </w:rPr>
        <w:t>,</w:t>
      </w:r>
      <w:r w:rsidRPr="003A4656">
        <w:rPr>
          <w:sz w:val="22"/>
          <w:szCs w:val="22"/>
        </w:rPr>
        <w:t xml:space="preserve"> we</w:t>
      </w:r>
      <w:r w:rsidR="00794972" w:rsidRPr="003A4656">
        <w:rPr>
          <w:sz w:val="22"/>
          <w:szCs w:val="22"/>
        </w:rPr>
        <w:t xml:space="preserve"> will</w:t>
      </w:r>
      <w:r w:rsidRPr="003A4656">
        <w:rPr>
          <w:sz w:val="22"/>
          <w:szCs w:val="22"/>
        </w:rPr>
        <w:t xml:space="preserve"> use the GFP-reassembly assay to test the</w:t>
      </w:r>
      <w:r w:rsidR="007E29AC">
        <w:rPr>
          <w:sz w:val="22"/>
          <w:szCs w:val="22"/>
        </w:rPr>
        <w:t xml:space="preserve"> impact</w:t>
      </w:r>
      <w:r w:rsidRPr="003A4656">
        <w:rPr>
          <w:sz w:val="22"/>
          <w:szCs w:val="22"/>
        </w:rPr>
        <w:t xml:space="preserve"> of BRCA1 RING variants </w:t>
      </w:r>
      <w:r w:rsidR="007E29AC">
        <w:rPr>
          <w:sz w:val="22"/>
          <w:szCs w:val="22"/>
        </w:rPr>
        <w:t>on the interaction</w:t>
      </w:r>
      <w:r w:rsidRPr="003A4656">
        <w:rPr>
          <w:sz w:val="22"/>
          <w:szCs w:val="22"/>
        </w:rPr>
        <w:t xml:space="preserve"> with other protein</w:t>
      </w:r>
      <w:r w:rsidR="00A42D96">
        <w:rPr>
          <w:sz w:val="22"/>
          <w:szCs w:val="22"/>
        </w:rPr>
        <w:t>s</w:t>
      </w:r>
      <w:r w:rsidRPr="003A4656">
        <w:rPr>
          <w:sz w:val="22"/>
          <w:szCs w:val="22"/>
        </w:rPr>
        <w:t xml:space="preserve"> (e.g. UbCH5).</w:t>
      </w: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E2035F" w:rsidRPr="003A4656" w:rsidRDefault="00E2035F" w:rsidP="00D446EF">
      <w:pPr>
        <w:tabs>
          <w:tab w:val="left" w:pos="0"/>
        </w:tabs>
        <w:ind w:left="0" w:right="0"/>
        <w:rPr>
          <w:sz w:val="22"/>
          <w:szCs w:val="22"/>
        </w:rPr>
      </w:pPr>
    </w:p>
    <w:p w:rsidR="00E2035F" w:rsidRPr="003A4656" w:rsidRDefault="00E2035F" w:rsidP="00D446EF">
      <w:pPr>
        <w:tabs>
          <w:tab w:val="left" w:pos="0"/>
        </w:tabs>
        <w:ind w:left="0" w:right="0"/>
        <w:rPr>
          <w:sz w:val="22"/>
          <w:szCs w:val="22"/>
        </w:rPr>
      </w:pPr>
    </w:p>
    <w:p w:rsidR="00E2035F" w:rsidRPr="003A4656" w:rsidRDefault="00E2035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C941EF" w:rsidRPr="003A4656" w:rsidRDefault="00C941EF" w:rsidP="00D446EF">
      <w:pPr>
        <w:tabs>
          <w:tab w:val="left" w:pos="0"/>
        </w:tabs>
        <w:ind w:left="0" w:right="0"/>
        <w:rPr>
          <w:sz w:val="22"/>
          <w:szCs w:val="22"/>
        </w:rPr>
      </w:pPr>
    </w:p>
    <w:p w:rsidR="00E2035F" w:rsidRPr="003A4656" w:rsidRDefault="00E2035F" w:rsidP="00D446EF">
      <w:pPr>
        <w:tabs>
          <w:tab w:val="left" w:pos="0"/>
        </w:tabs>
        <w:ind w:left="0" w:right="0"/>
        <w:rPr>
          <w:sz w:val="22"/>
          <w:szCs w:val="22"/>
        </w:rPr>
      </w:pPr>
    </w:p>
    <w:p w:rsidR="00C941EF" w:rsidRPr="003A4656" w:rsidRDefault="00C941EF" w:rsidP="00583E5E">
      <w:pPr>
        <w:rPr>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C941EF" w:rsidRPr="003A4656" w:rsidRDefault="00C941EF"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653B99" w:rsidRPr="003A4656" w:rsidRDefault="00653B99" w:rsidP="00583E5E">
      <w:pPr>
        <w:rPr>
          <w:rFonts w:eastAsia="TimesNewRomanPS"/>
          <w:sz w:val="22"/>
          <w:szCs w:val="22"/>
        </w:rPr>
      </w:pPr>
    </w:p>
    <w:p w:rsidR="00B91ECF" w:rsidRDefault="00B91ECF" w:rsidP="00653B99">
      <w:pPr>
        <w:jc w:val="right"/>
        <w:rPr>
          <w:rFonts w:eastAsia="TimesNewRomanPS"/>
          <w:b/>
          <w:i/>
          <w:sz w:val="44"/>
          <w:szCs w:val="44"/>
        </w:rPr>
      </w:pPr>
    </w:p>
    <w:p w:rsidR="00C941EF" w:rsidRPr="003A4656" w:rsidRDefault="00C941EF" w:rsidP="00653B99">
      <w:pPr>
        <w:jc w:val="right"/>
        <w:rPr>
          <w:rFonts w:eastAsia="TimesNewRomanPS"/>
          <w:b/>
          <w:i/>
          <w:sz w:val="44"/>
          <w:szCs w:val="44"/>
        </w:rPr>
      </w:pPr>
      <w:r w:rsidRPr="003A4656">
        <w:rPr>
          <w:rFonts w:eastAsia="TimesNewRomanPS"/>
          <w:b/>
          <w:i/>
          <w:sz w:val="44"/>
          <w:szCs w:val="44"/>
        </w:rPr>
        <w:t>References</w:t>
      </w:r>
    </w:p>
    <w:p w:rsidR="00C941EF" w:rsidRPr="003A4656" w:rsidRDefault="00C941EF" w:rsidP="00583E5E">
      <w:pPr>
        <w:pStyle w:val="ListParagraph"/>
        <w:jc w:val="both"/>
        <w:rPr>
          <w:rFonts w:ascii="Times New Roman" w:hAnsi="Times New Roman"/>
          <w:lang w:val="en-GB"/>
        </w:rPr>
      </w:pPr>
      <w:bookmarkStart w:id="7" w:name="_ENREF_1"/>
    </w:p>
    <w:bookmarkEnd w:id="7"/>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C941EF" w:rsidRPr="003A4656" w:rsidRDefault="00C941EF" w:rsidP="00583E5E">
      <w:pPr>
        <w:rPr>
          <w:sz w:val="22"/>
          <w:szCs w:val="22"/>
        </w:rPr>
      </w:pPr>
    </w:p>
    <w:p w:rsidR="00E224D4" w:rsidRPr="003A4656" w:rsidRDefault="00E224D4" w:rsidP="00653B99">
      <w:pPr>
        <w:spacing w:after="120"/>
        <w:ind w:left="0" w:right="0"/>
        <w:rPr>
          <w:sz w:val="22"/>
          <w:szCs w:val="22"/>
        </w:rPr>
      </w:pPr>
      <w:r w:rsidRPr="003A4656">
        <w:rPr>
          <w:sz w:val="22"/>
          <w:szCs w:val="22"/>
        </w:rPr>
        <w:t xml:space="preserve">Abkevich V., Zharkikh A., Deffenbaugh A.M, Frank D., Chen Y., Shattuck D., </w:t>
      </w:r>
      <w:proofErr w:type="gramStart"/>
      <w:r w:rsidRPr="003A4656">
        <w:rPr>
          <w:sz w:val="22"/>
          <w:szCs w:val="22"/>
        </w:rPr>
        <w:t>Skolnick  M.H</w:t>
      </w:r>
      <w:proofErr w:type="gramEnd"/>
      <w:r w:rsidRPr="003A4656">
        <w:rPr>
          <w:sz w:val="22"/>
          <w:szCs w:val="22"/>
        </w:rPr>
        <w:t xml:space="preserve">., Gutin A., Tavtigian S.V. Analysis of missense variation in human BRCA1 in the context of interspecific sequence variation. </w:t>
      </w:r>
      <w:proofErr w:type="gramStart"/>
      <w:r w:rsidRPr="003A4656">
        <w:rPr>
          <w:sz w:val="22"/>
          <w:szCs w:val="22"/>
        </w:rPr>
        <w:t>J Med Genet.</w:t>
      </w:r>
      <w:proofErr w:type="gramEnd"/>
      <w:r w:rsidRPr="003A4656">
        <w:rPr>
          <w:sz w:val="22"/>
          <w:szCs w:val="22"/>
        </w:rPr>
        <w:t xml:space="preserve"> 2004 Jul</w:t>
      </w:r>
      <w:proofErr w:type="gramStart"/>
      <w:r w:rsidRPr="003A4656">
        <w:rPr>
          <w:sz w:val="22"/>
          <w:szCs w:val="22"/>
        </w:rPr>
        <w:t>;41</w:t>
      </w:r>
      <w:proofErr w:type="gramEnd"/>
      <w:r w:rsidRPr="003A4656">
        <w:rPr>
          <w:sz w:val="22"/>
          <w:szCs w:val="22"/>
        </w:rPr>
        <w:t>(7):492-507.</w:t>
      </w:r>
    </w:p>
    <w:p w:rsidR="00E224D4" w:rsidRPr="003A4656" w:rsidRDefault="00E224D4" w:rsidP="00653B99">
      <w:pPr>
        <w:spacing w:after="120"/>
        <w:ind w:left="0" w:right="0"/>
        <w:rPr>
          <w:sz w:val="22"/>
          <w:szCs w:val="22"/>
        </w:rPr>
      </w:pPr>
      <w:r w:rsidRPr="003A4656">
        <w:rPr>
          <w:sz w:val="22"/>
          <w:szCs w:val="22"/>
        </w:rPr>
        <w:t>Altschul S.F., Madden T.L., Schäffer A.A., Zhang J., Zhang Z., Miller W., Lipman D.J. Gapped BLAST and PSI-BLAST: a new generation of protein database search programs. Nucleic Acids Res. 1997 Sep 1</w:t>
      </w:r>
      <w:proofErr w:type="gramStart"/>
      <w:r w:rsidRPr="003A4656">
        <w:rPr>
          <w:sz w:val="22"/>
          <w:szCs w:val="22"/>
        </w:rPr>
        <w:t>;25</w:t>
      </w:r>
      <w:proofErr w:type="gramEnd"/>
      <w:r w:rsidRPr="003A4656">
        <w:rPr>
          <w:sz w:val="22"/>
          <w:szCs w:val="22"/>
        </w:rPr>
        <w:t xml:space="preserve">(17):3389-402. </w:t>
      </w:r>
    </w:p>
    <w:p w:rsidR="00E224D4" w:rsidRPr="003A4656" w:rsidRDefault="00E224D4" w:rsidP="00653B99">
      <w:pPr>
        <w:spacing w:after="120"/>
        <w:ind w:left="0" w:right="0"/>
        <w:rPr>
          <w:sz w:val="22"/>
          <w:szCs w:val="22"/>
        </w:rPr>
      </w:pPr>
      <w:r w:rsidRPr="003A4656">
        <w:rPr>
          <w:sz w:val="22"/>
          <w:szCs w:val="22"/>
        </w:rPr>
        <w:t xml:space="preserve">Andres J.L., Fan S., Turkel G.J., Wang J.A., Twu N.F., Yuan R.Q., Lamszus K., Goldberg I.D., Rosen E.M. Regulation of BRCA1 and BRCA2 expression in human breast cancer cells by DNA-damaging agents. </w:t>
      </w:r>
      <w:proofErr w:type="gramStart"/>
      <w:r w:rsidRPr="003A4656">
        <w:rPr>
          <w:sz w:val="22"/>
          <w:szCs w:val="22"/>
        </w:rPr>
        <w:t>Oncogene.</w:t>
      </w:r>
      <w:proofErr w:type="gramEnd"/>
      <w:r w:rsidRPr="003A4656">
        <w:rPr>
          <w:sz w:val="22"/>
          <w:szCs w:val="22"/>
        </w:rPr>
        <w:t xml:space="preserve"> 1998 Apr 30</w:t>
      </w:r>
      <w:proofErr w:type="gramStart"/>
      <w:r w:rsidRPr="003A4656">
        <w:rPr>
          <w:sz w:val="22"/>
          <w:szCs w:val="22"/>
        </w:rPr>
        <w:t>;16</w:t>
      </w:r>
      <w:proofErr w:type="gramEnd"/>
      <w:r w:rsidRPr="003A4656">
        <w:rPr>
          <w:sz w:val="22"/>
          <w:szCs w:val="22"/>
        </w:rPr>
        <w:t xml:space="preserve">(17):2229-41. </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Antoniou AC, Cunningham AP, Peto J, Evans DG, Lalloo F, Narod SA, Risch HA, Eyfjord JE, Hopper JL, Southey MC, et al.</w:t>
      </w:r>
      <w:proofErr w:type="gramEnd"/>
      <w:r w:rsidRPr="003A4656">
        <w:rPr>
          <w:rFonts w:eastAsia="TimesNewRomanPS"/>
          <w:sz w:val="22"/>
          <w:szCs w:val="22"/>
        </w:rPr>
        <w:t xml:space="preserve"> The BOADICEA model of genetic susceptibility to breast and ovarian cancers: updates and extensions. </w:t>
      </w:r>
      <w:proofErr w:type="gramStart"/>
      <w:r w:rsidRPr="003A4656">
        <w:rPr>
          <w:rFonts w:eastAsia="TimesNewRomanPS"/>
          <w:sz w:val="22"/>
          <w:szCs w:val="22"/>
        </w:rPr>
        <w:t>Br J Cancer.</w:t>
      </w:r>
      <w:proofErr w:type="gramEnd"/>
      <w:r w:rsidRPr="003A4656">
        <w:rPr>
          <w:rFonts w:eastAsia="TimesNewRomanPS"/>
          <w:sz w:val="22"/>
          <w:szCs w:val="22"/>
        </w:rPr>
        <w:t xml:space="preserve"> 2008; 98(8):1457–66</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Apostolou P. and Fostira F. Hereditary Breast Cancer: The Era of New Susceptibility Genes. </w:t>
      </w:r>
      <w:proofErr w:type="gramStart"/>
      <w:r w:rsidRPr="003A4656">
        <w:rPr>
          <w:rFonts w:eastAsia="TimesNewRomanPS"/>
          <w:sz w:val="22"/>
          <w:szCs w:val="22"/>
        </w:rPr>
        <w:t>BioMed Research International.</w:t>
      </w:r>
      <w:proofErr w:type="gramEnd"/>
      <w:r w:rsidRPr="003A4656">
        <w:rPr>
          <w:rFonts w:eastAsia="TimesNewRomanPS"/>
          <w:sz w:val="22"/>
          <w:szCs w:val="22"/>
        </w:rPr>
        <w:t xml:space="preserve"> </w:t>
      </w:r>
      <w:proofErr w:type="gramStart"/>
      <w:r w:rsidRPr="003A4656">
        <w:rPr>
          <w:rFonts w:eastAsia="TimesNewRomanPS"/>
          <w:sz w:val="22"/>
          <w:szCs w:val="22"/>
        </w:rPr>
        <w:t>Volume 2013.</w:t>
      </w:r>
      <w:proofErr w:type="gramEnd"/>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Au W.W. and Henderson B.R.</w:t>
      </w:r>
      <w:proofErr w:type="gramEnd"/>
      <w:r w:rsidRPr="003A4656">
        <w:rPr>
          <w:rFonts w:eastAsia="TimesNewRomanPS"/>
          <w:sz w:val="22"/>
          <w:szCs w:val="22"/>
        </w:rPr>
        <w:t xml:space="preserve"> The BRCA1 RING and BRCT domains cooperate in targeting BRCA1 to ionizing radiation-induced nuclear foci. </w:t>
      </w:r>
      <w:proofErr w:type="gramStart"/>
      <w:r w:rsidRPr="003A4656">
        <w:rPr>
          <w:rFonts w:eastAsia="TimesNewRomanPS"/>
          <w:sz w:val="22"/>
          <w:szCs w:val="22"/>
        </w:rPr>
        <w:t>J Biol.Chem.</w:t>
      </w:r>
      <w:proofErr w:type="gramEnd"/>
      <w:r w:rsidRPr="003A4656">
        <w:rPr>
          <w:rFonts w:eastAsia="TimesNewRomanPS"/>
          <w:sz w:val="22"/>
          <w:szCs w:val="22"/>
        </w:rPr>
        <w:t xml:space="preserve"> 2005; 280(8):6993–7001.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Baer R, Ludwig T. </w:t>
      </w:r>
      <w:proofErr w:type="gramStart"/>
      <w:r w:rsidRPr="003A4656">
        <w:rPr>
          <w:rFonts w:eastAsia="TimesNewRomanPS"/>
          <w:sz w:val="22"/>
          <w:szCs w:val="22"/>
        </w:rPr>
        <w:t>The BRCA1/BARD1 heterodimer, a tumor suppressor complex with ubiquitin E3 ligase activity.</w:t>
      </w:r>
      <w:proofErr w:type="gramEnd"/>
      <w:r w:rsidRPr="003A4656">
        <w:rPr>
          <w:rFonts w:eastAsia="TimesNewRomanPS"/>
          <w:sz w:val="22"/>
          <w:szCs w:val="22"/>
        </w:rPr>
        <w:t xml:space="preserve"> Curr Opin Genet Dev. 2002 Feb</w:t>
      </w:r>
      <w:proofErr w:type="gramStart"/>
      <w:r w:rsidRPr="003A4656">
        <w:rPr>
          <w:rFonts w:eastAsia="TimesNewRomanPS"/>
          <w:sz w:val="22"/>
          <w:szCs w:val="22"/>
        </w:rPr>
        <w:t>;12</w:t>
      </w:r>
      <w:proofErr w:type="gramEnd"/>
      <w:r w:rsidRPr="003A4656">
        <w:rPr>
          <w:rFonts w:eastAsia="TimesNewRomanPS"/>
          <w:sz w:val="22"/>
          <w:szCs w:val="22"/>
        </w:rPr>
        <w:t xml:space="preserve">(1):86-91. </w:t>
      </w:r>
      <w:proofErr w:type="gramStart"/>
      <w:r w:rsidRPr="003A4656">
        <w:rPr>
          <w:rFonts w:eastAsia="TimesNewRomanPS"/>
          <w:sz w:val="22"/>
          <w:szCs w:val="22"/>
        </w:rPr>
        <w:t>Review.</w:t>
      </w:r>
      <w:proofErr w:type="gramEnd"/>
      <w:r w:rsidRPr="003A4656">
        <w:rPr>
          <w:rFonts w:eastAsia="TimesNewRomanPS"/>
          <w:sz w:val="22"/>
          <w:szCs w:val="22"/>
        </w:rPr>
        <w:t xml:space="preserve">  PubMed PMID: 11790560.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Bao L., Zhou M., Cui Y. nsSNPAnalyzer: identifying disease-associated nonsynonymous single nucleotide polymorphisms. Nucleic Acids Res. 2005 Jul 1</w:t>
      </w:r>
      <w:proofErr w:type="gramStart"/>
      <w:r w:rsidRPr="003A4656">
        <w:rPr>
          <w:rFonts w:eastAsia="TimesNewRomanPS"/>
          <w:sz w:val="22"/>
          <w:szCs w:val="22"/>
        </w:rPr>
        <w:t>;33</w:t>
      </w:r>
      <w:proofErr w:type="gramEnd"/>
      <w:r w:rsidRPr="003A4656">
        <w:rPr>
          <w:rFonts w:eastAsia="TimesNewRomanPS"/>
          <w:sz w:val="22"/>
          <w:szCs w:val="22"/>
        </w:rPr>
        <w:t>(Web Server issue):W480-2.</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Baudi F., Quaresima B., Grandinetti C., Cuda G, Faniello C, Tassone P, Barbieri V, Bisegna R, Ricevuto E, Conforti S, Viel A, Marchetti P, Ficorella C, Radice P, Costanzo F, Venuta S. Evidence of a founder mutation of BRCA1 in a highly homogeneous population from southern Italy with breast/ovarian cancer. Hum Mutat. 2001 Aug</w:t>
      </w:r>
      <w:proofErr w:type="gramStart"/>
      <w:r w:rsidRPr="003A4656">
        <w:rPr>
          <w:rFonts w:eastAsia="TimesNewRomanPS"/>
          <w:sz w:val="22"/>
          <w:szCs w:val="22"/>
        </w:rPr>
        <w:t>;18</w:t>
      </w:r>
      <w:proofErr w:type="gramEnd"/>
      <w:r w:rsidRPr="003A4656">
        <w:rPr>
          <w:rFonts w:eastAsia="TimesNewRomanPS"/>
          <w:sz w:val="22"/>
          <w:szCs w:val="22"/>
        </w:rPr>
        <w:t>(2):163-4.</w:t>
      </w:r>
    </w:p>
    <w:p w:rsidR="00E224D4" w:rsidRPr="003A4656" w:rsidRDefault="00E224D4" w:rsidP="00653B99">
      <w:pPr>
        <w:spacing w:after="120"/>
        <w:ind w:left="0" w:right="0"/>
        <w:rPr>
          <w:sz w:val="22"/>
          <w:szCs w:val="22"/>
        </w:rPr>
      </w:pPr>
      <w:r w:rsidRPr="003A4656">
        <w:rPr>
          <w:sz w:val="22"/>
          <w:szCs w:val="22"/>
        </w:rPr>
        <w:t xml:space="preserve">Berliner J.L., Fay </w:t>
      </w:r>
      <w:proofErr w:type="gramStart"/>
      <w:r w:rsidRPr="003A4656">
        <w:rPr>
          <w:sz w:val="22"/>
          <w:szCs w:val="22"/>
        </w:rPr>
        <w:t>A.M..</w:t>
      </w:r>
      <w:proofErr w:type="gramEnd"/>
      <w:r w:rsidRPr="003A4656">
        <w:rPr>
          <w:sz w:val="22"/>
          <w:szCs w:val="22"/>
        </w:rPr>
        <w:t xml:space="preserve"> Practice Issues Subcommittee of the National Society of Genetic Counselors' Familial Cancer Risk Counseling Special Interest Group. Risk assessment and genetic counseling for hereditary breast and ovarian cancer: recommendations of the National Society of Genetic Counselors. </w:t>
      </w:r>
      <w:proofErr w:type="gramStart"/>
      <w:r w:rsidRPr="003A4656">
        <w:rPr>
          <w:sz w:val="22"/>
          <w:szCs w:val="22"/>
        </w:rPr>
        <w:t>J Genet Couns.</w:t>
      </w:r>
      <w:proofErr w:type="gramEnd"/>
      <w:r w:rsidRPr="003A4656">
        <w:rPr>
          <w:sz w:val="22"/>
          <w:szCs w:val="22"/>
        </w:rPr>
        <w:t xml:space="preserve"> 2007 Jun</w:t>
      </w:r>
      <w:proofErr w:type="gramStart"/>
      <w:r w:rsidRPr="003A4656">
        <w:rPr>
          <w:sz w:val="22"/>
          <w:szCs w:val="22"/>
        </w:rPr>
        <w:t>;16</w:t>
      </w:r>
      <w:proofErr w:type="gramEnd"/>
      <w:r w:rsidRPr="003A4656">
        <w:rPr>
          <w:sz w:val="22"/>
          <w:szCs w:val="22"/>
        </w:rPr>
        <w:t xml:space="preserve">(3):241-60. </w:t>
      </w:r>
    </w:p>
    <w:p w:rsidR="00E224D4" w:rsidRPr="003A4656" w:rsidRDefault="00E224D4" w:rsidP="00653B99">
      <w:pPr>
        <w:spacing w:after="120"/>
        <w:ind w:left="0" w:right="0"/>
        <w:rPr>
          <w:sz w:val="22"/>
          <w:szCs w:val="22"/>
        </w:rPr>
      </w:pPr>
      <w:r w:rsidRPr="003A4656">
        <w:rPr>
          <w:sz w:val="22"/>
          <w:szCs w:val="22"/>
        </w:rPr>
        <w:t>Bertwistle D., Swift S., Marston N.J., Jackson L.E., Crossland S., Crompton M.R., Marshall C.J., Ashworth A. Nuclear location and cell cycle regulation of the BRCA2 protein. Cancer Res. 1997 Dec 15</w:t>
      </w:r>
      <w:proofErr w:type="gramStart"/>
      <w:r w:rsidRPr="003A4656">
        <w:rPr>
          <w:sz w:val="22"/>
          <w:szCs w:val="22"/>
        </w:rPr>
        <w:t>;57</w:t>
      </w:r>
      <w:proofErr w:type="gramEnd"/>
      <w:r w:rsidRPr="003A4656">
        <w:rPr>
          <w:sz w:val="22"/>
          <w:szCs w:val="22"/>
        </w:rPr>
        <w:t xml:space="preserve">(24):5485-8. </w:t>
      </w:r>
    </w:p>
    <w:p w:rsidR="00E224D4" w:rsidRPr="003A4656" w:rsidRDefault="00E224D4" w:rsidP="00653B99">
      <w:pPr>
        <w:spacing w:after="120"/>
        <w:ind w:left="0" w:right="0"/>
        <w:rPr>
          <w:sz w:val="22"/>
          <w:szCs w:val="22"/>
        </w:rPr>
      </w:pPr>
      <w:r w:rsidRPr="003A4656">
        <w:rPr>
          <w:sz w:val="22"/>
          <w:szCs w:val="22"/>
        </w:rPr>
        <w:t xml:space="preserve">Bochar D.A., Wang L., Beniya H., Kinev A., Xue Y., Lane W.S., Wang W., Kashanchi F., Shiekhattar R. BRCA1 is associated with a human SWI/SNF-related complex: linking  chromatin remodeling to breast cancer. </w:t>
      </w:r>
      <w:proofErr w:type="gramStart"/>
      <w:r w:rsidRPr="003A4656">
        <w:rPr>
          <w:sz w:val="22"/>
          <w:szCs w:val="22"/>
        </w:rPr>
        <w:t>Cell.</w:t>
      </w:r>
      <w:proofErr w:type="gramEnd"/>
      <w:r w:rsidRPr="003A4656">
        <w:rPr>
          <w:sz w:val="22"/>
          <w:szCs w:val="22"/>
        </w:rPr>
        <w:t xml:space="preserve"> 2000 Jul 21</w:t>
      </w:r>
      <w:proofErr w:type="gramStart"/>
      <w:r w:rsidRPr="003A4656">
        <w:rPr>
          <w:sz w:val="22"/>
          <w:szCs w:val="22"/>
        </w:rPr>
        <w:t>;102</w:t>
      </w:r>
      <w:proofErr w:type="gramEnd"/>
      <w:r w:rsidRPr="003A4656">
        <w:rPr>
          <w:sz w:val="22"/>
          <w:szCs w:val="22"/>
        </w:rPr>
        <w:t>(2):257-65.</w:t>
      </w:r>
    </w:p>
    <w:p w:rsidR="00E224D4" w:rsidRPr="003A4656" w:rsidRDefault="00E224D4" w:rsidP="00653B99">
      <w:pPr>
        <w:spacing w:after="120"/>
        <w:ind w:left="0" w:right="0"/>
        <w:rPr>
          <w:sz w:val="22"/>
          <w:szCs w:val="22"/>
        </w:rPr>
      </w:pPr>
      <w:r w:rsidRPr="003A4656">
        <w:rPr>
          <w:sz w:val="22"/>
          <w:szCs w:val="22"/>
        </w:rPr>
        <w:t xml:space="preserve">Bork P., Hofmann K., Bucher P., Neuwald A.F., Altschul S.F., Koonin E.V. </w:t>
      </w:r>
      <w:proofErr w:type="gramStart"/>
      <w:r w:rsidRPr="003A4656">
        <w:rPr>
          <w:sz w:val="22"/>
          <w:szCs w:val="22"/>
        </w:rPr>
        <w:t>A superfamily of conserved domains in DNA damage-responsive cell cycle checkpoint proteins.</w:t>
      </w:r>
      <w:proofErr w:type="gramEnd"/>
      <w:r w:rsidRPr="003A4656">
        <w:rPr>
          <w:sz w:val="22"/>
          <w:szCs w:val="22"/>
        </w:rPr>
        <w:t xml:space="preserve"> FASEB J. 1997 Jan</w:t>
      </w:r>
      <w:proofErr w:type="gramStart"/>
      <w:r w:rsidRPr="003A4656">
        <w:rPr>
          <w:sz w:val="22"/>
          <w:szCs w:val="22"/>
        </w:rPr>
        <w:t>;11</w:t>
      </w:r>
      <w:proofErr w:type="gramEnd"/>
      <w:r w:rsidRPr="003A4656">
        <w:rPr>
          <w:sz w:val="22"/>
          <w:szCs w:val="22"/>
        </w:rPr>
        <w:t xml:space="preserve">(1):68-76.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Boyd J. Brca1: More than a hereditary breast cancer gene? </w:t>
      </w:r>
      <w:r w:rsidRPr="003A4656">
        <w:rPr>
          <w:rFonts w:eastAsia="TimesNewRomanPS"/>
          <w:iCs/>
          <w:sz w:val="22"/>
          <w:szCs w:val="22"/>
        </w:rPr>
        <w:t xml:space="preserve">Nat. Genet. </w:t>
      </w:r>
      <w:r w:rsidRPr="003A4656">
        <w:rPr>
          <w:rFonts w:eastAsia="TimesNewRomanPS"/>
          <w:bCs/>
          <w:sz w:val="22"/>
          <w:szCs w:val="22"/>
        </w:rPr>
        <w:t>1995</w:t>
      </w:r>
      <w:r w:rsidRPr="003A4656">
        <w:rPr>
          <w:rFonts w:eastAsia="TimesNewRomanPS"/>
          <w:sz w:val="22"/>
          <w:szCs w:val="22"/>
        </w:rPr>
        <w:t xml:space="preserve">, </w:t>
      </w:r>
      <w:r w:rsidRPr="003A4656">
        <w:rPr>
          <w:rFonts w:eastAsia="TimesNewRomanPS"/>
          <w:iCs/>
          <w:sz w:val="22"/>
          <w:szCs w:val="22"/>
        </w:rPr>
        <w:t>9</w:t>
      </w:r>
      <w:r w:rsidRPr="003A4656">
        <w:rPr>
          <w:rFonts w:eastAsia="TimesNewRomanPS"/>
          <w:sz w:val="22"/>
          <w:szCs w:val="22"/>
        </w:rPr>
        <w:t>, 335–336.</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Brodie S.G., Xu X., Qiao W., Li W.M., Cao L., </w:t>
      </w:r>
      <w:proofErr w:type="gramStart"/>
      <w:r w:rsidRPr="003A4656">
        <w:rPr>
          <w:rFonts w:eastAsia="TimesNewRomanPS"/>
          <w:sz w:val="22"/>
          <w:szCs w:val="22"/>
        </w:rPr>
        <w:t>Deng</w:t>
      </w:r>
      <w:proofErr w:type="gramEnd"/>
      <w:r w:rsidRPr="003A4656">
        <w:rPr>
          <w:rFonts w:eastAsia="TimesNewRomanPS"/>
          <w:sz w:val="22"/>
          <w:szCs w:val="22"/>
        </w:rPr>
        <w:t xml:space="preserve"> C.X. Multiple genetic changes are associated with mammary tumorigenesis in Brca1 conditional knockout mice. Oncogene 2001; 20; 7514-23</w:t>
      </w:r>
    </w:p>
    <w:p w:rsidR="00E224D4" w:rsidRPr="003A4656" w:rsidRDefault="00E224D4" w:rsidP="00653B99">
      <w:pPr>
        <w:spacing w:after="120"/>
        <w:ind w:left="0" w:right="0"/>
        <w:rPr>
          <w:sz w:val="22"/>
          <w:szCs w:val="22"/>
        </w:rPr>
      </w:pPr>
      <w:proofErr w:type="gramStart"/>
      <w:r w:rsidRPr="003A4656">
        <w:rPr>
          <w:sz w:val="22"/>
          <w:szCs w:val="22"/>
        </w:rPr>
        <w:t>Brzovic P.S., Meza J., King M.C., Klevit R.E.</w:t>
      </w:r>
      <w:proofErr w:type="gramEnd"/>
      <w:r w:rsidRPr="003A4656">
        <w:rPr>
          <w:sz w:val="22"/>
          <w:szCs w:val="22"/>
        </w:rPr>
        <w:t xml:space="preserve"> The cancer-predisposing mutation C61G disrupts homodimer formation in the NH2-terminal BRCA1 RING finger domain. J Biol Chem. 1998 Apr 3</w:t>
      </w:r>
      <w:proofErr w:type="gramStart"/>
      <w:r w:rsidRPr="003A4656">
        <w:rPr>
          <w:sz w:val="22"/>
          <w:szCs w:val="22"/>
        </w:rPr>
        <w:t>;273</w:t>
      </w:r>
      <w:proofErr w:type="gramEnd"/>
      <w:r w:rsidRPr="003A4656">
        <w:rPr>
          <w:sz w:val="22"/>
          <w:szCs w:val="22"/>
        </w:rPr>
        <w:t xml:space="preserve">(14):7795-9.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Brzovic P.S., Rajagopal P., Hyot D.W., King M.C., Klevit R.E. Structure of a BRCA1/BARD1 heterodimeric RING/RING complex. Nat Struct Biol 2001, 8:833-837.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Burke W., Daly M., Garber J., Botkin J., Kahn M.J., Lynch P., McTiernan A., Offit K., Perlman J., Petersen G, Thomson E., Varricchio C. Recommendations for follow-up care of individuals with an inherited predisposition to cancer. II. BRCA1 and BRCA2. </w:t>
      </w:r>
      <w:proofErr w:type="gramStart"/>
      <w:r w:rsidRPr="003A4656">
        <w:rPr>
          <w:rFonts w:eastAsia="TimesNewRomanPS"/>
          <w:sz w:val="22"/>
          <w:szCs w:val="22"/>
        </w:rPr>
        <w:t>Cancer Genetics Studies Consortium.</w:t>
      </w:r>
      <w:proofErr w:type="gramEnd"/>
      <w:r w:rsidRPr="003A4656">
        <w:rPr>
          <w:rFonts w:eastAsia="TimesNewRomanPS"/>
          <w:sz w:val="22"/>
          <w:szCs w:val="22"/>
        </w:rPr>
        <w:t xml:space="preserve"> </w:t>
      </w:r>
      <w:proofErr w:type="gramStart"/>
      <w:r w:rsidRPr="003A4656">
        <w:rPr>
          <w:rFonts w:eastAsia="TimesNewRomanPS"/>
          <w:sz w:val="22"/>
          <w:szCs w:val="22"/>
        </w:rPr>
        <w:t>JAMA.</w:t>
      </w:r>
      <w:proofErr w:type="gramEnd"/>
      <w:r w:rsidRPr="003A4656">
        <w:rPr>
          <w:rFonts w:eastAsia="TimesNewRomanPS"/>
          <w:sz w:val="22"/>
          <w:szCs w:val="22"/>
        </w:rPr>
        <w:t xml:space="preserve"> 1997a Mar 26</w:t>
      </w:r>
      <w:proofErr w:type="gramStart"/>
      <w:r w:rsidRPr="003A4656">
        <w:rPr>
          <w:rFonts w:eastAsia="TimesNewRomanPS"/>
          <w:sz w:val="22"/>
          <w:szCs w:val="22"/>
        </w:rPr>
        <w:t>;277</w:t>
      </w:r>
      <w:proofErr w:type="gramEnd"/>
      <w:r w:rsidRPr="003A4656">
        <w:rPr>
          <w:rFonts w:eastAsia="TimesNewRomanPS"/>
          <w:sz w:val="22"/>
          <w:szCs w:val="22"/>
        </w:rPr>
        <w:t>(12):997-1003.</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Burke W., Petersen G., Lynch P., Botkin J., Daly M., Garber J., Kahn M.J., McTiernan A., Offit K., Thomson E., Varricchio C. Recommendations for follow-up care of individuals with an inherited predisposition to cancer. I. Hereditary nonpolyposis colon cancer. </w:t>
      </w:r>
      <w:proofErr w:type="gramStart"/>
      <w:r w:rsidRPr="003A4656">
        <w:rPr>
          <w:rFonts w:eastAsia="TimesNewRomanPS"/>
          <w:sz w:val="22"/>
          <w:szCs w:val="22"/>
        </w:rPr>
        <w:t>Cancer Genetics Studies Consortium.</w:t>
      </w:r>
      <w:proofErr w:type="gramEnd"/>
      <w:r w:rsidRPr="003A4656">
        <w:rPr>
          <w:rFonts w:eastAsia="TimesNewRomanPS"/>
          <w:sz w:val="22"/>
          <w:szCs w:val="22"/>
        </w:rPr>
        <w:t xml:space="preserve"> </w:t>
      </w:r>
      <w:proofErr w:type="gramStart"/>
      <w:r w:rsidRPr="003A4656">
        <w:rPr>
          <w:rFonts w:eastAsia="TimesNewRomanPS"/>
          <w:sz w:val="22"/>
          <w:szCs w:val="22"/>
        </w:rPr>
        <w:t>JAMA.</w:t>
      </w:r>
      <w:proofErr w:type="gramEnd"/>
      <w:r w:rsidRPr="003A4656">
        <w:rPr>
          <w:rFonts w:eastAsia="TimesNewRomanPS"/>
          <w:sz w:val="22"/>
          <w:szCs w:val="22"/>
        </w:rPr>
        <w:t xml:space="preserve"> 1997b Mar 19</w:t>
      </w:r>
      <w:proofErr w:type="gramStart"/>
      <w:r w:rsidRPr="003A4656">
        <w:rPr>
          <w:rFonts w:eastAsia="TimesNewRomanPS"/>
          <w:sz w:val="22"/>
          <w:szCs w:val="22"/>
        </w:rPr>
        <w:t>;277</w:t>
      </w:r>
      <w:proofErr w:type="gramEnd"/>
      <w:r w:rsidRPr="003A4656">
        <w:rPr>
          <w:rFonts w:eastAsia="TimesNewRomanPS"/>
          <w:sz w:val="22"/>
          <w:szCs w:val="22"/>
        </w:rPr>
        <w:t>(11):915-9.</w:t>
      </w:r>
    </w:p>
    <w:p w:rsidR="00E224D4" w:rsidRPr="003A4656" w:rsidRDefault="00E224D4" w:rsidP="00653B99">
      <w:pPr>
        <w:spacing w:after="120"/>
        <w:ind w:left="0" w:right="0"/>
        <w:rPr>
          <w:rFonts w:eastAsia="TimesNewRomanPS"/>
          <w:sz w:val="22"/>
          <w:szCs w:val="22"/>
        </w:rPr>
      </w:pPr>
      <w:r w:rsidRPr="00A3761F">
        <w:rPr>
          <w:rFonts w:eastAsia="TimesNewRomanPS"/>
          <w:sz w:val="22"/>
          <w:szCs w:val="22"/>
          <w:lang w:val="it-IT"/>
        </w:rPr>
        <w:t xml:space="preserve">Caleca L., Putignano A. L., Colombo M., Congregati C., Sarkar M., Magliery T.J., Ripamonti C.B., Foglia C., Peissel B., Zaffaroni D., Manoukian S., Tondini C., Barile M., Pensotti V., Bernard L., Papi L. and Radice P. (2014). </w:t>
      </w:r>
      <w:proofErr w:type="gramStart"/>
      <w:r w:rsidRPr="003A4656">
        <w:rPr>
          <w:rFonts w:eastAsia="TimesNewRomanPS"/>
          <w:sz w:val="22"/>
          <w:szCs w:val="22"/>
        </w:rPr>
        <w:t>Characterization of an Italian founder mutation in the RING-finger domain of BRCA1.</w:t>
      </w:r>
      <w:proofErr w:type="gramEnd"/>
      <w:r w:rsidRPr="003A4656">
        <w:rPr>
          <w:rFonts w:eastAsia="TimesNewRomanPS"/>
          <w:sz w:val="22"/>
          <w:szCs w:val="22"/>
        </w:rPr>
        <w:t xml:space="preserve"> PLOS ONE, in press.</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Caligo M.A., Bonatti F, Guidugli L, Aretini P, Galli A. </w:t>
      </w:r>
      <w:proofErr w:type="gramStart"/>
      <w:r w:rsidRPr="003A4656">
        <w:rPr>
          <w:rFonts w:eastAsia="TimesNewRomanPS"/>
          <w:sz w:val="22"/>
          <w:szCs w:val="22"/>
        </w:rPr>
        <w:t>A yeast recombination assay to characterize human BRCA1 missense variants of unknown pathological significance.</w:t>
      </w:r>
      <w:proofErr w:type="gramEnd"/>
      <w:r w:rsidRPr="003A4656">
        <w:rPr>
          <w:rFonts w:eastAsia="TimesNewRomanPS"/>
          <w:sz w:val="22"/>
          <w:szCs w:val="22"/>
        </w:rPr>
        <w:t xml:space="preserve"> Hum Mutat. 2009; 30(1): 123–133.</w:t>
      </w:r>
    </w:p>
    <w:p w:rsidR="00E224D4" w:rsidRPr="003A4656" w:rsidRDefault="00E224D4" w:rsidP="00653B99">
      <w:pPr>
        <w:spacing w:after="120"/>
        <w:ind w:left="0" w:right="0"/>
        <w:rPr>
          <w:rFonts w:eastAsia="TimesNewRomanPS"/>
          <w:sz w:val="22"/>
          <w:szCs w:val="22"/>
        </w:rPr>
      </w:pPr>
      <w:r w:rsidRPr="00A3761F">
        <w:rPr>
          <w:rFonts w:eastAsia="TimesNewRomanPS"/>
          <w:sz w:val="22"/>
          <w:szCs w:val="22"/>
          <w:lang w:val="it-IT"/>
        </w:rPr>
        <w:t xml:space="preserve">Calò V., Agnese V, Gargano G, Corsale S, Gregorio V, Cascio S, Cammareri P, Bruno L, Augello C, Gullo A, Sisto PS, Badalamenti G, Valerio MR, Napoli L, Gebbia N, Bazan V, Russo A. A new germline mutation in BRCA1 gene in a sicilian family with ovarian cancer. </w:t>
      </w:r>
      <w:r w:rsidRPr="003A4656">
        <w:rPr>
          <w:rFonts w:eastAsia="TimesNewRomanPS"/>
          <w:sz w:val="22"/>
          <w:szCs w:val="22"/>
        </w:rPr>
        <w:t>Breast Cancer Res Treat. 2006 Mar</w:t>
      </w:r>
      <w:proofErr w:type="gramStart"/>
      <w:r w:rsidRPr="003A4656">
        <w:rPr>
          <w:rFonts w:eastAsia="TimesNewRomanPS"/>
          <w:sz w:val="22"/>
          <w:szCs w:val="22"/>
        </w:rPr>
        <w:t>;96</w:t>
      </w:r>
      <w:proofErr w:type="gramEnd"/>
      <w:r w:rsidRPr="003A4656">
        <w:rPr>
          <w:rFonts w:eastAsia="TimesNewRomanPS"/>
          <w:sz w:val="22"/>
          <w:szCs w:val="22"/>
        </w:rPr>
        <w:t xml:space="preserve">(1):97-100. </w:t>
      </w:r>
    </w:p>
    <w:p w:rsidR="00E224D4" w:rsidRPr="003A4656" w:rsidRDefault="00E224D4" w:rsidP="00653B99">
      <w:pPr>
        <w:spacing w:after="120"/>
        <w:ind w:left="0" w:right="0"/>
        <w:rPr>
          <w:sz w:val="22"/>
          <w:szCs w:val="22"/>
        </w:rPr>
      </w:pPr>
      <w:r w:rsidRPr="003A4656">
        <w:rPr>
          <w:sz w:val="22"/>
          <w:szCs w:val="22"/>
        </w:rPr>
        <w:t xml:space="preserve">Carreira A., Hilario J., Amitani I., Baskin R.J., Shivji M.K., Venkitaraman A.R., Kowalczykowski S.C. The BRC repeats of BRCA2 modulate the DNA-binding selectivity of RAD51. </w:t>
      </w:r>
      <w:proofErr w:type="gramStart"/>
      <w:r w:rsidRPr="003A4656">
        <w:rPr>
          <w:sz w:val="22"/>
          <w:szCs w:val="22"/>
        </w:rPr>
        <w:t>Cell.</w:t>
      </w:r>
      <w:proofErr w:type="gramEnd"/>
      <w:r w:rsidRPr="003A4656">
        <w:rPr>
          <w:sz w:val="22"/>
          <w:szCs w:val="22"/>
        </w:rPr>
        <w:t xml:space="preserve"> 2009 Mar 20</w:t>
      </w:r>
      <w:proofErr w:type="gramStart"/>
      <w:r w:rsidRPr="003A4656">
        <w:rPr>
          <w:sz w:val="22"/>
          <w:szCs w:val="22"/>
        </w:rPr>
        <w:t>;136</w:t>
      </w:r>
      <w:proofErr w:type="gramEnd"/>
      <w:r w:rsidRPr="003A4656">
        <w:rPr>
          <w:sz w:val="22"/>
          <w:szCs w:val="22"/>
        </w:rPr>
        <w:t xml:space="preserve">(6):1032-43. </w:t>
      </w:r>
    </w:p>
    <w:p w:rsidR="00E224D4" w:rsidRPr="003A4656" w:rsidRDefault="00E224D4" w:rsidP="00653B99">
      <w:pPr>
        <w:spacing w:after="120"/>
        <w:ind w:left="0" w:right="0"/>
        <w:rPr>
          <w:sz w:val="22"/>
          <w:szCs w:val="22"/>
        </w:rPr>
      </w:pPr>
      <w:r w:rsidRPr="003A4656">
        <w:rPr>
          <w:sz w:val="22"/>
          <w:szCs w:val="22"/>
        </w:rPr>
        <w:t>Cartegni L., Wang J., Zhu Z., Zhang M.Q., Krainer A.R. 2003. ESEfinder: a web resource to identify exonic splicing enhancers. Nucleic Acids Res 31:3568–3571.</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Carvalho M.A., Couch F.J., Monteiro A. Functional assays for BRCA1 and BRCA2.</w:t>
      </w:r>
      <w:proofErr w:type="gramEnd"/>
      <w:r w:rsidRPr="003A4656">
        <w:rPr>
          <w:rFonts w:eastAsia="TimesNewRomanPS"/>
          <w:sz w:val="22"/>
          <w:szCs w:val="22"/>
        </w:rPr>
        <w:t xml:space="preserve"> Int J Biochem Cell Biol. 2007; 39 (2): 298-310</w:t>
      </w:r>
    </w:p>
    <w:p w:rsidR="00E224D4" w:rsidRPr="003A4656" w:rsidRDefault="00E224D4" w:rsidP="00653B99">
      <w:pPr>
        <w:spacing w:after="120"/>
        <w:ind w:left="0" w:right="0"/>
        <w:rPr>
          <w:sz w:val="22"/>
          <w:szCs w:val="22"/>
        </w:rPr>
      </w:pPr>
      <w:r w:rsidRPr="003A4656">
        <w:rPr>
          <w:rFonts w:eastAsia="TimesNewRomanPS"/>
          <w:sz w:val="22"/>
          <w:szCs w:val="22"/>
        </w:rPr>
        <w:t xml:space="preserve">Carvalho MA, Marsillac SM, Karchin R, Manoukian S, Grist S, Swaby RF, Urmenyi TP, Rondinelli E, Silva R, Gayol L, Baumbach L, Sutphen R, et al. Determination of Cancer Risk Associated with Germ Line BRCA1 Missense Variants by Functional Analysis. </w:t>
      </w:r>
      <w:proofErr w:type="gramStart"/>
      <w:r w:rsidRPr="003A4656">
        <w:rPr>
          <w:rFonts w:eastAsia="TimesNewRomanPS"/>
          <w:sz w:val="22"/>
          <w:szCs w:val="22"/>
        </w:rPr>
        <w:t>Cancer Research.</w:t>
      </w:r>
      <w:proofErr w:type="gramEnd"/>
      <w:r w:rsidRPr="003A4656">
        <w:rPr>
          <w:rFonts w:eastAsia="TimesNewRomanPS"/>
          <w:sz w:val="22"/>
          <w:szCs w:val="22"/>
        </w:rPr>
        <w:t xml:space="preserve"> 2007b; 67(4): 1494–1501 </w:t>
      </w:r>
      <w:r w:rsidRPr="003A4656">
        <w:rPr>
          <w:sz w:val="22"/>
          <w:szCs w:val="22"/>
        </w:rPr>
        <w:t xml:space="preserve">cells. </w:t>
      </w:r>
      <w:proofErr w:type="gramStart"/>
      <w:r w:rsidRPr="003A4656">
        <w:rPr>
          <w:sz w:val="22"/>
          <w:szCs w:val="22"/>
        </w:rPr>
        <w:t>Mol Cell.</w:t>
      </w:r>
      <w:proofErr w:type="gramEnd"/>
      <w:r w:rsidRPr="003A4656">
        <w:rPr>
          <w:sz w:val="22"/>
          <w:szCs w:val="22"/>
        </w:rPr>
        <w:t xml:space="preserve"> 1998 Sep</w:t>
      </w:r>
      <w:proofErr w:type="gramStart"/>
      <w:r w:rsidRPr="003A4656">
        <w:rPr>
          <w:sz w:val="22"/>
          <w:szCs w:val="22"/>
        </w:rPr>
        <w:t>;2</w:t>
      </w:r>
      <w:proofErr w:type="gramEnd"/>
      <w:r w:rsidRPr="003A4656">
        <w:rPr>
          <w:sz w:val="22"/>
          <w:szCs w:val="22"/>
        </w:rPr>
        <w:t>(3):317-28. PubMed PMID: 9774970.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Castilla L.H., Couch F.J., Erdos M.R., Hoskins K.F., Calzone K., Garber J.E., Boyd J., Lubin M.B., Deshano M.L., Brody L.C. Mutations in the BRCA1 gene in families with early-onset breast and ovarian cancer. Nat Genet. 1994</w:t>
      </w:r>
    </w:p>
    <w:p w:rsidR="00E224D4" w:rsidRPr="003A4656" w:rsidRDefault="00E224D4" w:rsidP="00653B99">
      <w:pPr>
        <w:spacing w:after="120"/>
        <w:ind w:left="0" w:right="0"/>
        <w:rPr>
          <w:sz w:val="22"/>
          <w:szCs w:val="22"/>
        </w:rPr>
      </w:pPr>
      <w:r w:rsidRPr="003A4656">
        <w:rPr>
          <w:rFonts w:eastAsia="TimesNewRomanPS"/>
          <w:sz w:val="22"/>
          <w:szCs w:val="22"/>
        </w:rPr>
        <w:t>Chang S., Biswas K., Martin B.K. Expression of human BRCA1 variants in mouse ES cells allows functional analysis of BRCA1 mutation. J Clin Invest 2009; 119: 3160-3171</w:t>
      </w:r>
      <w:r w:rsidRPr="003A4656">
        <w:rPr>
          <w:sz w:val="22"/>
          <w:szCs w:val="22"/>
        </w:rPr>
        <w:t xml:space="preserve"> </w:t>
      </w:r>
    </w:p>
    <w:p w:rsidR="00E224D4" w:rsidRPr="003A4656" w:rsidRDefault="00E224D4" w:rsidP="00653B99">
      <w:pPr>
        <w:spacing w:after="120"/>
        <w:ind w:left="0" w:right="0"/>
        <w:rPr>
          <w:sz w:val="22"/>
          <w:szCs w:val="22"/>
        </w:rPr>
      </w:pPr>
      <w:r w:rsidRPr="003A4656">
        <w:rPr>
          <w:sz w:val="22"/>
          <w:szCs w:val="22"/>
        </w:rPr>
        <w:t xml:space="preserve">Chen J., Silver D.P., Walpita D., Cantor S.B., Gazdar A.F., Tomlinson G., Couch F.J., Weber B.L., Ashley T., Livingston D.M., Scully R. Stable interaction between the products of the BRCA1 and BRCA2 tumor suppressor genes in mitotic and meiotic cells.  </w:t>
      </w:r>
      <w:hyperlink r:id="rId55" w:tooltip="Molecular cell." w:history="1">
        <w:proofErr w:type="gramStart"/>
        <w:r w:rsidRPr="003A4656">
          <w:rPr>
            <w:sz w:val="22"/>
            <w:szCs w:val="22"/>
          </w:rPr>
          <w:t>Mol Cell.</w:t>
        </w:r>
        <w:proofErr w:type="gramEnd"/>
      </w:hyperlink>
      <w:r w:rsidRPr="003A4656">
        <w:rPr>
          <w:sz w:val="22"/>
          <w:szCs w:val="22"/>
        </w:rPr>
        <w:t xml:space="preserve"> 1998 Sep</w:t>
      </w:r>
      <w:proofErr w:type="gramStart"/>
      <w:r w:rsidRPr="003A4656">
        <w:rPr>
          <w:sz w:val="22"/>
          <w:szCs w:val="22"/>
        </w:rPr>
        <w:t>;2</w:t>
      </w:r>
      <w:proofErr w:type="gramEnd"/>
      <w:r w:rsidRPr="003A4656">
        <w:rPr>
          <w:sz w:val="22"/>
          <w:szCs w:val="22"/>
        </w:rPr>
        <w:t>(3):317-28.</w:t>
      </w:r>
    </w:p>
    <w:p w:rsidR="00E224D4" w:rsidRPr="003A4656" w:rsidRDefault="00E224D4" w:rsidP="00653B99">
      <w:pPr>
        <w:spacing w:after="120"/>
        <w:ind w:left="0" w:right="0"/>
        <w:rPr>
          <w:sz w:val="22"/>
          <w:szCs w:val="22"/>
        </w:rPr>
      </w:pPr>
      <w:r w:rsidRPr="003A4656">
        <w:rPr>
          <w:sz w:val="22"/>
          <w:szCs w:val="22"/>
        </w:rPr>
        <w:t>Chen P.L., Chen C.F., Chen Y., Xiao J., Sharp Z.D., Lee W.H. The BRC repeats in BRCA2 are critical for RAD51 binding and resistance to methyl methanesulfonate treatment. Proc Natl Acad Sci U S A. 1998 Apr 28</w:t>
      </w:r>
      <w:proofErr w:type="gramStart"/>
      <w:r w:rsidRPr="003A4656">
        <w:rPr>
          <w:sz w:val="22"/>
          <w:szCs w:val="22"/>
        </w:rPr>
        <w:t>;95</w:t>
      </w:r>
      <w:proofErr w:type="gramEnd"/>
      <w:r w:rsidRPr="003A4656">
        <w:rPr>
          <w:sz w:val="22"/>
          <w:szCs w:val="22"/>
        </w:rPr>
        <w:t xml:space="preserve">(9):5287-92.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Chen S, Wang W, Lee S, Nafa K, Lee J, Romans K, Watson P, Gruber SB, Euhus D, Kinzler KW, Jass J, Gallinger S, Lindor NM, Casey G, Ellis N, Giardiello FM, Offit K, Parmigiani G; Colon Cancer Family Registry. </w:t>
      </w:r>
      <w:proofErr w:type="gramStart"/>
      <w:r w:rsidRPr="003A4656">
        <w:rPr>
          <w:rFonts w:eastAsia="TimesNewRomanPS"/>
          <w:sz w:val="22"/>
          <w:szCs w:val="22"/>
        </w:rPr>
        <w:t>Prediction of germline mutations and cancer risk in the Lynch syndrome.</w:t>
      </w:r>
      <w:proofErr w:type="gramEnd"/>
      <w:r w:rsidRPr="003A4656">
        <w:rPr>
          <w:rFonts w:eastAsia="TimesNewRomanPS"/>
          <w:sz w:val="22"/>
          <w:szCs w:val="22"/>
        </w:rPr>
        <w:t xml:space="preserve"> </w:t>
      </w:r>
      <w:proofErr w:type="gramStart"/>
      <w:r w:rsidRPr="003A4656">
        <w:rPr>
          <w:rFonts w:eastAsia="TimesNewRomanPS"/>
          <w:sz w:val="22"/>
          <w:szCs w:val="22"/>
        </w:rPr>
        <w:t>JAMA.</w:t>
      </w:r>
      <w:proofErr w:type="gramEnd"/>
      <w:r w:rsidRPr="003A4656">
        <w:rPr>
          <w:rFonts w:eastAsia="TimesNewRomanPS"/>
          <w:sz w:val="22"/>
          <w:szCs w:val="22"/>
        </w:rPr>
        <w:t xml:space="preserve"> 2006 Sep 27</w:t>
      </w:r>
      <w:proofErr w:type="gramStart"/>
      <w:r w:rsidRPr="003A4656">
        <w:rPr>
          <w:rFonts w:eastAsia="TimesNewRomanPS"/>
          <w:sz w:val="22"/>
          <w:szCs w:val="22"/>
        </w:rPr>
        <w:t>;296</w:t>
      </w:r>
      <w:proofErr w:type="gramEnd"/>
      <w:r w:rsidRPr="003A4656">
        <w:rPr>
          <w:rFonts w:eastAsia="TimesNewRomanPS"/>
          <w:sz w:val="22"/>
          <w:szCs w:val="22"/>
        </w:rPr>
        <w:t>(12):1479-87.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Chenevix-Trench G.; Healey, S.; Lakhani, S.; Waring, P.; Cummings, M.; Brinkworth, R.; Deffenbaugh, A.M.; Burbidge, L.A.; Pruss, D.; Judkins, T.; Scholl, T.; Bekessy, A.; Marsh, A.; Lovelock, P.; Wong, M.; Tesoriero, A.; Renard, H.; Southey, M.; Hopper, J.L.; Yannoukakos, K.; Brown, M.; Easton, D.; Tavtigian, S.V.; Goldgar, D.; Spurdle, A.B. Genetic and histopathologic evaluation of brca1 and brca2 DNA sequence variants of unknown clinical significance. Cancer Res. 2006, 66, 2019–2027.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Choudhury A.D., Xu H., Baer R. 2004. Ubiquitination and proteasomal degradation of the BRCA1 tumor suppressor is regulated during cell cycle progression. J Biol Chem 279:33909–33918</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Collins N, McManus R, Wooster R, Mangion J, Seal S, Lakhani SR, Ormiston W, Daly PA, Ford D, Easton DF, et al. Consistent loss of the wild type allele in breast cancers from a family linked to the BRCA2 gene on chromosome 13q12-13. </w:t>
      </w:r>
      <w:proofErr w:type="gramStart"/>
      <w:r w:rsidRPr="003A4656">
        <w:rPr>
          <w:rFonts w:eastAsia="TimesNewRomanPS"/>
          <w:sz w:val="22"/>
          <w:szCs w:val="22"/>
        </w:rPr>
        <w:t>Oncogene.</w:t>
      </w:r>
      <w:proofErr w:type="gramEnd"/>
      <w:r w:rsidRPr="003A4656">
        <w:rPr>
          <w:rFonts w:eastAsia="TimesNewRomanPS"/>
          <w:sz w:val="22"/>
          <w:szCs w:val="22"/>
        </w:rPr>
        <w:t xml:space="preserve"> 1995 Apr 20</w:t>
      </w:r>
      <w:proofErr w:type="gramStart"/>
      <w:r w:rsidRPr="003A4656">
        <w:rPr>
          <w:rFonts w:eastAsia="TimesNewRomanPS"/>
          <w:sz w:val="22"/>
          <w:szCs w:val="22"/>
        </w:rPr>
        <w:t>;10</w:t>
      </w:r>
      <w:proofErr w:type="gramEnd"/>
      <w:r w:rsidRPr="003A4656">
        <w:rPr>
          <w:rFonts w:eastAsia="TimesNewRomanPS"/>
          <w:sz w:val="22"/>
          <w:szCs w:val="22"/>
        </w:rPr>
        <w:t xml:space="preserve">(8):1673-5.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Colombo M., De Vecchi G., Caleca L., Foglia C., Ripamonti C.B., Ficarazzi F., Barile M., Varesco L., Peissel B., Manoukian S., Radice P. Comparative in vitro and in silico analyses of variants in splicing regions of BRCA1 and BRCA2 genes and characterization of novel pathogenic mutations. </w:t>
      </w:r>
      <w:proofErr w:type="gramStart"/>
      <w:r w:rsidRPr="003A4656">
        <w:rPr>
          <w:rFonts w:eastAsia="TimesNewRomanPS"/>
          <w:sz w:val="22"/>
          <w:szCs w:val="22"/>
        </w:rPr>
        <w:t>PLoS One.</w:t>
      </w:r>
      <w:proofErr w:type="gramEnd"/>
      <w:r w:rsidRPr="003A4656">
        <w:rPr>
          <w:rFonts w:eastAsia="TimesNewRomanPS"/>
          <w:sz w:val="22"/>
          <w:szCs w:val="22"/>
        </w:rPr>
        <w:t xml:space="preserve"> 2013</w:t>
      </w:r>
      <w:proofErr w:type="gramStart"/>
      <w:r w:rsidRPr="003A4656">
        <w:rPr>
          <w:rFonts w:eastAsia="TimesNewRomanPS"/>
          <w:sz w:val="22"/>
          <w:szCs w:val="22"/>
        </w:rPr>
        <w:t>;8</w:t>
      </w:r>
      <w:proofErr w:type="gramEnd"/>
      <w:r w:rsidRPr="003A4656">
        <w:rPr>
          <w:rFonts w:eastAsia="TimesNewRomanPS"/>
          <w:sz w:val="22"/>
          <w:szCs w:val="22"/>
        </w:rPr>
        <w:t>(2):e57173.</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Connor F., Bertwistle D., Mee P.J., Ross G.M., Swift S., Grigorieva E., Tybulewicz V.L., Ashworth A. Tumorigenesis and a DNA repair defect in mice with a truncating Brca2 mutation.</w:t>
      </w:r>
      <w:proofErr w:type="gramEnd"/>
      <w:r w:rsidRPr="003A4656">
        <w:rPr>
          <w:rFonts w:eastAsia="TimesNewRomanPS"/>
          <w:sz w:val="22"/>
          <w:szCs w:val="22"/>
        </w:rPr>
        <w:t xml:space="preserve"> Nat Genet. 1997 Dec</w:t>
      </w:r>
      <w:proofErr w:type="gramStart"/>
      <w:r w:rsidRPr="003A4656">
        <w:rPr>
          <w:rFonts w:eastAsia="TimesNewRomanPS"/>
          <w:sz w:val="22"/>
          <w:szCs w:val="22"/>
        </w:rPr>
        <w:t>;17</w:t>
      </w:r>
      <w:proofErr w:type="gramEnd"/>
      <w:r w:rsidRPr="003A4656">
        <w:rPr>
          <w:rFonts w:eastAsia="TimesNewRomanPS"/>
          <w:sz w:val="22"/>
          <w:szCs w:val="22"/>
        </w:rPr>
        <w:t xml:space="preserve">(4):423-30. </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Coyne RS, McDonald HB, Edgemon K, Brody LC.</w:t>
      </w:r>
      <w:proofErr w:type="gramEnd"/>
      <w:r w:rsidRPr="003A4656">
        <w:rPr>
          <w:rFonts w:eastAsia="TimesNewRomanPS"/>
          <w:sz w:val="22"/>
          <w:szCs w:val="22"/>
        </w:rPr>
        <w:t xml:space="preserve"> </w:t>
      </w:r>
      <w:proofErr w:type="gramStart"/>
      <w:r w:rsidRPr="003A4656">
        <w:rPr>
          <w:rFonts w:eastAsia="TimesNewRomanPS"/>
          <w:sz w:val="22"/>
          <w:szCs w:val="22"/>
        </w:rPr>
        <w:t>Functional Characterization of BRCA1 Sequence Variants Using a Yeast Small Colony Phenotype Assay.</w:t>
      </w:r>
      <w:proofErr w:type="gramEnd"/>
      <w:r w:rsidRPr="003A4656">
        <w:rPr>
          <w:rFonts w:eastAsia="TimesNewRomanPS"/>
          <w:sz w:val="22"/>
          <w:szCs w:val="22"/>
        </w:rPr>
        <w:t xml:space="preserve"> Cancer BiolTher 2004</w:t>
      </w:r>
      <w:proofErr w:type="gramStart"/>
      <w:r w:rsidRPr="003A4656">
        <w:rPr>
          <w:rFonts w:eastAsia="TimesNewRomanPS"/>
          <w:sz w:val="22"/>
          <w:szCs w:val="22"/>
        </w:rPr>
        <w:t>;3:453</w:t>
      </w:r>
      <w:proofErr w:type="gramEnd"/>
      <w:r w:rsidRPr="003A4656">
        <w:rPr>
          <w:rFonts w:eastAsia="TimesNewRomanPS"/>
          <w:sz w:val="22"/>
          <w:szCs w:val="22"/>
        </w:rPr>
        <w:t>–457.</w:t>
      </w:r>
    </w:p>
    <w:p w:rsidR="00E224D4" w:rsidRPr="003A4656" w:rsidRDefault="00E224D4" w:rsidP="00653B99">
      <w:pPr>
        <w:spacing w:after="120"/>
        <w:ind w:left="0" w:right="0"/>
        <w:rPr>
          <w:sz w:val="22"/>
          <w:szCs w:val="22"/>
        </w:rPr>
      </w:pPr>
      <w:r w:rsidRPr="003A4656">
        <w:rPr>
          <w:sz w:val="22"/>
          <w:szCs w:val="22"/>
        </w:rPr>
        <w:t>Crackower M.A., Scherer S.W., Rommens J.M., Hui C.C., Poorkaj P., Soder S., Cobben J.M., Hudgins L., Evans J.P., Tsui L.C. Characterization of the split hand/split foot malformation locus SHFM1 at 7q21.3-q22.1 and analysis of a candidate gene for its expression during limb development. Hum Mol Genet. 1996 May</w:t>
      </w:r>
      <w:proofErr w:type="gramStart"/>
      <w:r w:rsidRPr="003A4656">
        <w:rPr>
          <w:sz w:val="22"/>
          <w:szCs w:val="22"/>
        </w:rPr>
        <w:t>;5</w:t>
      </w:r>
      <w:proofErr w:type="gramEnd"/>
      <w:r w:rsidRPr="003A4656">
        <w:rPr>
          <w:sz w:val="22"/>
          <w:szCs w:val="22"/>
        </w:rPr>
        <w:t xml:space="preserve">(5):571-9. </w:t>
      </w:r>
    </w:p>
    <w:p w:rsidR="00E224D4" w:rsidRPr="003A4656" w:rsidRDefault="00E224D4" w:rsidP="00653B99">
      <w:pPr>
        <w:spacing w:after="120"/>
        <w:ind w:left="0" w:right="0"/>
        <w:rPr>
          <w:sz w:val="22"/>
          <w:szCs w:val="22"/>
        </w:rPr>
      </w:pPr>
      <w:r w:rsidRPr="003A4656">
        <w:rPr>
          <w:sz w:val="22"/>
          <w:szCs w:val="22"/>
        </w:rPr>
        <w:t xml:space="preserve">Davies A.A., Masson J.Y., McIlwraith M.J, Stasiak A.Z., Stasiak A., Venkitaraman A.R., West SC. Role of BRCA2 in control of the RAD51 recombination and DNA repair protein. </w:t>
      </w:r>
      <w:proofErr w:type="gramStart"/>
      <w:r w:rsidRPr="003A4656">
        <w:rPr>
          <w:sz w:val="22"/>
          <w:szCs w:val="22"/>
        </w:rPr>
        <w:t>Mol Cell.</w:t>
      </w:r>
      <w:proofErr w:type="gramEnd"/>
      <w:r w:rsidRPr="003A4656">
        <w:rPr>
          <w:sz w:val="22"/>
          <w:szCs w:val="22"/>
        </w:rPr>
        <w:t xml:space="preserve"> 2001 Feb</w:t>
      </w:r>
      <w:proofErr w:type="gramStart"/>
      <w:r w:rsidRPr="003A4656">
        <w:rPr>
          <w:sz w:val="22"/>
          <w:szCs w:val="22"/>
        </w:rPr>
        <w:t>;7</w:t>
      </w:r>
      <w:proofErr w:type="gramEnd"/>
      <w:r w:rsidRPr="003A4656">
        <w:rPr>
          <w:sz w:val="22"/>
          <w:szCs w:val="22"/>
        </w:rPr>
        <w:t xml:space="preserve">(2):273-82. </w:t>
      </w:r>
    </w:p>
    <w:p w:rsidR="00E224D4" w:rsidRPr="003A4656" w:rsidRDefault="00E224D4" w:rsidP="00653B99">
      <w:pPr>
        <w:spacing w:after="120"/>
        <w:ind w:left="0" w:right="0"/>
        <w:rPr>
          <w:sz w:val="22"/>
          <w:szCs w:val="22"/>
        </w:rPr>
      </w:pPr>
      <w:r w:rsidRPr="003A4656">
        <w:rPr>
          <w:sz w:val="22"/>
          <w:szCs w:val="22"/>
        </w:rPr>
        <w:t xml:space="preserve">Deng C.X., Brodie S.G. Roles of BRCA1 and its interacting proteins. </w:t>
      </w:r>
      <w:proofErr w:type="gramStart"/>
      <w:r w:rsidRPr="003A4656">
        <w:rPr>
          <w:sz w:val="22"/>
          <w:szCs w:val="22"/>
        </w:rPr>
        <w:t>Bioessays.</w:t>
      </w:r>
      <w:proofErr w:type="gramEnd"/>
      <w:r w:rsidRPr="003A4656">
        <w:rPr>
          <w:sz w:val="22"/>
          <w:szCs w:val="22"/>
        </w:rPr>
        <w:t xml:space="preserve"> 2000 Aug</w:t>
      </w:r>
      <w:proofErr w:type="gramStart"/>
      <w:r w:rsidRPr="003A4656">
        <w:rPr>
          <w:sz w:val="22"/>
          <w:szCs w:val="22"/>
        </w:rPr>
        <w:t>;22</w:t>
      </w:r>
      <w:proofErr w:type="gramEnd"/>
      <w:r w:rsidRPr="003A4656">
        <w:rPr>
          <w:sz w:val="22"/>
          <w:szCs w:val="22"/>
        </w:rPr>
        <w:t xml:space="preserve">(8):728-37. </w:t>
      </w:r>
    </w:p>
    <w:p w:rsidR="00E224D4" w:rsidRPr="003A4656" w:rsidRDefault="00E224D4" w:rsidP="00653B99">
      <w:pPr>
        <w:spacing w:after="120"/>
        <w:ind w:left="0" w:right="0"/>
        <w:rPr>
          <w:sz w:val="22"/>
          <w:szCs w:val="22"/>
        </w:rPr>
      </w:pPr>
      <w:r w:rsidRPr="003A4656">
        <w:rPr>
          <w:sz w:val="22"/>
          <w:szCs w:val="22"/>
        </w:rPr>
        <w:t>Desmet F.O., Hamroun D, Lalande M, Collod-Beroud G, Claustres M, Beroud C. 2009. Human splicing finder: an online bioinformatics tool to predict splicing signals. Nucleic Acids Res 37:e67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Easton D.F., Eeles R.A. Genome-wide association studies in cancer. Hum Mol Genet. 2008 Oct 15</w:t>
      </w:r>
      <w:proofErr w:type="gramStart"/>
      <w:r w:rsidRPr="003A4656">
        <w:rPr>
          <w:rFonts w:eastAsia="TimesNewRomanPS"/>
          <w:sz w:val="22"/>
          <w:szCs w:val="22"/>
        </w:rPr>
        <w:t>;17</w:t>
      </w:r>
      <w:proofErr w:type="gramEnd"/>
      <w:r w:rsidRPr="003A4656">
        <w:rPr>
          <w:rFonts w:eastAsia="TimesNewRomanPS"/>
          <w:sz w:val="22"/>
          <w:szCs w:val="22"/>
        </w:rPr>
        <w:t xml:space="preserve">(R2):R109-15.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Easton D.F., Hopper J.L., Thomas D.C., Antoniou A., Pharoah P.D., Whittemore A.S., Haile  R.W. Breast cancer risks for BRCA1/2 carriers. </w:t>
      </w:r>
      <w:proofErr w:type="gramStart"/>
      <w:r w:rsidRPr="003A4656">
        <w:rPr>
          <w:rFonts w:eastAsia="TimesNewRomanPS"/>
          <w:sz w:val="22"/>
          <w:szCs w:val="22"/>
        </w:rPr>
        <w:t>Science.</w:t>
      </w:r>
      <w:proofErr w:type="gramEnd"/>
      <w:r w:rsidRPr="003A4656">
        <w:rPr>
          <w:rFonts w:eastAsia="TimesNewRomanPS"/>
          <w:sz w:val="22"/>
          <w:szCs w:val="22"/>
        </w:rPr>
        <w:t xml:space="preserve"> 2004 Dec 24</w:t>
      </w:r>
      <w:proofErr w:type="gramStart"/>
      <w:r w:rsidRPr="003A4656">
        <w:rPr>
          <w:rFonts w:eastAsia="TimesNewRomanPS"/>
          <w:sz w:val="22"/>
          <w:szCs w:val="22"/>
        </w:rPr>
        <w:t>;306</w:t>
      </w:r>
      <w:proofErr w:type="gramEnd"/>
      <w:r w:rsidRPr="003A4656">
        <w:rPr>
          <w:rFonts w:eastAsia="TimesNewRomanPS"/>
          <w:sz w:val="22"/>
          <w:szCs w:val="22"/>
        </w:rPr>
        <w:t>(5705):2187-91;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Easton D.F., Pooley K.A., Dunning A.M., Pharoah PD, Thompson D, Ballinger DG, Struewing JP, Morrison J, Field H, Luben R, Wareham N, Ahmed S, Healey CS, Bowman R; SEARCH collaborators, Meyer KB, Haiman CA, Kolonel LK, Henderson BE, Le Marchand L, Brennan P, Sangrajrang S, Gaborieau V, Odefrey F, Shen CY, Wu PE, Wang HC, Eccles D, Evans DG, Peto J, Fletcher O, Johnson N, Seal S, Stratton MR,  Rahman N, Chenevix-Trench G, Bojesen SE, Nordestgaard BG, Axelsson CK, Garcia-Closas M, Brinton L, Chanock S, Lissowska J, Peplonska B, Nevanlinna H, Fagerholm R, Eerola H, Kang D, Yoo KY, Noh DY, Ahn SH, Hunter DJ, Hankinson SE, Cox DG, Hall P, Wedren S, Liu J, Low YL, Bogdanova N, Schürmann P, Dörk T, Tollenaar RA, Jacobi CE, Devilee P, Klijn JG, Sigurdson AJ, Doody MM, Alexander BH, Zhang J, Cox A, Brock IW, MacPherson G, Reed MW, Couch FJ, Goode EL, Olson JE, Meijers-Heijboer H, van den Ouweland A, Uitterlinden A, Rivadeneira F, Milne RL, Ribas G, Gonzalez-Neira A, Benitez J, Hopper JL, McCredie M, Southey M, Giles GG, Schroen C, Justenhoven C, Brauch H, Hamann U, Ko YD, Spurdle AB, Beesley J, Chen X; kConFab; AOCS Management Group, Mannermaa A, Kosma VM, Kataja V,  Hartikainen J, Day NE, Cox DR, Ponder BA. Genome-wide association study identifies novel breast cancer susceptibility loci. Nature 2007; 447: 1087-93.</w:t>
      </w:r>
    </w:p>
    <w:p w:rsidR="00E224D4" w:rsidRPr="003A4656" w:rsidRDefault="00E224D4" w:rsidP="00653B99">
      <w:pPr>
        <w:spacing w:after="120"/>
        <w:ind w:left="0" w:right="0"/>
        <w:rPr>
          <w:sz w:val="22"/>
          <w:szCs w:val="22"/>
        </w:rPr>
      </w:pPr>
      <w:r w:rsidRPr="003A4656">
        <w:rPr>
          <w:sz w:val="22"/>
          <w:szCs w:val="22"/>
        </w:rPr>
        <w:t xml:space="preserve">Esashi F., Christ N., Gannon J., Liu Y., Hunt T., Jasin M., West S.C. CDK-dependent phosphorylation of BRCA2 as a regulatory mechanism for recombinational repair. </w:t>
      </w:r>
      <w:proofErr w:type="gramStart"/>
      <w:r w:rsidRPr="003A4656">
        <w:rPr>
          <w:sz w:val="22"/>
          <w:szCs w:val="22"/>
        </w:rPr>
        <w:t>Nature.</w:t>
      </w:r>
      <w:proofErr w:type="gramEnd"/>
      <w:r w:rsidRPr="003A4656">
        <w:rPr>
          <w:sz w:val="22"/>
          <w:szCs w:val="22"/>
        </w:rPr>
        <w:t xml:space="preserve"> 2005 Mar 31</w:t>
      </w:r>
      <w:proofErr w:type="gramStart"/>
      <w:r w:rsidRPr="003A4656">
        <w:rPr>
          <w:sz w:val="22"/>
          <w:szCs w:val="22"/>
        </w:rPr>
        <w:t>;434</w:t>
      </w:r>
      <w:proofErr w:type="gramEnd"/>
      <w:r w:rsidRPr="003A4656">
        <w:rPr>
          <w:sz w:val="22"/>
          <w:szCs w:val="22"/>
        </w:rPr>
        <w:t xml:space="preserve">(7033):598-604.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Evans J.P., Skrzynia C., Burke W. </w:t>
      </w:r>
      <w:proofErr w:type="gramStart"/>
      <w:r w:rsidRPr="003A4656">
        <w:rPr>
          <w:rFonts w:eastAsia="TimesNewRomanPS"/>
          <w:sz w:val="22"/>
          <w:szCs w:val="22"/>
        </w:rPr>
        <w:t>The complexities of predictive genetic testing.</w:t>
      </w:r>
      <w:proofErr w:type="gramEnd"/>
      <w:r w:rsidRPr="003A4656">
        <w:rPr>
          <w:rFonts w:eastAsia="TimesNewRomanPS"/>
          <w:sz w:val="22"/>
          <w:szCs w:val="22"/>
        </w:rPr>
        <w:t xml:space="preserve"> BMJ VOLUME 322, 28 APRIL 2001</w:t>
      </w:r>
    </w:p>
    <w:p w:rsidR="00E224D4" w:rsidRPr="003A4656" w:rsidRDefault="00E224D4" w:rsidP="00653B99">
      <w:pPr>
        <w:spacing w:after="120"/>
        <w:ind w:left="0" w:right="0"/>
        <w:rPr>
          <w:sz w:val="22"/>
          <w:szCs w:val="22"/>
        </w:rPr>
      </w:pPr>
      <w:r w:rsidRPr="003A4656">
        <w:rPr>
          <w:sz w:val="22"/>
          <w:szCs w:val="22"/>
        </w:rPr>
        <w:t>Fairbrother W.G., Yeh RF, Sharp PA, Burge CB. 2002. Predictive identification of exonic splicing enhancers in human genes. Science 297:1007–1013.</w:t>
      </w:r>
    </w:p>
    <w:p w:rsidR="00E224D4" w:rsidRPr="00A3761F" w:rsidRDefault="00E224D4" w:rsidP="00653B99">
      <w:pPr>
        <w:spacing w:after="120"/>
        <w:ind w:left="0" w:right="0"/>
        <w:rPr>
          <w:rFonts w:eastAsia="TimesNewRomanPS"/>
          <w:sz w:val="22"/>
          <w:szCs w:val="22"/>
          <w:lang w:val="it-IT"/>
        </w:rPr>
      </w:pPr>
      <w:r w:rsidRPr="003A4656">
        <w:rPr>
          <w:rFonts w:eastAsia="TimesNewRomanPS"/>
          <w:sz w:val="22"/>
          <w:szCs w:val="22"/>
        </w:rPr>
        <w:t xml:space="preserve">Ferla R., Calò V, Cascio S, Rinaldi G, Badalamenti G, Carreca I, Surmacz E, Colucci G, Bazan V, Russo A. Founder mutations in BRCA1 and BRCA2 genes. </w:t>
      </w:r>
      <w:r w:rsidRPr="00A3761F">
        <w:rPr>
          <w:rFonts w:eastAsia="TimesNewRomanPS"/>
          <w:sz w:val="22"/>
          <w:szCs w:val="22"/>
          <w:lang w:val="it-IT"/>
        </w:rPr>
        <w:t xml:space="preserve">Ann Oncol. 2007 Jun;18 Suppl 6:vi93-8. </w:t>
      </w:r>
    </w:p>
    <w:p w:rsidR="00E224D4" w:rsidRPr="003A4656" w:rsidRDefault="00E224D4" w:rsidP="00653B99">
      <w:pPr>
        <w:spacing w:after="120"/>
        <w:ind w:left="0" w:right="0"/>
        <w:rPr>
          <w:rFonts w:eastAsia="TimesNewRomanPS"/>
          <w:sz w:val="22"/>
          <w:szCs w:val="22"/>
        </w:rPr>
      </w:pPr>
      <w:r w:rsidRPr="00A3761F">
        <w:rPr>
          <w:rFonts w:eastAsia="TimesNewRomanPS"/>
          <w:sz w:val="22"/>
          <w:szCs w:val="22"/>
          <w:lang w:val="it-IT"/>
        </w:rPr>
        <w:t xml:space="preserve">Fleming MA, Potter JD, Ramirez CJ, Ostrander GK, Ostrander EA. </w:t>
      </w:r>
      <w:r w:rsidRPr="003A4656">
        <w:rPr>
          <w:rFonts w:eastAsia="TimesNewRomanPS"/>
          <w:sz w:val="22"/>
          <w:szCs w:val="22"/>
        </w:rPr>
        <w:t>Understanding missense mutations in the BRCA1 gene: an evolutionary approach. Proc Natl Acad Sci U S A. 2003 Feb 4</w:t>
      </w:r>
      <w:proofErr w:type="gramStart"/>
      <w:r w:rsidRPr="003A4656">
        <w:rPr>
          <w:rFonts w:eastAsia="TimesNewRomanPS"/>
          <w:sz w:val="22"/>
          <w:szCs w:val="22"/>
        </w:rPr>
        <w:t>;100</w:t>
      </w:r>
      <w:proofErr w:type="gramEnd"/>
      <w:r w:rsidRPr="003A4656">
        <w:rPr>
          <w:rFonts w:eastAsia="TimesNewRomanPS"/>
          <w:sz w:val="22"/>
          <w:szCs w:val="22"/>
        </w:rPr>
        <w:t xml:space="preserve">(3):1151-6.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Ford D., Easton D.F., Stratton M., Narod S., Goldgar D,, Devilee P. et al. Genetic heterogeneity and penetrance analysis of the BRCA1 and BRCA2 genes in breast cancer families. </w:t>
      </w:r>
      <w:proofErr w:type="gramStart"/>
      <w:r w:rsidRPr="003A4656">
        <w:rPr>
          <w:rFonts w:eastAsia="TimesNewRomanPS"/>
          <w:sz w:val="22"/>
          <w:szCs w:val="22"/>
        </w:rPr>
        <w:t>The Breast Cancer Linkage Consortium.</w:t>
      </w:r>
      <w:proofErr w:type="gramEnd"/>
      <w:r w:rsidRPr="003A4656">
        <w:rPr>
          <w:rFonts w:eastAsia="TimesNewRomanPS"/>
          <w:sz w:val="22"/>
          <w:szCs w:val="22"/>
        </w:rPr>
        <w:t xml:space="preserve"> American Journal of Human Genetics 1998</w:t>
      </w:r>
      <w:proofErr w:type="gramStart"/>
      <w:r w:rsidRPr="003A4656">
        <w:rPr>
          <w:rFonts w:eastAsia="TimesNewRomanPS"/>
          <w:sz w:val="22"/>
          <w:szCs w:val="22"/>
        </w:rPr>
        <w:t>;62:676</w:t>
      </w:r>
      <w:proofErr w:type="gramEnd"/>
      <w:r w:rsidRPr="003A4656">
        <w:rPr>
          <w:rFonts w:eastAsia="TimesNewRomanPS"/>
          <w:sz w:val="22"/>
          <w:szCs w:val="22"/>
        </w:rPr>
        <w:t>–689.</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Friend SH, Bernards R, Rogelj S, Weinberg RA, Rapaport JM, Albert DM, Dryja TP. </w:t>
      </w:r>
      <w:proofErr w:type="gramStart"/>
      <w:r w:rsidRPr="003A4656">
        <w:rPr>
          <w:rFonts w:eastAsia="TimesNewRomanPS"/>
          <w:sz w:val="22"/>
          <w:szCs w:val="22"/>
        </w:rPr>
        <w:t>A human DNA segment with properties of the gene that predisposes to retinoblastoma and osteosarcoma.</w:t>
      </w:r>
      <w:proofErr w:type="gramEnd"/>
      <w:r w:rsidRPr="003A4656">
        <w:rPr>
          <w:rFonts w:eastAsia="TimesNewRomanPS"/>
          <w:sz w:val="22"/>
          <w:szCs w:val="22"/>
        </w:rPr>
        <w:t xml:space="preserve"> </w:t>
      </w:r>
      <w:proofErr w:type="gramStart"/>
      <w:r w:rsidRPr="003A4656">
        <w:rPr>
          <w:rFonts w:eastAsia="TimesNewRomanPS"/>
          <w:sz w:val="22"/>
          <w:szCs w:val="22"/>
        </w:rPr>
        <w:t>Nature.</w:t>
      </w:r>
      <w:proofErr w:type="gramEnd"/>
      <w:r w:rsidRPr="003A4656">
        <w:rPr>
          <w:rFonts w:eastAsia="TimesNewRomanPS"/>
          <w:sz w:val="22"/>
          <w:szCs w:val="22"/>
        </w:rPr>
        <w:t xml:space="preserve"> 1986 Oct 16-22</w:t>
      </w:r>
      <w:proofErr w:type="gramStart"/>
      <w:r w:rsidRPr="003A4656">
        <w:rPr>
          <w:rFonts w:eastAsia="TimesNewRomanPS"/>
          <w:sz w:val="22"/>
          <w:szCs w:val="22"/>
        </w:rPr>
        <w:t>;323</w:t>
      </w:r>
      <w:proofErr w:type="gramEnd"/>
      <w:r w:rsidRPr="003A4656">
        <w:rPr>
          <w:rFonts w:eastAsia="TimesNewRomanPS"/>
          <w:sz w:val="22"/>
          <w:szCs w:val="22"/>
        </w:rPr>
        <w:t>(6089):643-6.</w:t>
      </w:r>
    </w:p>
    <w:p w:rsidR="00E224D4" w:rsidRPr="003A4656" w:rsidRDefault="00E224D4" w:rsidP="00653B99">
      <w:pPr>
        <w:spacing w:after="120"/>
        <w:ind w:left="0" w:right="0"/>
        <w:rPr>
          <w:sz w:val="22"/>
          <w:szCs w:val="22"/>
        </w:rPr>
      </w:pPr>
      <w:proofErr w:type="gramStart"/>
      <w:r w:rsidRPr="003A4656">
        <w:rPr>
          <w:sz w:val="22"/>
          <w:szCs w:val="22"/>
        </w:rPr>
        <w:t>Garber J.E., Offit K. Hereditary cancer predisposition syndromes.</w:t>
      </w:r>
      <w:proofErr w:type="gramEnd"/>
      <w:r w:rsidRPr="003A4656">
        <w:rPr>
          <w:sz w:val="22"/>
          <w:szCs w:val="22"/>
        </w:rPr>
        <w:t xml:space="preserve"> </w:t>
      </w:r>
      <w:proofErr w:type="gramStart"/>
      <w:r w:rsidRPr="003A4656">
        <w:rPr>
          <w:sz w:val="22"/>
          <w:szCs w:val="22"/>
        </w:rPr>
        <w:t>J Clin Oncol.</w:t>
      </w:r>
      <w:proofErr w:type="gramEnd"/>
      <w:r w:rsidRPr="003A4656">
        <w:rPr>
          <w:sz w:val="22"/>
          <w:szCs w:val="22"/>
        </w:rPr>
        <w:t xml:space="preserve">  2005 Jan 10</w:t>
      </w:r>
      <w:proofErr w:type="gramStart"/>
      <w:r w:rsidRPr="003A4656">
        <w:rPr>
          <w:sz w:val="22"/>
          <w:szCs w:val="22"/>
        </w:rPr>
        <w:t>;23</w:t>
      </w:r>
      <w:proofErr w:type="gramEnd"/>
      <w:r w:rsidRPr="003A4656">
        <w:rPr>
          <w:sz w:val="22"/>
          <w:szCs w:val="22"/>
        </w:rPr>
        <w:t xml:space="preserve">(2):276-92. </w:t>
      </w:r>
      <w:proofErr w:type="gramStart"/>
      <w:r w:rsidRPr="003A4656">
        <w:rPr>
          <w:sz w:val="22"/>
          <w:szCs w:val="22"/>
        </w:rPr>
        <w:t>Review.</w:t>
      </w:r>
      <w:proofErr w:type="gramEnd"/>
      <w:r w:rsidRPr="003A4656">
        <w:rPr>
          <w:sz w:val="22"/>
          <w:szCs w:val="22"/>
        </w:rPr>
        <w:t xml:space="preserve"> PubMed PMID: 15637391.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Gayther S.A., Harnngton P., Russell P.Rapid detection of regionally clustered germline </w:t>
      </w:r>
      <w:r w:rsidRPr="003A4656">
        <w:rPr>
          <w:rFonts w:eastAsia="TimesNewRomanPS"/>
          <w:i/>
          <w:iCs/>
          <w:sz w:val="22"/>
          <w:szCs w:val="22"/>
        </w:rPr>
        <w:t xml:space="preserve">BRCA1 </w:t>
      </w:r>
      <w:r w:rsidRPr="003A4656">
        <w:rPr>
          <w:rFonts w:eastAsia="TimesNewRomanPS"/>
          <w:sz w:val="22"/>
          <w:szCs w:val="22"/>
        </w:rPr>
        <w:t>mutations by multiplex heteroduplex analysis Am J Hum Genet 58 451-456, 1996</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Ghosh, I., Hamilton, A.D., Regan, L., 2000. </w:t>
      </w:r>
      <w:proofErr w:type="gramStart"/>
      <w:r w:rsidRPr="003A4656">
        <w:rPr>
          <w:rFonts w:eastAsia="TimesNewRomanPS"/>
          <w:sz w:val="22"/>
          <w:szCs w:val="22"/>
        </w:rPr>
        <w:t>J. Am. Chem. Soc. 122, 5658–5659.</w:t>
      </w:r>
      <w:proofErr w:type="gramEnd"/>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Goldgar D.E, Easton D.F., Deffenbaugh A.M., Monteiro A.N., Tavtigian S.V., Couch F.J. Integrated evaluation of DNA sequence variants of unknown clinical significance: application to BRCA1 and BRCA2. American Journal of Human Genetics 2004</w:t>
      </w:r>
      <w:proofErr w:type="gramStart"/>
      <w:r w:rsidRPr="003A4656">
        <w:rPr>
          <w:rFonts w:eastAsia="TimesNewRomanPS"/>
          <w:sz w:val="22"/>
          <w:szCs w:val="22"/>
        </w:rPr>
        <w:t>;75:535</w:t>
      </w:r>
      <w:proofErr w:type="gramEnd"/>
      <w:r w:rsidRPr="003A4656">
        <w:rPr>
          <w:rFonts w:eastAsia="TimesNewRomanPS"/>
          <w:sz w:val="22"/>
          <w:szCs w:val="22"/>
        </w:rPr>
        <w:t>–544.</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Goldgar D.E., Easton D.F., Byrnes G.B., Spurdle A.B., Iversen E.S., Greenblatt M.S.; </w:t>
      </w:r>
      <w:proofErr w:type="gramStart"/>
      <w:r w:rsidRPr="003A4656">
        <w:rPr>
          <w:rFonts w:eastAsia="TimesNewRomanPS"/>
          <w:sz w:val="22"/>
          <w:szCs w:val="22"/>
        </w:rPr>
        <w:t>IARC  Unclassified</w:t>
      </w:r>
      <w:proofErr w:type="gramEnd"/>
      <w:r w:rsidRPr="003A4656">
        <w:rPr>
          <w:rFonts w:eastAsia="TimesNewRomanPS"/>
          <w:sz w:val="22"/>
          <w:szCs w:val="22"/>
        </w:rPr>
        <w:t xml:space="preserve"> Genetic Variants Working Group. Genetic evidence and integration </w:t>
      </w:r>
      <w:proofErr w:type="gramStart"/>
      <w:r w:rsidRPr="003A4656">
        <w:rPr>
          <w:rFonts w:eastAsia="TimesNewRomanPS"/>
          <w:sz w:val="22"/>
          <w:szCs w:val="22"/>
        </w:rPr>
        <w:t>of  various</w:t>
      </w:r>
      <w:proofErr w:type="gramEnd"/>
      <w:r w:rsidRPr="003A4656">
        <w:rPr>
          <w:rFonts w:eastAsia="TimesNewRomanPS"/>
          <w:sz w:val="22"/>
          <w:szCs w:val="22"/>
        </w:rPr>
        <w:t xml:space="preserve"> data sources for classifying uncertain variants into a single model. </w:t>
      </w:r>
      <w:proofErr w:type="gramStart"/>
      <w:r w:rsidRPr="003A4656">
        <w:rPr>
          <w:rFonts w:eastAsia="TimesNewRomanPS"/>
          <w:sz w:val="22"/>
          <w:szCs w:val="22"/>
        </w:rPr>
        <w:t>Hum  Mutat</w:t>
      </w:r>
      <w:proofErr w:type="gramEnd"/>
      <w:r w:rsidRPr="003A4656">
        <w:rPr>
          <w:rFonts w:eastAsia="TimesNewRomanPS"/>
          <w:sz w:val="22"/>
          <w:szCs w:val="22"/>
        </w:rPr>
        <w:t>. 2008 Nov</w:t>
      </w:r>
      <w:proofErr w:type="gramStart"/>
      <w:r w:rsidRPr="003A4656">
        <w:rPr>
          <w:rFonts w:eastAsia="TimesNewRomanPS"/>
          <w:sz w:val="22"/>
          <w:szCs w:val="22"/>
        </w:rPr>
        <w:t>;29</w:t>
      </w:r>
      <w:proofErr w:type="gramEnd"/>
      <w:r w:rsidRPr="003A4656">
        <w:rPr>
          <w:rFonts w:eastAsia="TimesNewRomanPS"/>
          <w:sz w:val="22"/>
          <w:szCs w:val="22"/>
        </w:rPr>
        <w:t>(11):1265-72</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Greenberg R.A. Cancer (2011). </w:t>
      </w:r>
      <w:proofErr w:type="gramStart"/>
      <w:r w:rsidRPr="003A4656">
        <w:rPr>
          <w:rFonts w:eastAsia="TimesNewRomanPS"/>
          <w:sz w:val="22"/>
          <w:szCs w:val="22"/>
        </w:rPr>
        <w:t>BRCA1, everything but the RING?</w:t>
      </w:r>
      <w:proofErr w:type="gramEnd"/>
      <w:r w:rsidRPr="003A4656">
        <w:rPr>
          <w:rFonts w:eastAsia="TimesNewRomanPS"/>
          <w:sz w:val="22"/>
          <w:szCs w:val="22"/>
        </w:rPr>
        <w:t xml:space="preserve"> </w:t>
      </w:r>
      <w:proofErr w:type="gramStart"/>
      <w:r w:rsidRPr="003A4656">
        <w:rPr>
          <w:rFonts w:eastAsia="TimesNewRomanPS"/>
          <w:sz w:val="22"/>
          <w:szCs w:val="22"/>
        </w:rPr>
        <w:t>Science.</w:t>
      </w:r>
      <w:proofErr w:type="gramEnd"/>
      <w:r w:rsidRPr="003A4656">
        <w:rPr>
          <w:rFonts w:eastAsia="TimesNewRomanPS"/>
          <w:sz w:val="22"/>
          <w:szCs w:val="22"/>
        </w:rPr>
        <w:t xml:space="preserve"> 334(6055):459–60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Greenblatt M.S.; Brody, L.C.; Foulkes, W.D.; Genuardi, M.; Hofstra, R.M.; Olivier, M.; Plon, S.E.; Sijmons, R.H.; Sinilnikova, O.; Spurdle, A.B. Locus-specific databases and recommendations to strengthen their contribution to the classification of variants in cancer susceptibility genes. Hum. </w:t>
      </w:r>
      <w:proofErr w:type="gramStart"/>
      <w:r w:rsidRPr="003A4656">
        <w:rPr>
          <w:rFonts w:eastAsia="TimesNewRomanPS"/>
          <w:sz w:val="22"/>
          <w:szCs w:val="22"/>
        </w:rPr>
        <w:t>Mutat.</w:t>
      </w:r>
      <w:proofErr w:type="gramEnd"/>
      <w:r w:rsidRPr="003A4656">
        <w:rPr>
          <w:rFonts w:eastAsia="TimesNewRomanPS"/>
          <w:sz w:val="22"/>
          <w:szCs w:val="22"/>
        </w:rPr>
        <w:t xml:space="preserve"> 2008, 29, 1273–1281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Gross E. Arnold N., Pfeifer K., Bandick K., </w:t>
      </w:r>
      <w:proofErr w:type="gramStart"/>
      <w:r w:rsidRPr="003A4656">
        <w:rPr>
          <w:rFonts w:eastAsia="TimesNewRomanPS"/>
          <w:sz w:val="22"/>
          <w:szCs w:val="22"/>
        </w:rPr>
        <w:t>Kiechle</w:t>
      </w:r>
      <w:proofErr w:type="gramEnd"/>
      <w:r w:rsidRPr="003A4656">
        <w:rPr>
          <w:rFonts w:eastAsia="TimesNewRomanPS"/>
          <w:sz w:val="22"/>
          <w:szCs w:val="22"/>
        </w:rPr>
        <w:t xml:space="preserve"> M. Identification of specific BRCA1 and BRCA2 variants by DHPLC. Hum Mutat. (2000).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Guidugli L, Carreira A, Caputo SM, Ehlen A, Galli A, Monteiro AN, Neuhausen SL, Hansen TV, Couch FJ, Vreeswijk MP; on behalf of the ENIGMA consortium. </w:t>
      </w:r>
      <w:proofErr w:type="gramStart"/>
      <w:r w:rsidRPr="003A4656">
        <w:rPr>
          <w:rFonts w:eastAsia="TimesNewRomanPS"/>
          <w:sz w:val="22"/>
          <w:szCs w:val="22"/>
        </w:rPr>
        <w:t>Functional Assays for Analysis of Variants of Uncertain Significance in BRCA2.</w:t>
      </w:r>
      <w:proofErr w:type="gramEnd"/>
      <w:r w:rsidRPr="003A4656">
        <w:rPr>
          <w:rFonts w:eastAsia="TimesNewRomanPS"/>
          <w:sz w:val="22"/>
          <w:szCs w:val="22"/>
        </w:rPr>
        <w:t xml:space="preserve"> Hum Mutat. </w:t>
      </w:r>
      <w:proofErr w:type="gramStart"/>
      <w:r w:rsidRPr="003A4656">
        <w:rPr>
          <w:rFonts w:eastAsia="TimesNewRomanPS"/>
          <w:sz w:val="22"/>
          <w:szCs w:val="22"/>
        </w:rPr>
        <w:t>2013 Nov 6.</w:t>
      </w:r>
      <w:proofErr w:type="gramEnd"/>
      <w:r w:rsidRPr="003A4656">
        <w:rPr>
          <w:rFonts w:eastAsia="TimesNewRomanPS"/>
          <w:sz w:val="22"/>
          <w:szCs w:val="22"/>
        </w:rPr>
        <w:t xml:space="preserve">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Hashizume R., Fukuda M., Maeda I., Nishikawa H., Oyake D., Yabuki Y., Ogata H., Ohta T. The RING heterodimer BRCA1-BARD1 is </w:t>
      </w:r>
      <w:proofErr w:type="gramStart"/>
      <w:r w:rsidRPr="003A4656">
        <w:rPr>
          <w:rFonts w:eastAsia="TimesNewRomanPS"/>
          <w:sz w:val="22"/>
          <w:szCs w:val="22"/>
        </w:rPr>
        <w:t>a</w:t>
      </w:r>
      <w:proofErr w:type="gramEnd"/>
      <w:r w:rsidRPr="003A4656">
        <w:rPr>
          <w:rFonts w:eastAsia="TimesNewRomanPS"/>
          <w:sz w:val="22"/>
          <w:szCs w:val="22"/>
        </w:rPr>
        <w:t xml:space="preserve"> ubiquitin ligase inactivated by a breast cancer-derived mutation. J Biol Chem. 2001 May 4</w:t>
      </w:r>
      <w:proofErr w:type="gramStart"/>
      <w:r w:rsidRPr="003A4656">
        <w:rPr>
          <w:rFonts w:eastAsia="TimesNewRomanPS"/>
          <w:sz w:val="22"/>
          <w:szCs w:val="22"/>
        </w:rPr>
        <w:t>;276</w:t>
      </w:r>
      <w:proofErr w:type="gramEnd"/>
      <w:r w:rsidRPr="003A4656">
        <w:rPr>
          <w:rFonts w:eastAsia="TimesNewRomanPS"/>
          <w:sz w:val="22"/>
          <w:szCs w:val="22"/>
        </w:rPr>
        <w:t>(18):14537-40.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Heine GF, Parvin JD. </w:t>
      </w:r>
      <w:proofErr w:type="gramStart"/>
      <w:r w:rsidRPr="003A4656">
        <w:rPr>
          <w:rFonts w:eastAsia="TimesNewRomanPS"/>
          <w:sz w:val="22"/>
          <w:szCs w:val="22"/>
        </w:rPr>
        <w:t>BRCA1 control of steroid receptor ubiquitination.</w:t>
      </w:r>
      <w:proofErr w:type="gramEnd"/>
      <w:r w:rsidRPr="003A4656">
        <w:rPr>
          <w:rFonts w:eastAsia="TimesNewRomanPS"/>
          <w:sz w:val="22"/>
          <w:szCs w:val="22"/>
        </w:rPr>
        <w:t xml:space="preserve"> Sci STKE. 2007 Jun 19</w:t>
      </w:r>
      <w:proofErr w:type="gramStart"/>
      <w:r w:rsidRPr="003A4656">
        <w:rPr>
          <w:rFonts w:eastAsia="TimesNewRomanPS"/>
          <w:sz w:val="22"/>
          <w:szCs w:val="22"/>
        </w:rPr>
        <w:t>;2007</w:t>
      </w:r>
      <w:proofErr w:type="gramEnd"/>
      <w:r w:rsidRPr="003A4656">
        <w:rPr>
          <w:rFonts w:eastAsia="TimesNewRomanPS"/>
          <w:sz w:val="22"/>
          <w:szCs w:val="22"/>
        </w:rPr>
        <w:t>(391):pe34</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Hennessy B.T., Timms K.M., Carey M.S., Gutin A., Meyer L.A., Flake D.D. 2nd, Abkevich V.</w:t>
      </w:r>
      <w:proofErr w:type="gramStart"/>
      <w:r w:rsidRPr="003A4656">
        <w:rPr>
          <w:rFonts w:eastAsia="TimesNewRomanPS"/>
          <w:sz w:val="22"/>
          <w:szCs w:val="22"/>
        </w:rPr>
        <w:t>,  Potter</w:t>
      </w:r>
      <w:proofErr w:type="gramEnd"/>
      <w:r w:rsidRPr="003A4656">
        <w:rPr>
          <w:rFonts w:eastAsia="TimesNewRomanPS"/>
          <w:sz w:val="22"/>
          <w:szCs w:val="22"/>
        </w:rPr>
        <w:t xml:space="preserve"> J., Pruss D., Glenn P., Li Y., Li J., Gonzalez-Angulo A.M., McCune K.S., Markman M., Broaddus R.R., Lanchbury J.S., Lu K.H., Mills G.B. Somatic mutations in BRCA1 and BRCA2 could expand the number of patients that benefit from poly (ADP ribose) polymerase inhibitors in ovarian cancer. </w:t>
      </w:r>
      <w:proofErr w:type="gramStart"/>
      <w:r w:rsidRPr="003A4656">
        <w:rPr>
          <w:rFonts w:eastAsia="TimesNewRomanPS"/>
          <w:sz w:val="22"/>
          <w:szCs w:val="22"/>
        </w:rPr>
        <w:t>J Clin Oncol.</w:t>
      </w:r>
      <w:proofErr w:type="gramEnd"/>
      <w:r w:rsidRPr="003A4656">
        <w:rPr>
          <w:rFonts w:eastAsia="TimesNewRomanPS"/>
          <w:sz w:val="22"/>
          <w:szCs w:val="22"/>
        </w:rPr>
        <w:t xml:space="preserve"> 2010 Aug 1</w:t>
      </w:r>
      <w:proofErr w:type="gramStart"/>
      <w:r w:rsidRPr="003A4656">
        <w:rPr>
          <w:rFonts w:eastAsia="TimesNewRomanPS"/>
          <w:sz w:val="22"/>
          <w:szCs w:val="22"/>
        </w:rPr>
        <w:t>;28</w:t>
      </w:r>
      <w:proofErr w:type="gramEnd"/>
      <w:r w:rsidRPr="003A4656">
        <w:rPr>
          <w:rFonts w:eastAsia="TimesNewRomanPS"/>
          <w:sz w:val="22"/>
          <w:szCs w:val="22"/>
        </w:rPr>
        <w:t xml:space="preserve">(22):3570-6.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Hogervorst FB, Cornelis RS, Bout M, van Vliet M, Oosterwijk JC, Olmer R, Bakker B, Klijn JG, Vasen HF, Meijers-Heijboer H. Rapid detection of BRCA1 mutations by the protein truncation test. Nat Genet. 1995</w:t>
      </w:r>
    </w:p>
    <w:p w:rsidR="00E224D4" w:rsidRPr="003A4656" w:rsidRDefault="00E224D4" w:rsidP="00653B99">
      <w:pPr>
        <w:spacing w:after="120"/>
        <w:ind w:left="0" w:right="0"/>
        <w:rPr>
          <w:rFonts w:eastAsia="TimesNewRomanPS"/>
          <w:sz w:val="22"/>
          <w:szCs w:val="22"/>
        </w:rPr>
      </w:pPr>
      <w:r w:rsidRPr="00831D9F">
        <w:rPr>
          <w:rFonts w:eastAsia="TimesNewRomanPS"/>
          <w:sz w:val="22"/>
          <w:szCs w:val="22"/>
          <w:lang w:val="it-IT"/>
        </w:rPr>
        <w:t xml:space="preserve">Hucl T., Rago C, Gallmeier E, Brody JR, Gorospe M, Kern SE. </w:t>
      </w:r>
      <w:r w:rsidRPr="003A4656">
        <w:rPr>
          <w:rFonts w:eastAsia="TimesNewRomanPS"/>
          <w:sz w:val="22"/>
          <w:szCs w:val="22"/>
        </w:rPr>
        <w:t>A syngeneic variance library for functional annotation of human variation: application to BRCA2. Cancer Res. 2008 Jul 1</w:t>
      </w:r>
      <w:proofErr w:type="gramStart"/>
      <w:r w:rsidRPr="003A4656">
        <w:rPr>
          <w:rFonts w:eastAsia="TimesNewRomanPS"/>
          <w:sz w:val="22"/>
          <w:szCs w:val="22"/>
        </w:rPr>
        <w:t>;68</w:t>
      </w:r>
      <w:proofErr w:type="gramEnd"/>
      <w:r w:rsidRPr="003A4656">
        <w:rPr>
          <w:rFonts w:eastAsia="TimesNewRomanPS"/>
          <w:sz w:val="22"/>
          <w:szCs w:val="22"/>
        </w:rPr>
        <w:t>(13):5023-30.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Janatova M., Zikan M., Dundr P., Matous B., Pohlreich P. Novel somatic mutations in the BRCA1 gene in sporadic breast tumors. Hum Mutat. 2005 Mar</w:t>
      </w:r>
      <w:proofErr w:type="gramStart"/>
      <w:r w:rsidRPr="003A4656">
        <w:rPr>
          <w:rFonts w:eastAsia="TimesNewRomanPS"/>
          <w:sz w:val="22"/>
          <w:szCs w:val="22"/>
        </w:rPr>
        <w:t>;25</w:t>
      </w:r>
      <w:proofErr w:type="gramEnd"/>
      <w:r w:rsidRPr="003A4656">
        <w:rPr>
          <w:rFonts w:eastAsia="TimesNewRomanPS"/>
          <w:sz w:val="22"/>
          <w:szCs w:val="22"/>
        </w:rPr>
        <w:t>(3):319.</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Jasin M. 2002. Homologous repair of DNA damage and tumourigenesis: the BRCA connection. Oncogene 21:8981–8993.</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Judkins, T.; Hendrickson, B.C.; Deffenbaugh, A.M.; Scholl, T. Single nucleotide polymorphisms in clinical genetic testing: The characterization of the clinical significance of genetic variants and their application in clinical research for BRCA1. </w:t>
      </w:r>
      <w:proofErr w:type="gramStart"/>
      <w:r w:rsidRPr="003A4656">
        <w:rPr>
          <w:rFonts w:eastAsia="TimesNewRomanPS"/>
          <w:sz w:val="22"/>
          <w:szCs w:val="22"/>
        </w:rPr>
        <w:t>Mutat.</w:t>
      </w:r>
      <w:proofErr w:type="gramEnd"/>
      <w:r w:rsidRPr="003A4656">
        <w:rPr>
          <w:rFonts w:eastAsia="TimesNewRomanPS"/>
          <w:sz w:val="22"/>
          <w:szCs w:val="22"/>
        </w:rPr>
        <w:t xml:space="preserve"> Res. 2005, 573, 168–179. </w:t>
      </w:r>
    </w:p>
    <w:p w:rsidR="00E224D4" w:rsidRPr="003A4656" w:rsidRDefault="00E224D4" w:rsidP="00653B99">
      <w:pPr>
        <w:spacing w:after="120"/>
        <w:ind w:left="0" w:right="0"/>
        <w:rPr>
          <w:sz w:val="22"/>
          <w:szCs w:val="22"/>
        </w:rPr>
      </w:pPr>
      <w:r w:rsidRPr="003A4656">
        <w:rPr>
          <w:sz w:val="22"/>
          <w:szCs w:val="22"/>
        </w:rPr>
        <w:t>Kagedal L. (2011) Immobilized metal ion affinity chromatography. In: Janson JC, Ryden L (</w:t>
      </w:r>
      <w:proofErr w:type="gramStart"/>
      <w:r w:rsidRPr="003A4656">
        <w:rPr>
          <w:sz w:val="22"/>
          <w:szCs w:val="22"/>
        </w:rPr>
        <w:t>eds</w:t>
      </w:r>
      <w:proofErr w:type="gramEnd"/>
      <w:r w:rsidRPr="003A4656">
        <w:rPr>
          <w:sz w:val="22"/>
          <w:szCs w:val="22"/>
        </w:rPr>
        <w:t>) Protein purification: principles, high resolution methods, and applications, 3rd edn. Wiley, New York, pp 183–201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Kais Z., Chiba N, Ishioka C, Parvin JD. </w:t>
      </w:r>
      <w:proofErr w:type="gramStart"/>
      <w:r w:rsidRPr="003A4656">
        <w:rPr>
          <w:rFonts w:eastAsia="TimesNewRomanPS"/>
          <w:sz w:val="22"/>
          <w:szCs w:val="22"/>
        </w:rPr>
        <w:t>Functional differences among BRCA1 missense mutations in the control of centrosome duplication.</w:t>
      </w:r>
      <w:proofErr w:type="gramEnd"/>
      <w:r w:rsidRPr="003A4656">
        <w:rPr>
          <w:rFonts w:eastAsia="TimesNewRomanPS"/>
          <w:sz w:val="22"/>
          <w:szCs w:val="22"/>
        </w:rPr>
        <w:t xml:space="preserve"> </w:t>
      </w:r>
      <w:proofErr w:type="gramStart"/>
      <w:r w:rsidRPr="003A4656">
        <w:rPr>
          <w:rFonts w:eastAsia="TimesNewRomanPS"/>
          <w:sz w:val="22"/>
          <w:szCs w:val="22"/>
        </w:rPr>
        <w:t>Oncogene.</w:t>
      </w:r>
      <w:proofErr w:type="gramEnd"/>
      <w:r w:rsidRPr="003A4656">
        <w:rPr>
          <w:rFonts w:eastAsia="TimesNewRomanPS"/>
          <w:sz w:val="22"/>
          <w:szCs w:val="22"/>
        </w:rPr>
        <w:t xml:space="preserve"> 2011; 31(6):799–804.</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Kinzler KW, Vogelstein B. Cancer-susceptibility genes. </w:t>
      </w:r>
      <w:proofErr w:type="gramStart"/>
      <w:r w:rsidRPr="003A4656">
        <w:rPr>
          <w:rFonts w:eastAsia="TimesNewRomanPS"/>
          <w:sz w:val="22"/>
          <w:szCs w:val="22"/>
        </w:rPr>
        <w:t>Gatekeepers and caretakers.</w:t>
      </w:r>
      <w:proofErr w:type="gramEnd"/>
      <w:r w:rsidRPr="003A4656">
        <w:rPr>
          <w:rFonts w:eastAsia="TimesNewRomanPS"/>
          <w:sz w:val="22"/>
          <w:szCs w:val="22"/>
        </w:rPr>
        <w:t xml:space="preserve"> </w:t>
      </w:r>
      <w:proofErr w:type="gramStart"/>
      <w:r w:rsidRPr="003A4656">
        <w:rPr>
          <w:rFonts w:eastAsia="TimesNewRomanPS"/>
          <w:sz w:val="22"/>
          <w:szCs w:val="22"/>
        </w:rPr>
        <w:t>Nature.</w:t>
      </w:r>
      <w:proofErr w:type="gramEnd"/>
      <w:r w:rsidRPr="003A4656">
        <w:rPr>
          <w:rFonts w:eastAsia="TimesNewRomanPS"/>
          <w:sz w:val="22"/>
          <w:szCs w:val="22"/>
        </w:rPr>
        <w:t xml:space="preserve"> 1997 Apr 24</w:t>
      </w:r>
      <w:proofErr w:type="gramStart"/>
      <w:r w:rsidRPr="003A4656">
        <w:rPr>
          <w:rFonts w:eastAsia="TimesNewRomanPS"/>
          <w:sz w:val="22"/>
          <w:szCs w:val="22"/>
        </w:rPr>
        <w:t>;386</w:t>
      </w:r>
      <w:proofErr w:type="gramEnd"/>
      <w:r w:rsidRPr="003A4656">
        <w:rPr>
          <w:rFonts w:eastAsia="TimesNewRomanPS"/>
          <w:sz w:val="22"/>
          <w:szCs w:val="22"/>
        </w:rPr>
        <w:t>(6627):761, 763.</w:t>
      </w:r>
    </w:p>
    <w:p w:rsidR="00E224D4" w:rsidRPr="003A4656" w:rsidRDefault="00E224D4" w:rsidP="00653B99">
      <w:pPr>
        <w:spacing w:after="120"/>
        <w:ind w:left="0" w:right="0"/>
        <w:rPr>
          <w:sz w:val="22"/>
          <w:szCs w:val="22"/>
        </w:rPr>
      </w:pPr>
      <w:r w:rsidRPr="003A4656">
        <w:rPr>
          <w:sz w:val="22"/>
          <w:szCs w:val="22"/>
        </w:rPr>
        <w:t xml:space="preserve">Knudson AG. Hereditary cancer: two hits revisited. </w:t>
      </w:r>
      <w:proofErr w:type="gramStart"/>
      <w:r w:rsidRPr="003A4656">
        <w:rPr>
          <w:sz w:val="22"/>
          <w:szCs w:val="22"/>
        </w:rPr>
        <w:t>J Cancer Res Clin Oncol.</w:t>
      </w:r>
      <w:proofErr w:type="gramEnd"/>
      <w:r w:rsidRPr="003A4656">
        <w:rPr>
          <w:sz w:val="22"/>
          <w:szCs w:val="22"/>
        </w:rPr>
        <w:t xml:space="preserve"> 1996</w:t>
      </w:r>
      <w:proofErr w:type="gramStart"/>
      <w:r w:rsidRPr="003A4656">
        <w:rPr>
          <w:sz w:val="22"/>
          <w:szCs w:val="22"/>
        </w:rPr>
        <w:t>;122</w:t>
      </w:r>
      <w:proofErr w:type="gramEnd"/>
      <w:r w:rsidRPr="003A4656">
        <w:rPr>
          <w:sz w:val="22"/>
          <w:szCs w:val="22"/>
        </w:rPr>
        <w:t xml:space="preserve">(3):135-40. </w:t>
      </w:r>
      <w:proofErr w:type="gramStart"/>
      <w:r w:rsidRPr="003A4656">
        <w:rPr>
          <w:sz w:val="22"/>
          <w:szCs w:val="22"/>
        </w:rPr>
        <w:t>Review.</w:t>
      </w:r>
      <w:proofErr w:type="gramEnd"/>
      <w:r w:rsidRPr="003A4656">
        <w:rPr>
          <w:sz w:val="22"/>
          <w:szCs w:val="22"/>
        </w:rPr>
        <w:t xml:space="preserve"> PubMed PMID: 8601560.</w:t>
      </w:r>
    </w:p>
    <w:p w:rsidR="00E224D4" w:rsidRPr="003A4656" w:rsidRDefault="00E224D4" w:rsidP="00653B99">
      <w:pPr>
        <w:spacing w:after="120"/>
        <w:ind w:left="0" w:right="0"/>
        <w:rPr>
          <w:sz w:val="22"/>
          <w:szCs w:val="22"/>
        </w:rPr>
      </w:pPr>
      <w:r w:rsidRPr="003A4656">
        <w:rPr>
          <w:sz w:val="22"/>
          <w:szCs w:val="22"/>
        </w:rPr>
        <w:t>Kobayashi H., Ohno S, Sasaki Y, Matsuura M. Hereditary breast and ovarian cancer susceptibility genes (review). Oncol Rep. 2013 Sep</w:t>
      </w:r>
      <w:proofErr w:type="gramStart"/>
      <w:r w:rsidRPr="003A4656">
        <w:rPr>
          <w:sz w:val="22"/>
          <w:szCs w:val="22"/>
        </w:rPr>
        <w:t>;30</w:t>
      </w:r>
      <w:proofErr w:type="gramEnd"/>
      <w:r w:rsidRPr="003A4656">
        <w:rPr>
          <w:sz w:val="22"/>
          <w:szCs w:val="22"/>
        </w:rPr>
        <w:t xml:space="preserve">(3):1019-29.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Kumar P., Henikoff S., Ng P.C. Predicting the effects of coding non-synonymous variants on protein function using the SIFT algorithm. Nat Protoc. 2009</w:t>
      </w:r>
      <w:proofErr w:type="gramStart"/>
      <w:r w:rsidRPr="003A4656">
        <w:rPr>
          <w:rFonts w:eastAsia="TimesNewRomanPS"/>
          <w:sz w:val="22"/>
          <w:szCs w:val="22"/>
        </w:rPr>
        <w:t>;4</w:t>
      </w:r>
      <w:proofErr w:type="gramEnd"/>
      <w:r w:rsidRPr="003A4656">
        <w:rPr>
          <w:rFonts w:eastAsia="TimesNewRomanPS"/>
          <w:sz w:val="22"/>
          <w:szCs w:val="22"/>
        </w:rPr>
        <w:t xml:space="preserve">(7):1073-81.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Kuschel B.; Gayther, S.A.; Easton, D.F.; Ponder, B.A.; Pharoah, P.D. Apparent human brca1 knockout caused by mispriming during polymerase chain reaction: Implications for genetic testing. Genes Chromosomes Cancer 2001, 31, 96–98.</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Lee M.S., Green R, Marsillac SM, Coquelle N, Williams RS, Yeung T, Foo D, Hau DD, Hui B, Monteiro AN, Glover JN. </w:t>
      </w:r>
      <w:proofErr w:type="gramStart"/>
      <w:r w:rsidRPr="003A4656">
        <w:rPr>
          <w:rFonts w:eastAsia="TimesNewRomanPS"/>
          <w:sz w:val="22"/>
          <w:szCs w:val="22"/>
        </w:rPr>
        <w:t>Comprehensive analysis of missense variations in the BRCT domain of BRCA1 by structural and functional assays.</w:t>
      </w:r>
      <w:proofErr w:type="gramEnd"/>
      <w:r w:rsidRPr="003A4656">
        <w:rPr>
          <w:rFonts w:eastAsia="TimesNewRomanPS"/>
          <w:sz w:val="22"/>
          <w:szCs w:val="22"/>
        </w:rPr>
        <w:t xml:space="preserve"> Cancer Res. 2010; 70(12):4880–4890.</w:t>
      </w:r>
    </w:p>
    <w:p w:rsidR="00E224D4" w:rsidRPr="003A4656" w:rsidRDefault="00E224D4" w:rsidP="00653B99">
      <w:pPr>
        <w:spacing w:after="120"/>
        <w:ind w:left="0" w:right="0"/>
        <w:rPr>
          <w:sz w:val="22"/>
          <w:szCs w:val="22"/>
        </w:rPr>
      </w:pPr>
      <w:r w:rsidRPr="003A4656">
        <w:rPr>
          <w:sz w:val="22"/>
          <w:szCs w:val="22"/>
        </w:rPr>
        <w:t>Li S., Chen P.L., Subramanian T., Chinnadurai G., Tomlinson G., Osborne C.K., Sharp Z.D., Lee W.H. Binding of CtIP to the BRCT repeats of BRCA1 involved in the transcription regulation of p21 is disrupted upon DNA damage. J Biol Chem. 1999 Apr 16</w:t>
      </w:r>
      <w:proofErr w:type="gramStart"/>
      <w:r w:rsidRPr="003A4656">
        <w:rPr>
          <w:sz w:val="22"/>
          <w:szCs w:val="22"/>
        </w:rPr>
        <w:t>;274</w:t>
      </w:r>
      <w:proofErr w:type="gramEnd"/>
      <w:r w:rsidRPr="003A4656">
        <w:rPr>
          <w:sz w:val="22"/>
          <w:szCs w:val="22"/>
        </w:rPr>
        <w:t>(16):11334-8.</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Lipkowitz S. Weissman A.M. RINGs of good and evil: RING finger ubiquitin ligases at the crossroads of tumour suppression and oncogenesis. </w:t>
      </w:r>
      <w:proofErr w:type="gramStart"/>
      <w:r w:rsidRPr="003A4656">
        <w:rPr>
          <w:rFonts w:eastAsia="TimesNewRomanPS"/>
          <w:sz w:val="22"/>
          <w:szCs w:val="22"/>
        </w:rPr>
        <w:t>Nat Rev Cancer.</w:t>
      </w:r>
      <w:proofErr w:type="gramEnd"/>
      <w:r w:rsidRPr="003A4656">
        <w:rPr>
          <w:rFonts w:eastAsia="TimesNewRomanPS"/>
          <w:sz w:val="22"/>
          <w:szCs w:val="22"/>
        </w:rPr>
        <w:t xml:space="preserve"> 2011; 11(9):629–43</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Liu B, Parsons R, Papadopoulos N, Nicolaides NC, Lynch HT, Watson P, Jass JR, Dunlop M, Wyllie A, Peltomäki P, de la Chapelle A, Hamilton SR, Vogelstein B, Kinzler KW. </w:t>
      </w:r>
      <w:proofErr w:type="gramStart"/>
      <w:r w:rsidRPr="003A4656">
        <w:rPr>
          <w:rFonts w:eastAsia="TimesNewRomanPS"/>
          <w:sz w:val="22"/>
          <w:szCs w:val="22"/>
        </w:rPr>
        <w:t>Analysis of mismatch repair genes in hereditary non-polyposis colorectal cancer patients.</w:t>
      </w:r>
      <w:proofErr w:type="gramEnd"/>
      <w:r w:rsidRPr="003A4656">
        <w:rPr>
          <w:rFonts w:eastAsia="TimesNewRomanPS"/>
          <w:sz w:val="22"/>
          <w:szCs w:val="22"/>
        </w:rPr>
        <w:t xml:space="preserve"> Nat Med. 1996 Feb</w:t>
      </w:r>
      <w:proofErr w:type="gramStart"/>
      <w:r w:rsidRPr="003A4656">
        <w:rPr>
          <w:rFonts w:eastAsia="TimesNewRomanPS"/>
          <w:sz w:val="22"/>
          <w:szCs w:val="22"/>
        </w:rPr>
        <w:t>;2</w:t>
      </w:r>
      <w:proofErr w:type="gramEnd"/>
      <w:r w:rsidRPr="003A4656">
        <w:rPr>
          <w:rFonts w:eastAsia="TimesNewRomanPS"/>
          <w:sz w:val="22"/>
          <w:szCs w:val="22"/>
        </w:rPr>
        <w:t>(2):169-74.</w:t>
      </w:r>
    </w:p>
    <w:p w:rsidR="00E224D4" w:rsidRPr="003A4656" w:rsidRDefault="00785CBF" w:rsidP="00653B99">
      <w:pPr>
        <w:spacing w:after="120"/>
        <w:ind w:left="0" w:right="0"/>
        <w:rPr>
          <w:sz w:val="22"/>
          <w:szCs w:val="22"/>
        </w:rPr>
      </w:pPr>
      <w:hyperlink r:id="rId56" w:history="1">
        <w:r w:rsidR="00E224D4" w:rsidRPr="003A4656">
          <w:rPr>
            <w:rFonts w:eastAsiaTheme="minorHAnsi"/>
            <w:sz w:val="22"/>
            <w:szCs w:val="22"/>
          </w:rPr>
          <w:t>Liu T</w:t>
        </w:r>
      </w:hyperlink>
      <w:r w:rsidR="00E224D4" w:rsidRPr="003A4656">
        <w:rPr>
          <w:sz w:val="22"/>
          <w:szCs w:val="22"/>
        </w:rPr>
        <w:t>.</w:t>
      </w:r>
      <w:r w:rsidR="00E224D4" w:rsidRPr="003A4656">
        <w:rPr>
          <w:rFonts w:eastAsiaTheme="minorHAnsi"/>
          <w:sz w:val="22"/>
          <w:szCs w:val="22"/>
        </w:rPr>
        <w:t xml:space="preserve">, </w:t>
      </w:r>
      <w:hyperlink r:id="rId57" w:history="1">
        <w:r w:rsidR="00E224D4" w:rsidRPr="003A4656">
          <w:rPr>
            <w:rFonts w:eastAsiaTheme="minorHAnsi"/>
            <w:sz w:val="22"/>
            <w:szCs w:val="22"/>
          </w:rPr>
          <w:t>Yan H</w:t>
        </w:r>
      </w:hyperlink>
      <w:r w:rsidR="00E224D4" w:rsidRPr="003A4656">
        <w:rPr>
          <w:rFonts w:eastAsiaTheme="minorHAnsi"/>
          <w:sz w:val="22"/>
          <w:szCs w:val="22"/>
        </w:rPr>
        <w:t xml:space="preserve">, </w:t>
      </w:r>
      <w:hyperlink r:id="rId58" w:history="1">
        <w:r w:rsidR="00E224D4" w:rsidRPr="003A4656">
          <w:rPr>
            <w:rFonts w:eastAsiaTheme="minorHAnsi"/>
            <w:sz w:val="22"/>
            <w:szCs w:val="22"/>
          </w:rPr>
          <w:t>Kuismanen S</w:t>
        </w:r>
      </w:hyperlink>
      <w:r w:rsidR="00E224D4" w:rsidRPr="003A4656">
        <w:rPr>
          <w:rFonts w:eastAsiaTheme="minorHAnsi"/>
          <w:sz w:val="22"/>
          <w:szCs w:val="22"/>
        </w:rPr>
        <w:t xml:space="preserve">, </w:t>
      </w:r>
      <w:hyperlink r:id="rId59" w:history="1">
        <w:r w:rsidR="00E224D4" w:rsidRPr="003A4656">
          <w:rPr>
            <w:rFonts w:eastAsiaTheme="minorHAnsi"/>
            <w:sz w:val="22"/>
            <w:szCs w:val="22"/>
          </w:rPr>
          <w:t>Percesepe A</w:t>
        </w:r>
      </w:hyperlink>
      <w:r w:rsidR="00E224D4" w:rsidRPr="003A4656">
        <w:rPr>
          <w:rFonts w:eastAsiaTheme="minorHAnsi"/>
          <w:sz w:val="22"/>
          <w:szCs w:val="22"/>
        </w:rPr>
        <w:t xml:space="preserve">, </w:t>
      </w:r>
      <w:hyperlink r:id="rId60" w:history="1">
        <w:r w:rsidR="00E224D4" w:rsidRPr="003A4656">
          <w:rPr>
            <w:rFonts w:eastAsiaTheme="minorHAnsi"/>
            <w:sz w:val="22"/>
            <w:szCs w:val="22"/>
          </w:rPr>
          <w:t>Bisgaard ML</w:t>
        </w:r>
      </w:hyperlink>
      <w:r w:rsidR="00E224D4" w:rsidRPr="003A4656">
        <w:rPr>
          <w:rFonts w:eastAsiaTheme="minorHAnsi"/>
          <w:sz w:val="22"/>
          <w:szCs w:val="22"/>
        </w:rPr>
        <w:t xml:space="preserve">, </w:t>
      </w:r>
      <w:hyperlink r:id="rId61" w:history="1">
        <w:r w:rsidR="00E224D4" w:rsidRPr="003A4656">
          <w:rPr>
            <w:rFonts w:eastAsiaTheme="minorHAnsi"/>
            <w:sz w:val="22"/>
            <w:szCs w:val="22"/>
          </w:rPr>
          <w:t>Pedroni M</w:t>
        </w:r>
      </w:hyperlink>
      <w:r w:rsidR="00E224D4" w:rsidRPr="003A4656">
        <w:rPr>
          <w:rFonts w:eastAsiaTheme="minorHAnsi"/>
          <w:sz w:val="22"/>
          <w:szCs w:val="22"/>
        </w:rPr>
        <w:t xml:space="preserve">, </w:t>
      </w:r>
      <w:hyperlink r:id="rId62" w:history="1">
        <w:r w:rsidR="00E224D4" w:rsidRPr="003A4656">
          <w:rPr>
            <w:rFonts w:eastAsiaTheme="minorHAnsi"/>
            <w:sz w:val="22"/>
            <w:szCs w:val="22"/>
          </w:rPr>
          <w:t>Benatti P</w:t>
        </w:r>
      </w:hyperlink>
      <w:r w:rsidR="00E224D4" w:rsidRPr="003A4656">
        <w:rPr>
          <w:rFonts w:eastAsiaTheme="minorHAnsi"/>
          <w:sz w:val="22"/>
          <w:szCs w:val="22"/>
        </w:rPr>
        <w:t xml:space="preserve">, </w:t>
      </w:r>
      <w:hyperlink r:id="rId63" w:history="1">
        <w:r w:rsidR="00E224D4" w:rsidRPr="003A4656">
          <w:rPr>
            <w:rFonts w:eastAsiaTheme="minorHAnsi"/>
            <w:sz w:val="22"/>
            <w:szCs w:val="22"/>
          </w:rPr>
          <w:t>Kinzler KW</w:t>
        </w:r>
      </w:hyperlink>
      <w:r w:rsidR="00E224D4" w:rsidRPr="003A4656">
        <w:rPr>
          <w:rFonts w:eastAsiaTheme="minorHAnsi"/>
          <w:sz w:val="22"/>
          <w:szCs w:val="22"/>
        </w:rPr>
        <w:t xml:space="preserve">, </w:t>
      </w:r>
      <w:hyperlink r:id="rId64" w:history="1">
        <w:r w:rsidR="00E224D4" w:rsidRPr="003A4656">
          <w:rPr>
            <w:rFonts w:eastAsiaTheme="minorHAnsi"/>
            <w:sz w:val="22"/>
            <w:szCs w:val="22"/>
          </w:rPr>
          <w:t>Vogelstein B</w:t>
        </w:r>
      </w:hyperlink>
      <w:r w:rsidR="00E224D4" w:rsidRPr="003A4656">
        <w:rPr>
          <w:rFonts w:eastAsiaTheme="minorHAnsi"/>
          <w:sz w:val="22"/>
          <w:szCs w:val="22"/>
        </w:rPr>
        <w:t xml:space="preserve">, </w:t>
      </w:r>
      <w:hyperlink r:id="rId65" w:history="1">
        <w:r w:rsidR="00E224D4" w:rsidRPr="003A4656">
          <w:rPr>
            <w:rFonts w:eastAsiaTheme="minorHAnsi"/>
            <w:sz w:val="22"/>
            <w:szCs w:val="22"/>
          </w:rPr>
          <w:t>Ponz de Leon M</w:t>
        </w:r>
      </w:hyperlink>
      <w:r w:rsidR="00E224D4" w:rsidRPr="003A4656">
        <w:rPr>
          <w:rFonts w:eastAsiaTheme="minorHAnsi"/>
          <w:sz w:val="22"/>
          <w:szCs w:val="22"/>
        </w:rPr>
        <w:t xml:space="preserve">, </w:t>
      </w:r>
      <w:hyperlink r:id="rId66" w:history="1">
        <w:r w:rsidR="00E224D4" w:rsidRPr="003A4656">
          <w:rPr>
            <w:rFonts w:eastAsiaTheme="minorHAnsi"/>
            <w:sz w:val="22"/>
            <w:szCs w:val="22"/>
          </w:rPr>
          <w:t>Peltomäki P</w:t>
        </w:r>
      </w:hyperlink>
      <w:r w:rsidR="00E224D4" w:rsidRPr="003A4656">
        <w:rPr>
          <w:rFonts w:eastAsiaTheme="minorHAnsi"/>
          <w:sz w:val="22"/>
          <w:szCs w:val="22"/>
        </w:rPr>
        <w:t xml:space="preserve">, </w:t>
      </w:r>
      <w:hyperlink r:id="rId67" w:history="1">
        <w:r w:rsidR="00E224D4" w:rsidRPr="003A4656">
          <w:rPr>
            <w:rFonts w:eastAsiaTheme="minorHAnsi"/>
            <w:sz w:val="22"/>
            <w:szCs w:val="22"/>
          </w:rPr>
          <w:t>Lindblom A</w:t>
        </w:r>
      </w:hyperlink>
      <w:r w:rsidR="00E224D4" w:rsidRPr="003A4656">
        <w:rPr>
          <w:rFonts w:eastAsiaTheme="minorHAnsi"/>
          <w:sz w:val="22"/>
          <w:szCs w:val="22"/>
        </w:rPr>
        <w:t xml:space="preserve">. </w:t>
      </w:r>
      <w:proofErr w:type="gramStart"/>
      <w:r w:rsidR="00E224D4" w:rsidRPr="003A4656">
        <w:rPr>
          <w:rFonts w:eastAsiaTheme="minorHAnsi"/>
          <w:sz w:val="22"/>
          <w:szCs w:val="22"/>
        </w:rPr>
        <w:t>The role of hPMS1 and hPMS2 in predisposing to colorectal cancer.</w:t>
      </w:r>
      <w:proofErr w:type="gramEnd"/>
      <w:r w:rsidR="00E224D4" w:rsidRPr="003A4656">
        <w:rPr>
          <w:rFonts w:eastAsiaTheme="minorHAnsi"/>
          <w:sz w:val="22"/>
          <w:szCs w:val="22"/>
        </w:rPr>
        <w:t xml:space="preserve"> </w:t>
      </w:r>
      <w:hyperlink r:id="rId68" w:tooltip="Cancer research." w:history="1">
        <w:r w:rsidR="00E224D4" w:rsidRPr="003A4656">
          <w:rPr>
            <w:rFonts w:eastAsiaTheme="minorHAnsi"/>
            <w:sz w:val="22"/>
            <w:szCs w:val="22"/>
          </w:rPr>
          <w:t>Cancer Res.</w:t>
        </w:r>
      </w:hyperlink>
      <w:r w:rsidR="00E224D4" w:rsidRPr="003A4656">
        <w:rPr>
          <w:rFonts w:eastAsiaTheme="minorHAnsi"/>
          <w:sz w:val="22"/>
          <w:szCs w:val="22"/>
        </w:rPr>
        <w:t xml:space="preserve"> 2001 Nov 1</w:t>
      </w:r>
      <w:proofErr w:type="gramStart"/>
      <w:r w:rsidR="00E224D4" w:rsidRPr="003A4656">
        <w:rPr>
          <w:rFonts w:eastAsiaTheme="minorHAnsi"/>
          <w:sz w:val="22"/>
          <w:szCs w:val="22"/>
        </w:rPr>
        <w:t>;61</w:t>
      </w:r>
      <w:proofErr w:type="gramEnd"/>
      <w:r w:rsidR="00E224D4" w:rsidRPr="003A4656">
        <w:rPr>
          <w:rFonts w:eastAsiaTheme="minorHAnsi"/>
          <w:sz w:val="22"/>
          <w:szCs w:val="22"/>
        </w:rPr>
        <w:t>(21):7798-802.</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Lorick K.L., Jensen J.P., Fang S., Ong A.M., Hatakeyama S., Weissman A.M. RING fingers mediate ubiquitin conjugating enzyme (E2)-dependent ubiquitination. ProcNatlAcadSciUSA 1999</w:t>
      </w:r>
      <w:proofErr w:type="gramStart"/>
      <w:r w:rsidRPr="003A4656">
        <w:rPr>
          <w:rFonts w:eastAsia="TimesNewRomanPS"/>
          <w:sz w:val="22"/>
          <w:szCs w:val="22"/>
        </w:rPr>
        <w:t>;96:11364</w:t>
      </w:r>
      <w:proofErr w:type="gramEnd"/>
      <w:r w:rsidRPr="003A4656">
        <w:rPr>
          <w:rFonts w:eastAsia="TimesNewRomanPS"/>
          <w:sz w:val="22"/>
          <w:szCs w:val="22"/>
        </w:rPr>
        <w:t>–11369.</w:t>
      </w:r>
    </w:p>
    <w:p w:rsidR="00E224D4" w:rsidRPr="003A4656" w:rsidRDefault="00E224D4" w:rsidP="00653B99">
      <w:pPr>
        <w:spacing w:after="120"/>
        <w:ind w:left="0" w:right="0"/>
        <w:rPr>
          <w:sz w:val="22"/>
          <w:szCs w:val="22"/>
        </w:rPr>
      </w:pPr>
      <w:r w:rsidRPr="003A4656">
        <w:rPr>
          <w:sz w:val="22"/>
          <w:szCs w:val="22"/>
        </w:rPr>
        <w:t>Lovelock PK, Spurdle AB, Mok MT, Farrugia DJ, Lakhani SR, Healey S, Arnold S, Buchanan D; kConFab Investigators, Couch FJ, Henderson BR, Goldgar DE, Tavtigian SV, Chenevix-Trench G, Brown MA. Identification of BRCA1 missense substitutions that confer partial functional activity: potential moderate risk variants? Breast Cancer Res. 2007</w:t>
      </w:r>
      <w:proofErr w:type="gramStart"/>
      <w:r w:rsidRPr="003A4656">
        <w:rPr>
          <w:sz w:val="22"/>
          <w:szCs w:val="22"/>
        </w:rPr>
        <w:t>;9</w:t>
      </w:r>
      <w:proofErr w:type="gramEnd"/>
      <w:r w:rsidRPr="003A4656">
        <w:rPr>
          <w:sz w:val="22"/>
          <w:szCs w:val="22"/>
        </w:rPr>
        <w:t xml:space="preserve">(6):R82. </w:t>
      </w:r>
    </w:p>
    <w:p w:rsidR="00E224D4" w:rsidRPr="003A4656" w:rsidRDefault="00785CBF" w:rsidP="00653B99">
      <w:pPr>
        <w:spacing w:after="120"/>
        <w:ind w:left="0" w:right="0"/>
        <w:rPr>
          <w:rFonts w:eastAsiaTheme="minorHAnsi"/>
          <w:sz w:val="22"/>
          <w:szCs w:val="22"/>
        </w:rPr>
      </w:pPr>
      <w:hyperlink r:id="rId69" w:history="1">
        <w:r w:rsidR="00E224D4" w:rsidRPr="003A4656">
          <w:rPr>
            <w:rFonts w:eastAsiaTheme="minorHAnsi"/>
            <w:sz w:val="22"/>
            <w:szCs w:val="22"/>
          </w:rPr>
          <w:t>Lynch H.T</w:t>
        </w:r>
      </w:hyperlink>
      <w:r w:rsidR="00E224D4" w:rsidRPr="003A4656">
        <w:rPr>
          <w:sz w:val="22"/>
          <w:szCs w:val="22"/>
        </w:rPr>
        <w:t>.</w:t>
      </w:r>
      <w:r w:rsidR="00E224D4" w:rsidRPr="003A4656">
        <w:rPr>
          <w:rFonts w:eastAsiaTheme="minorHAnsi"/>
          <w:sz w:val="22"/>
          <w:szCs w:val="22"/>
        </w:rPr>
        <w:t xml:space="preserve">, </w:t>
      </w:r>
      <w:hyperlink r:id="rId70" w:history="1">
        <w:r w:rsidR="00E224D4" w:rsidRPr="003A4656">
          <w:rPr>
            <w:rFonts w:eastAsiaTheme="minorHAnsi"/>
            <w:sz w:val="22"/>
            <w:szCs w:val="22"/>
          </w:rPr>
          <w:t>de la Chapelle A</w:t>
        </w:r>
      </w:hyperlink>
      <w:r w:rsidR="00E224D4" w:rsidRPr="003A4656">
        <w:rPr>
          <w:rFonts w:eastAsiaTheme="minorHAnsi"/>
          <w:sz w:val="22"/>
          <w:szCs w:val="22"/>
        </w:rPr>
        <w:t xml:space="preserve">. </w:t>
      </w:r>
      <w:proofErr w:type="gramStart"/>
      <w:r w:rsidR="00E224D4" w:rsidRPr="003A4656">
        <w:rPr>
          <w:rFonts w:eastAsiaTheme="minorHAnsi"/>
          <w:sz w:val="22"/>
          <w:szCs w:val="22"/>
        </w:rPr>
        <w:t>Hereditary colorectal cancer.</w:t>
      </w:r>
      <w:proofErr w:type="gramEnd"/>
      <w:r w:rsidR="00E224D4" w:rsidRPr="003A4656">
        <w:rPr>
          <w:rFonts w:eastAsiaTheme="minorHAnsi"/>
          <w:sz w:val="22"/>
          <w:szCs w:val="22"/>
        </w:rPr>
        <w:t xml:space="preserve"> </w:t>
      </w:r>
      <w:hyperlink r:id="rId71" w:tooltip="The New England journal of medicine." w:history="1">
        <w:r w:rsidR="00E224D4" w:rsidRPr="003A4656">
          <w:rPr>
            <w:rFonts w:eastAsiaTheme="minorHAnsi"/>
            <w:sz w:val="22"/>
            <w:szCs w:val="22"/>
          </w:rPr>
          <w:t>N Engl J Med.</w:t>
        </w:r>
      </w:hyperlink>
      <w:r w:rsidR="00E224D4" w:rsidRPr="003A4656">
        <w:rPr>
          <w:rFonts w:eastAsiaTheme="minorHAnsi"/>
          <w:sz w:val="22"/>
          <w:szCs w:val="22"/>
        </w:rPr>
        <w:t xml:space="preserve"> 2003 Mar 6</w:t>
      </w:r>
      <w:proofErr w:type="gramStart"/>
      <w:r w:rsidR="00E224D4" w:rsidRPr="003A4656">
        <w:rPr>
          <w:rFonts w:eastAsiaTheme="minorHAnsi"/>
          <w:sz w:val="22"/>
          <w:szCs w:val="22"/>
        </w:rPr>
        <w:t>;348</w:t>
      </w:r>
      <w:proofErr w:type="gramEnd"/>
      <w:r w:rsidR="00E224D4" w:rsidRPr="003A4656">
        <w:rPr>
          <w:rFonts w:eastAsiaTheme="minorHAnsi"/>
          <w:sz w:val="22"/>
          <w:szCs w:val="22"/>
        </w:rPr>
        <w:t>(10):919-32.</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Magliery TJ, Wilson CG, Pan W, Mishler D, Ghosh I, Hamilton AD, Regan L. Detecting protein-protein interactions with a green fluorescent protein </w:t>
      </w:r>
      <w:proofErr w:type="gramStart"/>
      <w:r w:rsidRPr="003A4656">
        <w:rPr>
          <w:rFonts w:eastAsia="TimesNewRomanPS"/>
          <w:sz w:val="22"/>
          <w:szCs w:val="22"/>
        </w:rPr>
        <w:t>fragment  reassembly</w:t>
      </w:r>
      <w:proofErr w:type="gramEnd"/>
      <w:r w:rsidRPr="003A4656">
        <w:rPr>
          <w:rFonts w:eastAsia="TimesNewRomanPS"/>
          <w:sz w:val="22"/>
          <w:szCs w:val="22"/>
        </w:rPr>
        <w:t xml:space="preserve"> trap: scope and mechanism. J Am Chem Soc. 2005 Jan 12</w:t>
      </w:r>
      <w:proofErr w:type="gramStart"/>
      <w:r w:rsidRPr="003A4656">
        <w:rPr>
          <w:rFonts w:eastAsia="TimesNewRomanPS"/>
          <w:sz w:val="22"/>
          <w:szCs w:val="22"/>
        </w:rPr>
        <w:t>;127</w:t>
      </w:r>
      <w:proofErr w:type="gramEnd"/>
      <w:r w:rsidRPr="003A4656">
        <w:rPr>
          <w:rFonts w:eastAsia="TimesNewRomanPS"/>
          <w:sz w:val="22"/>
          <w:szCs w:val="22"/>
        </w:rPr>
        <w:t xml:space="preserve">(1):146-57.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Malacrida S, Agata S, Callegaro M, Casella C, Barana D, Scaini MC, Manoukian S, Oliani C, Radice P, Barile M, Menin C, D'Andrea E, Montagna M. BRCA1 p.Val1688del is a deleterious mutation that recurs in breast and ovarian cancer families from Northeast Italy. </w:t>
      </w:r>
      <w:proofErr w:type="gramStart"/>
      <w:r w:rsidRPr="003A4656">
        <w:rPr>
          <w:rFonts w:eastAsia="TimesNewRomanPS"/>
          <w:sz w:val="22"/>
          <w:szCs w:val="22"/>
        </w:rPr>
        <w:t>J Clin Oncol.</w:t>
      </w:r>
      <w:proofErr w:type="gramEnd"/>
      <w:r w:rsidRPr="003A4656">
        <w:rPr>
          <w:rFonts w:eastAsia="TimesNewRomanPS"/>
          <w:sz w:val="22"/>
          <w:szCs w:val="22"/>
        </w:rPr>
        <w:t xml:space="preserve"> 2008 Jan 1</w:t>
      </w:r>
      <w:proofErr w:type="gramStart"/>
      <w:r w:rsidRPr="003A4656">
        <w:rPr>
          <w:rFonts w:eastAsia="TimesNewRomanPS"/>
          <w:sz w:val="22"/>
          <w:szCs w:val="22"/>
        </w:rPr>
        <w:t>;26</w:t>
      </w:r>
      <w:proofErr w:type="gramEnd"/>
      <w:r w:rsidRPr="003A4656">
        <w:rPr>
          <w:rFonts w:eastAsia="TimesNewRomanPS"/>
          <w:sz w:val="22"/>
          <w:szCs w:val="22"/>
        </w:rPr>
        <w:t>(1):26-31.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Marroni F, Aretini P, D'Andrea E, Caligo MA, Cortesi L, Viel A, Ricevuto E, Montagna M, Cipollini G, Federico M, Santarosa M, Marchetti P, Bailey-Wilson JE, Bevilacqua G, Parmigiani G, Presciuttini S. Penetrances of breast and ovarian cancer in a large series of families tested for BRCA1/2 mutations. </w:t>
      </w:r>
      <w:proofErr w:type="gramStart"/>
      <w:r w:rsidRPr="003A4656">
        <w:rPr>
          <w:rFonts w:eastAsia="TimesNewRomanPS"/>
          <w:sz w:val="22"/>
          <w:szCs w:val="22"/>
        </w:rPr>
        <w:t>Eur J Hum Genet.</w:t>
      </w:r>
      <w:proofErr w:type="gramEnd"/>
      <w:r w:rsidRPr="003A4656">
        <w:rPr>
          <w:rFonts w:eastAsia="TimesNewRomanPS"/>
          <w:sz w:val="22"/>
          <w:szCs w:val="22"/>
        </w:rPr>
        <w:t xml:space="preserve"> 2004 Nov</w:t>
      </w:r>
      <w:proofErr w:type="gramStart"/>
      <w:r w:rsidRPr="003A4656">
        <w:rPr>
          <w:rFonts w:eastAsia="TimesNewRomanPS"/>
          <w:sz w:val="22"/>
          <w:szCs w:val="22"/>
        </w:rPr>
        <w:t>;12</w:t>
      </w:r>
      <w:proofErr w:type="gramEnd"/>
      <w:r w:rsidRPr="003A4656">
        <w:rPr>
          <w:rFonts w:eastAsia="TimesNewRomanPS"/>
          <w:sz w:val="22"/>
          <w:szCs w:val="22"/>
        </w:rPr>
        <w:t>(11):899-906.</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Merajver S.D., Pham T.M., Caduff R.F., Chen M., Poy E.L., Cooney K.A., Weber B.L., Collins F.S., Johnston C., Frank T.S. Somatic mutations in the BRCA1 gene in sporadic ovarian tumours. Nat Genet. 1995 Apr</w:t>
      </w:r>
      <w:proofErr w:type="gramStart"/>
      <w:r w:rsidRPr="003A4656">
        <w:rPr>
          <w:rFonts w:eastAsia="TimesNewRomanPS"/>
          <w:sz w:val="22"/>
          <w:szCs w:val="22"/>
        </w:rPr>
        <w:t>;9</w:t>
      </w:r>
      <w:proofErr w:type="gramEnd"/>
      <w:r w:rsidRPr="003A4656">
        <w:rPr>
          <w:rFonts w:eastAsia="TimesNewRomanPS"/>
          <w:sz w:val="22"/>
          <w:szCs w:val="22"/>
        </w:rPr>
        <w:t xml:space="preserve">(4):439-43.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Mi H., Lazareva-Ulitsky B, Loo R, Kejariwal A, Vandergriff J, Rabkin S, Guo N, Muruganujan A, Doremieux O, Campbell MJ, Kitano H, Thomas PD. </w:t>
      </w:r>
      <w:proofErr w:type="gramStart"/>
      <w:r w:rsidRPr="003A4656">
        <w:rPr>
          <w:rFonts w:eastAsia="TimesNewRomanPS"/>
          <w:sz w:val="22"/>
          <w:szCs w:val="22"/>
        </w:rPr>
        <w:t>The PANTHER database of protein families, subfamilies, functions and pathways.</w:t>
      </w:r>
      <w:proofErr w:type="gramEnd"/>
      <w:r w:rsidRPr="003A4656">
        <w:rPr>
          <w:rFonts w:eastAsia="TimesNewRomanPS"/>
          <w:sz w:val="22"/>
          <w:szCs w:val="22"/>
        </w:rPr>
        <w:t xml:space="preserve"> Nucleic Acids Res. 2005 Jan 1</w:t>
      </w:r>
      <w:proofErr w:type="gramStart"/>
      <w:r w:rsidRPr="003A4656">
        <w:rPr>
          <w:rFonts w:eastAsia="TimesNewRomanPS"/>
          <w:sz w:val="22"/>
          <w:szCs w:val="22"/>
        </w:rPr>
        <w:t>;33</w:t>
      </w:r>
      <w:proofErr w:type="gramEnd"/>
      <w:r w:rsidRPr="003A4656">
        <w:rPr>
          <w:rFonts w:eastAsia="TimesNewRomanPS"/>
          <w:sz w:val="22"/>
          <w:szCs w:val="22"/>
        </w:rPr>
        <w:t xml:space="preserve">(Database issue):D284-8.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Miki Y., Swensen J., Shattuck-Eidens D., Futreal P.A., Harshman K., Tavtigian S., et al. </w:t>
      </w:r>
      <w:proofErr w:type="gramStart"/>
      <w:r w:rsidRPr="003A4656">
        <w:rPr>
          <w:rFonts w:eastAsia="TimesNewRomanPS"/>
          <w:sz w:val="22"/>
          <w:szCs w:val="22"/>
        </w:rPr>
        <w:t>A strong candidate for the breast and ovarian cancer susceptibility gene BRCA1.</w:t>
      </w:r>
      <w:proofErr w:type="gramEnd"/>
      <w:r w:rsidRPr="003A4656">
        <w:rPr>
          <w:rFonts w:eastAsia="TimesNewRomanPS"/>
          <w:sz w:val="22"/>
          <w:szCs w:val="22"/>
        </w:rPr>
        <w:t xml:space="preserve"> Science 1994</w:t>
      </w:r>
      <w:proofErr w:type="gramStart"/>
      <w:r w:rsidRPr="003A4656">
        <w:rPr>
          <w:rFonts w:eastAsia="TimesNewRomanPS"/>
          <w:sz w:val="22"/>
          <w:szCs w:val="22"/>
        </w:rPr>
        <w:t>;266:66</w:t>
      </w:r>
      <w:proofErr w:type="gramEnd"/>
      <w:r w:rsidRPr="003A4656">
        <w:rPr>
          <w:rFonts w:eastAsia="TimesNewRomanPS"/>
          <w:sz w:val="22"/>
          <w:szCs w:val="22"/>
        </w:rPr>
        <w:t>–71.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Millot G.A., Carvalho MA, Caputo SM, Vreeswijk MP, Brown MA, Webb M, Rouleau E, Neuhausen SL, Hansen Tv, Galli A, Brandão RD, Blok MJ, Velkova A, Couch FJ, Monteiro AN; ENIGMA Consortium Functional Assay Working Group. </w:t>
      </w:r>
      <w:proofErr w:type="gramStart"/>
      <w:r w:rsidRPr="003A4656">
        <w:rPr>
          <w:rFonts w:eastAsia="TimesNewRomanPS"/>
          <w:sz w:val="22"/>
          <w:szCs w:val="22"/>
        </w:rPr>
        <w:t>A guide for functional analysis of BRCA1 variants of uncertain significance.</w:t>
      </w:r>
      <w:proofErr w:type="gramEnd"/>
      <w:r w:rsidRPr="003A4656">
        <w:rPr>
          <w:rFonts w:eastAsia="TimesNewRomanPS"/>
          <w:sz w:val="22"/>
          <w:szCs w:val="22"/>
        </w:rPr>
        <w:t xml:space="preserve"> Hum Mutat. 2012 Nov</w:t>
      </w:r>
      <w:proofErr w:type="gramStart"/>
      <w:r w:rsidRPr="003A4656">
        <w:rPr>
          <w:rFonts w:eastAsia="TimesNewRomanPS"/>
          <w:sz w:val="22"/>
          <w:szCs w:val="22"/>
        </w:rPr>
        <w:t>;33</w:t>
      </w:r>
      <w:proofErr w:type="gramEnd"/>
      <w:r w:rsidRPr="003A4656">
        <w:rPr>
          <w:rFonts w:eastAsia="TimesNewRomanPS"/>
          <w:sz w:val="22"/>
          <w:szCs w:val="22"/>
        </w:rPr>
        <w:t xml:space="preserve">(11):1526-37. </w:t>
      </w:r>
    </w:p>
    <w:p w:rsidR="00E224D4" w:rsidRPr="003A4656" w:rsidRDefault="00E224D4" w:rsidP="00653B99">
      <w:pPr>
        <w:spacing w:after="120"/>
        <w:ind w:left="0" w:right="0"/>
        <w:rPr>
          <w:sz w:val="22"/>
          <w:szCs w:val="22"/>
        </w:rPr>
      </w:pPr>
      <w:proofErr w:type="gramStart"/>
      <w:r w:rsidRPr="003A4656">
        <w:rPr>
          <w:sz w:val="22"/>
          <w:szCs w:val="22"/>
        </w:rPr>
        <w:t>Milner J, Ponder B, Hughes-Davies L, Seltmann M, Kouzarides T. Transcriptional activation functions in BRCA2.</w:t>
      </w:r>
      <w:proofErr w:type="gramEnd"/>
      <w:r w:rsidRPr="003A4656">
        <w:rPr>
          <w:sz w:val="22"/>
          <w:szCs w:val="22"/>
        </w:rPr>
        <w:t xml:space="preserve"> </w:t>
      </w:r>
      <w:proofErr w:type="gramStart"/>
      <w:r w:rsidRPr="003A4656">
        <w:rPr>
          <w:sz w:val="22"/>
          <w:szCs w:val="22"/>
        </w:rPr>
        <w:t>Nature.</w:t>
      </w:r>
      <w:proofErr w:type="gramEnd"/>
      <w:r w:rsidRPr="003A4656">
        <w:rPr>
          <w:sz w:val="22"/>
          <w:szCs w:val="22"/>
        </w:rPr>
        <w:t xml:space="preserve"> 1997 Apr 24</w:t>
      </w:r>
      <w:proofErr w:type="gramStart"/>
      <w:r w:rsidRPr="003A4656">
        <w:rPr>
          <w:sz w:val="22"/>
          <w:szCs w:val="22"/>
        </w:rPr>
        <w:t>;386</w:t>
      </w:r>
      <w:proofErr w:type="gramEnd"/>
      <w:r w:rsidRPr="003A4656">
        <w:rPr>
          <w:sz w:val="22"/>
          <w:szCs w:val="22"/>
        </w:rPr>
        <w:t>(6627):772-3</w:t>
      </w:r>
    </w:p>
    <w:p w:rsidR="00E224D4" w:rsidRPr="003A4656" w:rsidRDefault="00E224D4" w:rsidP="00653B99">
      <w:pPr>
        <w:spacing w:after="120"/>
        <w:ind w:left="0" w:right="0"/>
        <w:rPr>
          <w:sz w:val="22"/>
          <w:szCs w:val="22"/>
        </w:rPr>
      </w:pPr>
      <w:r w:rsidRPr="003A4656">
        <w:rPr>
          <w:sz w:val="22"/>
          <w:szCs w:val="22"/>
        </w:rPr>
        <w:t xml:space="preserve">Mohammadi L, Vreeswijk MP, Oldenburg R, van den Ouweland A, Oosterwijk JC, van der Hout AH, Hoogerbrugge N, Ligtenberg M, Ausems MG, van der Luijt RB, Dommering CJ, Gille JJ, Verhoef S, Hogervorst FB, van Os TA, Gómez García E, Blok MJ, Wijnen JT, Helmer Q, Devilee P, van Asperen CJ, van Houwelingen HC. </w:t>
      </w:r>
      <w:proofErr w:type="gramStart"/>
      <w:r w:rsidRPr="003A4656">
        <w:rPr>
          <w:sz w:val="22"/>
          <w:szCs w:val="22"/>
        </w:rPr>
        <w:t>A simple method for co-segregation analysis to evaluate the pathogenicity of unclassified variants; BRCA1 and BRCA2 as an example.</w:t>
      </w:r>
      <w:proofErr w:type="gramEnd"/>
      <w:r w:rsidRPr="003A4656">
        <w:rPr>
          <w:sz w:val="22"/>
          <w:szCs w:val="22"/>
        </w:rPr>
        <w:t xml:space="preserve"> </w:t>
      </w:r>
      <w:proofErr w:type="gramStart"/>
      <w:r w:rsidRPr="003A4656">
        <w:rPr>
          <w:sz w:val="22"/>
          <w:szCs w:val="22"/>
        </w:rPr>
        <w:t>BMC Cancer.</w:t>
      </w:r>
      <w:proofErr w:type="gramEnd"/>
      <w:r w:rsidRPr="003A4656">
        <w:rPr>
          <w:sz w:val="22"/>
          <w:szCs w:val="22"/>
        </w:rPr>
        <w:t xml:space="preserve"> 2009 Jun 29</w:t>
      </w:r>
      <w:proofErr w:type="gramStart"/>
      <w:r w:rsidRPr="003A4656">
        <w:rPr>
          <w:sz w:val="22"/>
          <w:szCs w:val="22"/>
        </w:rPr>
        <w:t>;9:211</w:t>
      </w:r>
      <w:proofErr w:type="gramEnd"/>
      <w:r w:rsidRPr="003A4656">
        <w:rPr>
          <w:sz w:val="22"/>
          <w:szCs w:val="22"/>
        </w:rPr>
        <w:t xml:space="preserve">.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Monteiro AN. 2000. BRCA1: exploring the links to transcription. </w:t>
      </w:r>
      <w:proofErr w:type="gramStart"/>
      <w:r w:rsidRPr="003A4656">
        <w:rPr>
          <w:rFonts w:eastAsia="TimesNewRomanPS"/>
          <w:sz w:val="22"/>
          <w:szCs w:val="22"/>
        </w:rPr>
        <w:t>Trends Biochem Sci 25:469–474.</w:t>
      </w:r>
      <w:proofErr w:type="gramEnd"/>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Morris J.R., Pangon L., Boutell C., Katagiri T., Keep NH, Solomon E. Genetic analysis of BRCA1 ubiquitin ligase activity and its relationship to breast cancer susceptibility. Human Molecular Genetics 2006</w:t>
      </w:r>
      <w:proofErr w:type="gramStart"/>
      <w:r w:rsidRPr="003A4656">
        <w:rPr>
          <w:rFonts w:eastAsia="TimesNewRomanPS"/>
          <w:sz w:val="22"/>
          <w:szCs w:val="22"/>
        </w:rPr>
        <w:t>;15:599</w:t>
      </w:r>
      <w:proofErr w:type="gramEnd"/>
      <w:r w:rsidRPr="003A4656">
        <w:rPr>
          <w:rFonts w:eastAsia="TimesNewRomanPS"/>
          <w:sz w:val="22"/>
          <w:szCs w:val="22"/>
        </w:rPr>
        <w:t>–606.</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Mucaki E.J., Shirley B.C., Rogan P.K. Prediction of mutant mRNA splice isoforms by information theory-based exon definition. Hum Mutat. 2013 Apr</w:t>
      </w:r>
      <w:proofErr w:type="gramStart"/>
      <w:r w:rsidRPr="003A4656">
        <w:rPr>
          <w:rFonts w:eastAsia="TimesNewRomanPS"/>
          <w:sz w:val="22"/>
          <w:szCs w:val="22"/>
        </w:rPr>
        <w:t>;34</w:t>
      </w:r>
      <w:proofErr w:type="gramEnd"/>
      <w:r w:rsidRPr="003A4656">
        <w:rPr>
          <w:rFonts w:eastAsia="TimesNewRomanPS"/>
          <w:sz w:val="22"/>
          <w:szCs w:val="22"/>
        </w:rPr>
        <w:t xml:space="preserve">(4):557-65. </w:t>
      </w:r>
    </w:p>
    <w:p w:rsidR="00E224D4" w:rsidRPr="003A4656" w:rsidRDefault="00E224D4" w:rsidP="00653B99">
      <w:pPr>
        <w:spacing w:after="120"/>
        <w:ind w:left="0" w:right="0"/>
        <w:rPr>
          <w:sz w:val="22"/>
          <w:szCs w:val="22"/>
        </w:rPr>
      </w:pPr>
      <w:r w:rsidRPr="003A4656">
        <w:rPr>
          <w:sz w:val="22"/>
          <w:szCs w:val="22"/>
        </w:rPr>
        <w:t xml:space="preserve">Murzin AG. </w:t>
      </w:r>
      <w:proofErr w:type="gramStart"/>
      <w:r w:rsidRPr="003A4656">
        <w:rPr>
          <w:sz w:val="22"/>
          <w:szCs w:val="22"/>
        </w:rPr>
        <w:t>OB(</w:t>
      </w:r>
      <w:proofErr w:type="gramEnd"/>
      <w:r w:rsidRPr="003A4656">
        <w:rPr>
          <w:sz w:val="22"/>
          <w:szCs w:val="22"/>
        </w:rPr>
        <w:t>oligonucleotide/oligosaccharide binding)-fold: common structural and functional solution for non-homologous sequences. EMBO J. 1993 Mar</w:t>
      </w:r>
      <w:proofErr w:type="gramStart"/>
      <w:r w:rsidRPr="003A4656">
        <w:rPr>
          <w:sz w:val="22"/>
          <w:szCs w:val="22"/>
        </w:rPr>
        <w:t>;12</w:t>
      </w:r>
      <w:proofErr w:type="gramEnd"/>
      <w:r w:rsidRPr="003A4656">
        <w:rPr>
          <w:sz w:val="22"/>
          <w:szCs w:val="22"/>
        </w:rPr>
        <w:t xml:space="preserve">(3):861-7. </w:t>
      </w:r>
    </w:p>
    <w:p w:rsidR="00E224D4" w:rsidRPr="003A4656" w:rsidRDefault="00E224D4" w:rsidP="00653B99">
      <w:pPr>
        <w:spacing w:after="120"/>
        <w:ind w:left="0" w:right="0"/>
        <w:rPr>
          <w:sz w:val="22"/>
          <w:szCs w:val="22"/>
        </w:rPr>
      </w:pPr>
      <w:r w:rsidRPr="003A4656">
        <w:rPr>
          <w:sz w:val="22"/>
          <w:szCs w:val="22"/>
        </w:rPr>
        <w:t xml:space="preserve">Nelson H.D., Huffman L.H., Fu R., Harris E.L., Walker M., Bougatsos C. Genetic Risk Assessment and BRCA Mutation Testing for Breast and Ovarian Cancer Susceptibility. Rockville (MD): Agency for Healthcare Research and Quality (US); 2005 Sep. </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Neuhausen S.L. and Ostrander E.A. Mutation Testing of Early-Onset Breast Cancer Genes BRCA1and BRCA2.</w:t>
      </w:r>
      <w:proofErr w:type="gramEnd"/>
      <w:r w:rsidRPr="003A4656">
        <w:rPr>
          <w:rFonts w:eastAsia="TimesNewRomanPS"/>
          <w:sz w:val="22"/>
          <w:szCs w:val="22"/>
        </w:rPr>
        <w:t xml:space="preserve"> Genetic Testing 1997; Volume 1, Number 2</w:t>
      </w:r>
    </w:p>
    <w:p w:rsidR="00E224D4" w:rsidRPr="003A4656" w:rsidRDefault="00E224D4" w:rsidP="00653B99">
      <w:pPr>
        <w:spacing w:after="120"/>
        <w:ind w:left="0" w:right="0"/>
        <w:rPr>
          <w:sz w:val="22"/>
          <w:szCs w:val="22"/>
        </w:rPr>
      </w:pPr>
      <w:r w:rsidRPr="003A4656">
        <w:rPr>
          <w:sz w:val="22"/>
          <w:szCs w:val="22"/>
        </w:rPr>
        <w:t>Ng P.C. &amp; Henikoff, S. Accounting for human polymorphisms predicted to affect protein function. Genome Res. 12, 436–446 (2002)</w:t>
      </w:r>
    </w:p>
    <w:p w:rsidR="00E224D4" w:rsidRPr="003A4656" w:rsidRDefault="00E224D4" w:rsidP="00653B99">
      <w:pPr>
        <w:spacing w:after="120"/>
        <w:ind w:left="0" w:right="0"/>
        <w:rPr>
          <w:sz w:val="22"/>
          <w:szCs w:val="22"/>
        </w:rPr>
      </w:pPr>
      <w:proofErr w:type="gramStart"/>
      <w:r w:rsidRPr="003A4656">
        <w:rPr>
          <w:sz w:val="22"/>
          <w:szCs w:val="22"/>
        </w:rPr>
        <w:t>Ng P.C. &amp; Henikoff, S. Predicting deleterious amino acid substitutions.</w:t>
      </w:r>
      <w:proofErr w:type="gramEnd"/>
      <w:r w:rsidRPr="003A4656">
        <w:rPr>
          <w:sz w:val="22"/>
          <w:szCs w:val="22"/>
        </w:rPr>
        <w:t xml:space="preserve"> </w:t>
      </w:r>
      <w:proofErr w:type="gramStart"/>
      <w:r w:rsidRPr="003A4656">
        <w:rPr>
          <w:sz w:val="22"/>
          <w:szCs w:val="22"/>
        </w:rPr>
        <w:t>Genome Res. 11, 863–874 (2001).</w:t>
      </w:r>
      <w:proofErr w:type="gramEnd"/>
      <w:r w:rsidRPr="003A4656">
        <w:rPr>
          <w:sz w:val="22"/>
          <w:szCs w:val="22"/>
        </w:rPr>
        <w:t xml:space="preserve"> </w:t>
      </w:r>
    </w:p>
    <w:p w:rsidR="00E224D4" w:rsidRPr="003A4656" w:rsidRDefault="00785CBF" w:rsidP="00653B99">
      <w:pPr>
        <w:spacing w:after="120"/>
        <w:ind w:left="0" w:right="0"/>
        <w:rPr>
          <w:sz w:val="22"/>
          <w:szCs w:val="22"/>
        </w:rPr>
      </w:pPr>
      <w:hyperlink r:id="rId72" w:history="1">
        <w:r w:rsidR="00E224D4" w:rsidRPr="003A4656">
          <w:rPr>
            <w:sz w:val="22"/>
            <w:szCs w:val="22"/>
          </w:rPr>
          <w:t>Ng P.C</w:t>
        </w:r>
      </w:hyperlink>
      <w:r w:rsidR="00E224D4" w:rsidRPr="003A4656">
        <w:rPr>
          <w:sz w:val="22"/>
          <w:szCs w:val="22"/>
        </w:rPr>
        <w:t xml:space="preserve">., </w:t>
      </w:r>
      <w:hyperlink r:id="rId73" w:history="1">
        <w:r w:rsidR="00E224D4" w:rsidRPr="003A4656">
          <w:rPr>
            <w:sz w:val="22"/>
            <w:szCs w:val="22"/>
          </w:rPr>
          <w:t>Henikoff S</w:t>
        </w:r>
      </w:hyperlink>
      <w:r w:rsidR="00E224D4" w:rsidRPr="003A4656">
        <w:rPr>
          <w:sz w:val="22"/>
          <w:szCs w:val="22"/>
        </w:rPr>
        <w:t xml:space="preserve">. SIFT: Predicting amino acid changes that affect protein function. </w:t>
      </w:r>
      <w:hyperlink r:id="rId74" w:tooltip="Nucleic acids research." w:history="1">
        <w:r w:rsidR="00E224D4" w:rsidRPr="003A4656">
          <w:rPr>
            <w:sz w:val="22"/>
            <w:szCs w:val="22"/>
          </w:rPr>
          <w:t>Nucleic Acids Res.</w:t>
        </w:r>
      </w:hyperlink>
      <w:r w:rsidR="00E224D4" w:rsidRPr="003A4656">
        <w:rPr>
          <w:sz w:val="22"/>
          <w:szCs w:val="22"/>
        </w:rPr>
        <w:t xml:space="preserve"> 2003 Jul 1</w:t>
      </w:r>
      <w:proofErr w:type="gramStart"/>
      <w:r w:rsidR="00E224D4" w:rsidRPr="003A4656">
        <w:rPr>
          <w:sz w:val="22"/>
          <w:szCs w:val="22"/>
        </w:rPr>
        <w:t>;31</w:t>
      </w:r>
      <w:proofErr w:type="gramEnd"/>
      <w:r w:rsidR="00E224D4" w:rsidRPr="003A4656">
        <w:rPr>
          <w:sz w:val="22"/>
          <w:szCs w:val="22"/>
        </w:rPr>
        <w:t>(13):3812-4.</w:t>
      </w:r>
    </w:p>
    <w:p w:rsidR="00E224D4" w:rsidRPr="003A4656" w:rsidRDefault="00E224D4" w:rsidP="00653B99">
      <w:pPr>
        <w:spacing w:after="120"/>
        <w:ind w:left="0" w:right="0"/>
        <w:rPr>
          <w:sz w:val="22"/>
          <w:szCs w:val="22"/>
        </w:rPr>
      </w:pPr>
      <w:r w:rsidRPr="003A4656">
        <w:rPr>
          <w:sz w:val="22"/>
          <w:szCs w:val="22"/>
        </w:rPr>
        <w:t>Nishida T, Hirota S, Taniguchi M, Hashimoto K, Isozaki K, Nakamura H, Kanakura Y, Tanaka T, Takabayashi A, Matsuda H, Kitamura Y. Familial gastrointestinal stromal tumours with germline mutation of the KIT gene. Nat Genet. 1998 Aug</w:t>
      </w:r>
      <w:proofErr w:type="gramStart"/>
      <w:r w:rsidRPr="003A4656">
        <w:rPr>
          <w:sz w:val="22"/>
          <w:szCs w:val="22"/>
        </w:rPr>
        <w:t>;19</w:t>
      </w:r>
      <w:proofErr w:type="gramEnd"/>
      <w:r w:rsidRPr="003A4656">
        <w:rPr>
          <w:sz w:val="22"/>
          <w:szCs w:val="22"/>
        </w:rPr>
        <w:t xml:space="preserve">(4):323-4.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Okada S., Ouchi T. Cell cycle differences in DNA damage-induced BRCA1 phosphorylation affect its subcellular localization. 2003. J Biol Chem 278:2015–2020.</w:t>
      </w:r>
    </w:p>
    <w:p w:rsidR="00E224D4" w:rsidRPr="003A4656" w:rsidRDefault="00E224D4" w:rsidP="00653B99">
      <w:pPr>
        <w:spacing w:after="120"/>
        <w:ind w:left="0" w:right="0"/>
        <w:rPr>
          <w:sz w:val="22"/>
          <w:szCs w:val="22"/>
        </w:rPr>
      </w:pPr>
      <w:r w:rsidRPr="003A4656">
        <w:rPr>
          <w:sz w:val="22"/>
          <w:szCs w:val="22"/>
        </w:rPr>
        <w:t xml:space="preserve">Oliver A.W., Swift S., Lord C.J., Ashworth A., Pearl </w:t>
      </w:r>
      <w:proofErr w:type="gramStart"/>
      <w:r w:rsidRPr="003A4656">
        <w:rPr>
          <w:sz w:val="22"/>
          <w:szCs w:val="22"/>
        </w:rPr>
        <w:t>L.H..</w:t>
      </w:r>
      <w:proofErr w:type="gramEnd"/>
      <w:r w:rsidRPr="003A4656">
        <w:rPr>
          <w:sz w:val="22"/>
          <w:szCs w:val="22"/>
        </w:rPr>
        <w:t xml:space="preserve"> </w:t>
      </w:r>
      <w:proofErr w:type="gramStart"/>
      <w:r w:rsidRPr="003A4656">
        <w:rPr>
          <w:sz w:val="22"/>
          <w:szCs w:val="22"/>
        </w:rPr>
        <w:t>Structural basis for recruitment of BRCA2 by PALB2.</w:t>
      </w:r>
      <w:proofErr w:type="gramEnd"/>
      <w:r w:rsidRPr="003A4656">
        <w:rPr>
          <w:sz w:val="22"/>
          <w:szCs w:val="22"/>
        </w:rPr>
        <w:t xml:space="preserve"> EMBO Rep. 2009 Sep</w:t>
      </w:r>
      <w:proofErr w:type="gramStart"/>
      <w:r w:rsidRPr="003A4656">
        <w:rPr>
          <w:sz w:val="22"/>
          <w:szCs w:val="22"/>
        </w:rPr>
        <w:t>;10</w:t>
      </w:r>
      <w:proofErr w:type="gramEnd"/>
      <w:r w:rsidRPr="003A4656">
        <w:rPr>
          <w:sz w:val="22"/>
          <w:szCs w:val="22"/>
        </w:rPr>
        <w:t xml:space="preserve">(9):990-6. </w:t>
      </w:r>
    </w:p>
    <w:p w:rsidR="00E224D4" w:rsidRPr="003A4656" w:rsidRDefault="00E224D4" w:rsidP="00653B99">
      <w:pPr>
        <w:spacing w:after="120"/>
        <w:ind w:left="0" w:right="0"/>
        <w:rPr>
          <w:sz w:val="22"/>
          <w:szCs w:val="22"/>
        </w:rPr>
      </w:pPr>
      <w:r w:rsidRPr="003A4656">
        <w:rPr>
          <w:sz w:val="22"/>
          <w:szCs w:val="22"/>
        </w:rPr>
        <w:t>Osorio A., de la Hoya M., Rodríguez-López R., Martínez-Ramírez A., Cazorla A., Granizo J.J., Esteller M, Rivas C., Caldés T., Benítez J. Loss of heterozygosity analysis at the BRCA loci in tumor samples from patients with familial breast cancer. Int J Cancer. 2002 May 10</w:t>
      </w:r>
      <w:proofErr w:type="gramStart"/>
      <w:r w:rsidRPr="003A4656">
        <w:rPr>
          <w:sz w:val="22"/>
          <w:szCs w:val="22"/>
        </w:rPr>
        <w:t>;99</w:t>
      </w:r>
      <w:proofErr w:type="gramEnd"/>
      <w:r w:rsidRPr="003A4656">
        <w:rPr>
          <w:sz w:val="22"/>
          <w:szCs w:val="22"/>
        </w:rPr>
        <w:t xml:space="preserve">(2):305-9. </w:t>
      </w:r>
    </w:p>
    <w:p w:rsidR="00E224D4" w:rsidRPr="003A4656" w:rsidRDefault="00E224D4" w:rsidP="00653B99">
      <w:pPr>
        <w:spacing w:after="120"/>
        <w:ind w:left="0" w:right="0"/>
        <w:rPr>
          <w:sz w:val="22"/>
          <w:szCs w:val="22"/>
        </w:rPr>
      </w:pPr>
      <w:r w:rsidRPr="003A4656">
        <w:rPr>
          <w:sz w:val="22"/>
          <w:szCs w:val="22"/>
        </w:rPr>
        <w:t>Osorio A., Milne R.L., Honrado E., Barroso A., Diez O., Salazar R., de la Hoya M, Vega A, Benítez J. Classification of missense variants of unknown significance in BRCA1 based on clinical and tumor information. Hum Mutat. 2007 May</w:t>
      </w:r>
      <w:proofErr w:type="gramStart"/>
      <w:r w:rsidRPr="003A4656">
        <w:rPr>
          <w:sz w:val="22"/>
          <w:szCs w:val="22"/>
        </w:rPr>
        <w:t>;28</w:t>
      </w:r>
      <w:proofErr w:type="gramEnd"/>
      <w:r w:rsidRPr="003A4656">
        <w:rPr>
          <w:sz w:val="22"/>
          <w:szCs w:val="22"/>
        </w:rPr>
        <w:t xml:space="preserve">(5):477-85. </w:t>
      </w:r>
    </w:p>
    <w:p w:rsidR="00E224D4" w:rsidRDefault="00E224D4" w:rsidP="00653B99">
      <w:pPr>
        <w:spacing w:after="120"/>
        <w:ind w:left="0" w:right="0"/>
        <w:rPr>
          <w:rFonts w:eastAsia="TimesNewRomanPS"/>
          <w:sz w:val="22"/>
          <w:szCs w:val="22"/>
        </w:rPr>
      </w:pPr>
      <w:r w:rsidRPr="003A4656">
        <w:rPr>
          <w:rFonts w:eastAsia="TimesNewRomanPS"/>
          <w:sz w:val="22"/>
          <w:szCs w:val="22"/>
        </w:rPr>
        <w:t>Papi L., Putignano A.L., Congregati C., Zanna I., Sera F., Morrone D., Falchetti M., Turco M.R., Ottini L., Palli D., Genuardi M. Founder mutations account for the majority of BRCA1-attributable hereditary breast/ovarian cancer cases in a population from Tuscany, Central Italy. Breast Cancer Res Treat. 2009 Oct</w:t>
      </w:r>
      <w:proofErr w:type="gramStart"/>
      <w:r w:rsidRPr="003A4656">
        <w:rPr>
          <w:rFonts w:eastAsia="TimesNewRomanPS"/>
          <w:sz w:val="22"/>
          <w:szCs w:val="22"/>
        </w:rPr>
        <w:t>;117</w:t>
      </w:r>
      <w:proofErr w:type="gramEnd"/>
      <w:r w:rsidRPr="003A4656">
        <w:rPr>
          <w:rFonts w:eastAsia="TimesNewRomanPS"/>
          <w:sz w:val="22"/>
          <w:szCs w:val="22"/>
        </w:rPr>
        <w:t xml:space="preserve">(3):497-504. </w:t>
      </w:r>
    </w:p>
    <w:p w:rsidR="00E224D4" w:rsidRPr="003A4656" w:rsidRDefault="00E224D4" w:rsidP="00732CEE">
      <w:pPr>
        <w:spacing w:after="120"/>
        <w:ind w:left="0" w:right="0"/>
        <w:rPr>
          <w:rFonts w:eastAsia="TimesNewRomanPS"/>
          <w:sz w:val="22"/>
          <w:szCs w:val="22"/>
        </w:rPr>
      </w:pPr>
      <w:proofErr w:type="gramStart"/>
      <w:r w:rsidRPr="00732CEE">
        <w:rPr>
          <w:rFonts w:eastAsia="TimesNewRomanPS"/>
          <w:sz w:val="22"/>
          <w:szCs w:val="22"/>
        </w:rPr>
        <w:t>Parmigiani G</w:t>
      </w:r>
      <w:r>
        <w:rPr>
          <w:rFonts w:eastAsia="TimesNewRomanPS"/>
          <w:sz w:val="22"/>
          <w:szCs w:val="22"/>
        </w:rPr>
        <w:t>.</w:t>
      </w:r>
      <w:r w:rsidRPr="00732CEE">
        <w:rPr>
          <w:rFonts w:eastAsia="TimesNewRomanPS"/>
          <w:sz w:val="22"/>
          <w:szCs w:val="22"/>
        </w:rPr>
        <w:t>, Berry D, Aguilar O. Determining carrier probabilities for breast</w:t>
      </w:r>
      <w:r>
        <w:rPr>
          <w:rFonts w:eastAsia="TimesNewRomanPS"/>
          <w:sz w:val="22"/>
          <w:szCs w:val="22"/>
        </w:rPr>
        <w:t xml:space="preserve"> </w:t>
      </w:r>
      <w:r w:rsidRPr="00732CEE">
        <w:rPr>
          <w:rFonts w:eastAsia="TimesNewRomanPS"/>
          <w:sz w:val="22"/>
          <w:szCs w:val="22"/>
        </w:rPr>
        <w:t>cancer-susceptibility genes BRCA1 and BRCA2.</w:t>
      </w:r>
      <w:proofErr w:type="gramEnd"/>
      <w:r w:rsidRPr="00732CEE">
        <w:rPr>
          <w:rFonts w:eastAsia="TimesNewRomanPS"/>
          <w:sz w:val="22"/>
          <w:szCs w:val="22"/>
        </w:rPr>
        <w:t xml:space="preserve"> </w:t>
      </w:r>
      <w:proofErr w:type="gramStart"/>
      <w:r w:rsidRPr="00732CEE">
        <w:rPr>
          <w:rFonts w:eastAsia="TimesNewRomanPS"/>
          <w:sz w:val="22"/>
          <w:szCs w:val="22"/>
        </w:rPr>
        <w:t>Am J Hum Genet.</w:t>
      </w:r>
      <w:proofErr w:type="gramEnd"/>
      <w:r w:rsidRPr="00732CEE">
        <w:rPr>
          <w:rFonts w:eastAsia="TimesNewRomanPS"/>
          <w:sz w:val="22"/>
          <w:szCs w:val="22"/>
        </w:rPr>
        <w:t xml:space="preserve"> 1998</w:t>
      </w:r>
      <w:r>
        <w:rPr>
          <w:rFonts w:eastAsia="TimesNewRomanPS"/>
          <w:sz w:val="22"/>
          <w:szCs w:val="22"/>
        </w:rPr>
        <w:t xml:space="preserve"> </w:t>
      </w:r>
      <w:r w:rsidRPr="00732CEE">
        <w:rPr>
          <w:rFonts w:eastAsia="TimesNewRomanPS"/>
          <w:sz w:val="22"/>
          <w:szCs w:val="22"/>
        </w:rPr>
        <w:t>Jan</w:t>
      </w:r>
      <w:proofErr w:type="gramStart"/>
      <w:r w:rsidRPr="00732CEE">
        <w:rPr>
          <w:rFonts w:eastAsia="TimesNewRomanPS"/>
          <w:sz w:val="22"/>
          <w:szCs w:val="22"/>
        </w:rPr>
        <w:t>;62</w:t>
      </w:r>
      <w:proofErr w:type="gramEnd"/>
      <w:r w:rsidRPr="00732CEE">
        <w:rPr>
          <w:rFonts w:eastAsia="TimesNewRomanPS"/>
          <w:sz w:val="22"/>
          <w:szCs w:val="22"/>
        </w:rPr>
        <w:t>(1):145-58.</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Phelan C.M., Dapic V., Tice B., Favis R</w:t>
      </w:r>
      <w:proofErr w:type="gramStart"/>
      <w:r w:rsidRPr="003A4656">
        <w:rPr>
          <w:rFonts w:eastAsia="TimesNewRomanPS"/>
          <w:sz w:val="22"/>
          <w:szCs w:val="22"/>
        </w:rPr>
        <w:t>,.</w:t>
      </w:r>
      <w:proofErr w:type="gramEnd"/>
      <w:r w:rsidRPr="003A4656">
        <w:rPr>
          <w:rFonts w:eastAsia="TimesNewRomanPS"/>
          <w:sz w:val="22"/>
          <w:szCs w:val="22"/>
        </w:rPr>
        <w:t xml:space="preserve"> Kwan E., Barany F., et al. Classification of BRCA1 missense variants of unknown clinical significance. J Med Genet 2005</w:t>
      </w:r>
      <w:proofErr w:type="gramStart"/>
      <w:r w:rsidRPr="003A4656">
        <w:rPr>
          <w:rFonts w:eastAsia="TimesNewRomanPS"/>
          <w:sz w:val="22"/>
          <w:szCs w:val="22"/>
        </w:rPr>
        <w:t>;42:138</w:t>
      </w:r>
      <w:proofErr w:type="gramEnd"/>
      <w:r w:rsidRPr="003A4656">
        <w:rPr>
          <w:rFonts w:eastAsia="TimesNewRomanPS"/>
          <w:sz w:val="22"/>
          <w:szCs w:val="22"/>
        </w:rPr>
        <w:t>–146.</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Plon S.E., Eccles D.M., Easton D., Foulkes W.D., Genuardi M., Greenblatt MS, Hogervorst FB, Hoogerbrugge N, Spurdle AB, Tavtigian SV.</w:t>
      </w:r>
      <w:proofErr w:type="gramEnd"/>
      <w:r w:rsidRPr="003A4656">
        <w:rPr>
          <w:rFonts w:eastAsia="TimesNewRomanPS"/>
          <w:sz w:val="22"/>
          <w:szCs w:val="22"/>
        </w:rPr>
        <w:t xml:space="preserve"> Sequence variant classification and reporting: recommendations for improving the interpretation of cancer susceptibility genetic test results. Hum Mutat. 2008; 29(11):1282–91.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Polanowska, J., Martin, J. S., Garcia-Muse, T., Petalcorin, M. I., and Boulton, S. J. (2006) A conserved pathway to activate BRCA1-dependent ubiquitylation at DNA damage sites. </w:t>
      </w:r>
      <w:proofErr w:type="gramStart"/>
      <w:r w:rsidRPr="003A4656">
        <w:rPr>
          <w:rFonts w:eastAsia="TimesNewRomanPS"/>
          <w:sz w:val="22"/>
          <w:szCs w:val="22"/>
        </w:rPr>
        <w:t>EMBO J. 25, 2178–2188.</w:t>
      </w:r>
      <w:proofErr w:type="gramEnd"/>
    </w:p>
    <w:p w:rsidR="00E224D4" w:rsidRPr="003A4656" w:rsidRDefault="00E224D4" w:rsidP="00653B99">
      <w:pPr>
        <w:spacing w:after="120"/>
        <w:ind w:left="0" w:right="0"/>
        <w:rPr>
          <w:sz w:val="22"/>
          <w:szCs w:val="22"/>
        </w:rPr>
      </w:pPr>
      <w:r w:rsidRPr="003A4656">
        <w:rPr>
          <w:sz w:val="22"/>
          <w:szCs w:val="22"/>
        </w:rPr>
        <w:t xml:space="preserve">Porath J., Carlsson J., Olsson I., Belfrage G. (1975) Metal chelate affinity chromatography, a new approach to protein fractionation. Nature 258:598–599.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Ramensky V., Bork P., Sunyaev </w:t>
      </w:r>
      <w:proofErr w:type="gramStart"/>
      <w:r w:rsidRPr="003A4656">
        <w:rPr>
          <w:rFonts w:eastAsia="TimesNewRomanPS"/>
          <w:sz w:val="22"/>
          <w:szCs w:val="22"/>
        </w:rPr>
        <w:t>S..</w:t>
      </w:r>
      <w:proofErr w:type="gramEnd"/>
      <w:r w:rsidRPr="003A4656">
        <w:rPr>
          <w:rFonts w:eastAsia="TimesNewRomanPS"/>
          <w:sz w:val="22"/>
          <w:szCs w:val="22"/>
        </w:rPr>
        <w:t xml:space="preserve"> Human non-synonymous SNPs: server and survey. Nucleic Acids Res. 2002 Sep 1</w:t>
      </w:r>
      <w:proofErr w:type="gramStart"/>
      <w:r w:rsidRPr="003A4656">
        <w:rPr>
          <w:rFonts w:eastAsia="TimesNewRomanPS"/>
          <w:sz w:val="22"/>
          <w:szCs w:val="22"/>
        </w:rPr>
        <w:t>;30</w:t>
      </w:r>
      <w:proofErr w:type="gramEnd"/>
      <w:r w:rsidRPr="003A4656">
        <w:rPr>
          <w:rFonts w:eastAsia="TimesNewRomanPS"/>
          <w:sz w:val="22"/>
          <w:szCs w:val="22"/>
        </w:rPr>
        <w:t>(17):3894-900.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Ransburgh D.J., Chiba N, Ishioka C, Toland AE, Parvin JD. </w:t>
      </w:r>
      <w:proofErr w:type="gramStart"/>
      <w:r w:rsidRPr="003A4656">
        <w:rPr>
          <w:rFonts w:eastAsia="TimesNewRomanPS"/>
          <w:sz w:val="22"/>
          <w:szCs w:val="22"/>
        </w:rPr>
        <w:t>Identification of breast tumor mutations in BRCA1 that abolish its function in homologous DNA recombination.</w:t>
      </w:r>
      <w:proofErr w:type="gramEnd"/>
      <w:r w:rsidRPr="003A4656">
        <w:rPr>
          <w:rFonts w:eastAsia="TimesNewRomanPS"/>
          <w:sz w:val="22"/>
          <w:szCs w:val="22"/>
        </w:rPr>
        <w:t xml:space="preserve"> Cancer Res. 2010; 70(3): 988–995.</w:t>
      </w:r>
    </w:p>
    <w:p w:rsidR="00E224D4" w:rsidRPr="003A4656" w:rsidRDefault="00E224D4" w:rsidP="00653B99">
      <w:pPr>
        <w:spacing w:after="120"/>
        <w:ind w:left="0" w:right="0"/>
        <w:rPr>
          <w:sz w:val="22"/>
          <w:szCs w:val="22"/>
        </w:rPr>
      </w:pPr>
      <w:r w:rsidRPr="003A4656">
        <w:rPr>
          <w:sz w:val="22"/>
          <w:szCs w:val="22"/>
        </w:rPr>
        <w:t>Reese MG, Eeckman FH, Kulp D, Haussler D. 1997. Improved splice site detection in Genie. J Comput Biol 4:311–23.</w:t>
      </w:r>
    </w:p>
    <w:p w:rsidR="00E224D4" w:rsidRPr="003A4656" w:rsidRDefault="00E224D4" w:rsidP="00653B99">
      <w:pPr>
        <w:spacing w:after="120"/>
        <w:ind w:left="0" w:right="0"/>
        <w:rPr>
          <w:sz w:val="22"/>
          <w:szCs w:val="22"/>
        </w:rPr>
      </w:pPr>
      <w:r w:rsidRPr="003A4656">
        <w:rPr>
          <w:sz w:val="22"/>
          <w:szCs w:val="22"/>
        </w:rPr>
        <w:t>Risch H.A., McLaughlin J.R., Cole D.E., Rosen B., Bradley L., Fan I., Tang J., Li S., Zhang S., Shaw P.A., Narod S.A. Population BRCA1 and BRCA2 mutation frequencies and cancer penetrances: a kin-cohort study in Ontario, Canada. J Natl Cancer Inst. 2006 Dec 6</w:t>
      </w:r>
      <w:proofErr w:type="gramStart"/>
      <w:r w:rsidRPr="003A4656">
        <w:rPr>
          <w:sz w:val="22"/>
          <w:szCs w:val="22"/>
        </w:rPr>
        <w:t>;98</w:t>
      </w:r>
      <w:proofErr w:type="gramEnd"/>
      <w:r w:rsidRPr="003A4656">
        <w:rPr>
          <w:sz w:val="22"/>
          <w:szCs w:val="22"/>
        </w:rPr>
        <w:t xml:space="preserve">(23):1694-706. </w:t>
      </w:r>
    </w:p>
    <w:p w:rsidR="00E224D4" w:rsidRPr="003A4656" w:rsidRDefault="00E224D4" w:rsidP="00653B99">
      <w:pPr>
        <w:spacing w:after="120"/>
        <w:ind w:left="0" w:right="0"/>
        <w:rPr>
          <w:sz w:val="22"/>
          <w:szCs w:val="22"/>
        </w:rPr>
      </w:pPr>
      <w:r w:rsidRPr="003A4656">
        <w:rPr>
          <w:sz w:val="22"/>
          <w:szCs w:val="22"/>
        </w:rPr>
        <w:t>Roa B.B., Boyd A.A., Volcik K., Richards C.S. Ashkenazi Jewish population frequencies for common mutations in BRCA1 and BRCA2. Nat Genet. 1996 Oct</w:t>
      </w:r>
      <w:proofErr w:type="gramStart"/>
      <w:r w:rsidRPr="003A4656">
        <w:rPr>
          <w:sz w:val="22"/>
          <w:szCs w:val="22"/>
        </w:rPr>
        <w:t>;14</w:t>
      </w:r>
      <w:proofErr w:type="gramEnd"/>
      <w:r w:rsidRPr="003A4656">
        <w:rPr>
          <w:sz w:val="22"/>
          <w:szCs w:val="22"/>
        </w:rPr>
        <w:t xml:space="preserve">(2):185-7. </w:t>
      </w:r>
    </w:p>
    <w:p w:rsidR="00E224D4" w:rsidRPr="003A4656" w:rsidRDefault="00E224D4" w:rsidP="00653B99">
      <w:pPr>
        <w:spacing w:after="120"/>
        <w:ind w:left="0" w:right="0"/>
        <w:rPr>
          <w:sz w:val="22"/>
          <w:szCs w:val="22"/>
        </w:rPr>
      </w:pPr>
      <w:r w:rsidRPr="003A4656">
        <w:rPr>
          <w:sz w:val="22"/>
          <w:szCs w:val="22"/>
        </w:rPr>
        <w:t xml:space="preserve">Robson M.E., Storm C.D., Weitzel J., Wollins D.S., Offit K. American Society of Clinical Oncology. American Society of Clinical Oncology policy statement update: genetic and genomic testing for cancer susceptibility. </w:t>
      </w:r>
      <w:proofErr w:type="gramStart"/>
      <w:r w:rsidRPr="003A4656">
        <w:rPr>
          <w:sz w:val="22"/>
          <w:szCs w:val="22"/>
        </w:rPr>
        <w:t>J Clin Oncol.</w:t>
      </w:r>
      <w:proofErr w:type="gramEnd"/>
      <w:r w:rsidRPr="003A4656">
        <w:rPr>
          <w:sz w:val="22"/>
          <w:szCs w:val="22"/>
        </w:rPr>
        <w:t xml:space="preserve"> 2010 Feb 10</w:t>
      </w:r>
      <w:proofErr w:type="gramStart"/>
      <w:r w:rsidRPr="003A4656">
        <w:rPr>
          <w:sz w:val="22"/>
          <w:szCs w:val="22"/>
        </w:rPr>
        <w:t>;28</w:t>
      </w:r>
      <w:proofErr w:type="gramEnd"/>
      <w:r w:rsidRPr="003A4656">
        <w:rPr>
          <w:sz w:val="22"/>
          <w:szCs w:val="22"/>
        </w:rPr>
        <w:t xml:space="preserve">(5):893-901. </w:t>
      </w:r>
    </w:p>
    <w:p w:rsidR="00E224D4" w:rsidRPr="003A4656" w:rsidRDefault="00E224D4" w:rsidP="00653B99">
      <w:pPr>
        <w:spacing w:after="120"/>
        <w:ind w:left="0" w:right="0"/>
        <w:rPr>
          <w:sz w:val="22"/>
          <w:szCs w:val="22"/>
        </w:rPr>
      </w:pPr>
      <w:r w:rsidRPr="003A4656">
        <w:rPr>
          <w:sz w:val="22"/>
          <w:szCs w:val="22"/>
        </w:rPr>
        <w:t xml:space="preserve">Rodríguez J.A., Henderson </w:t>
      </w:r>
      <w:proofErr w:type="gramStart"/>
      <w:r w:rsidRPr="003A4656">
        <w:rPr>
          <w:sz w:val="22"/>
          <w:szCs w:val="22"/>
        </w:rPr>
        <w:t>B.R..</w:t>
      </w:r>
      <w:proofErr w:type="gramEnd"/>
      <w:r w:rsidRPr="003A4656">
        <w:rPr>
          <w:sz w:val="22"/>
          <w:szCs w:val="22"/>
        </w:rPr>
        <w:t xml:space="preserve"> </w:t>
      </w:r>
      <w:proofErr w:type="gramStart"/>
      <w:r w:rsidRPr="003A4656">
        <w:rPr>
          <w:sz w:val="22"/>
          <w:szCs w:val="22"/>
        </w:rPr>
        <w:t>Identification of a functional nuclear export sequence in BRCA1.</w:t>
      </w:r>
      <w:proofErr w:type="gramEnd"/>
      <w:r w:rsidRPr="003A4656">
        <w:rPr>
          <w:sz w:val="22"/>
          <w:szCs w:val="22"/>
        </w:rPr>
        <w:t xml:space="preserve"> J Biol Chem. 2000 Dec 8</w:t>
      </w:r>
      <w:proofErr w:type="gramStart"/>
      <w:r w:rsidRPr="003A4656">
        <w:rPr>
          <w:sz w:val="22"/>
          <w:szCs w:val="22"/>
        </w:rPr>
        <w:t>;275</w:t>
      </w:r>
      <w:proofErr w:type="gramEnd"/>
      <w:r w:rsidRPr="003A4656">
        <w:rPr>
          <w:sz w:val="22"/>
          <w:szCs w:val="22"/>
        </w:rPr>
        <w:t xml:space="preserve">(49):38589-96.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Rosen E.M., Fan S., Ma Y. BRCA1 regulation of transcription. </w:t>
      </w:r>
      <w:proofErr w:type="gramStart"/>
      <w:r w:rsidRPr="003A4656">
        <w:rPr>
          <w:rFonts w:eastAsia="TimesNewRomanPS"/>
          <w:sz w:val="22"/>
          <w:szCs w:val="22"/>
        </w:rPr>
        <w:t>Cancer Lett.</w:t>
      </w:r>
      <w:proofErr w:type="gramEnd"/>
      <w:r w:rsidRPr="003A4656">
        <w:rPr>
          <w:rFonts w:eastAsia="TimesNewRomanPS"/>
          <w:sz w:val="22"/>
          <w:szCs w:val="22"/>
        </w:rPr>
        <w:t xml:space="preserve"> 2006 May 18</w:t>
      </w:r>
      <w:proofErr w:type="gramStart"/>
      <w:r w:rsidRPr="003A4656">
        <w:rPr>
          <w:rFonts w:eastAsia="TimesNewRomanPS"/>
          <w:sz w:val="22"/>
          <w:szCs w:val="22"/>
        </w:rPr>
        <w:t>;236</w:t>
      </w:r>
      <w:proofErr w:type="gramEnd"/>
      <w:r w:rsidRPr="003A4656">
        <w:rPr>
          <w:rFonts w:eastAsia="TimesNewRomanPS"/>
          <w:sz w:val="22"/>
          <w:szCs w:val="22"/>
        </w:rPr>
        <w:t>(2):175-85.</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Rosen E.M., Fan S., Pestell R.G., Goldberg I.D. 2003. </w:t>
      </w:r>
      <w:proofErr w:type="gramStart"/>
      <w:r w:rsidRPr="003A4656">
        <w:rPr>
          <w:rFonts w:eastAsia="TimesNewRomanPS"/>
          <w:sz w:val="22"/>
          <w:szCs w:val="22"/>
        </w:rPr>
        <w:t>BRCA1 gene in breast cancer.</w:t>
      </w:r>
      <w:proofErr w:type="gramEnd"/>
      <w:r w:rsidRPr="003A4656">
        <w:rPr>
          <w:rFonts w:eastAsia="TimesNewRomanPS"/>
          <w:sz w:val="22"/>
          <w:szCs w:val="22"/>
        </w:rPr>
        <w:t xml:space="preserve"> J Cell Physiol 196:19–41.</w:t>
      </w:r>
    </w:p>
    <w:p w:rsidR="00E224D4" w:rsidRPr="003A4656" w:rsidRDefault="00E224D4" w:rsidP="00653B99">
      <w:pPr>
        <w:spacing w:after="120"/>
        <w:ind w:left="0" w:right="0"/>
        <w:rPr>
          <w:rFonts w:eastAsiaTheme="minorHAnsi"/>
          <w:sz w:val="22"/>
          <w:szCs w:val="22"/>
        </w:rPr>
      </w:pPr>
      <w:r w:rsidRPr="003A4656">
        <w:rPr>
          <w:sz w:val="22"/>
          <w:szCs w:val="22"/>
        </w:rPr>
        <w:t xml:space="preserve">Roy R., Jarin C. and Powell S. BRCA1 and BRCA2: different roles in a common pathway of genome protection. </w:t>
      </w:r>
      <w:proofErr w:type="gramStart"/>
      <w:r w:rsidRPr="003A4656">
        <w:rPr>
          <w:sz w:val="22"/>
          <w:szCs w:val="22"/>
        </w:rPr>
        <w:t>Nature.</w:t>
      </w:r>
      <w:proofErr w:type="gramEnd"/>
      <w:r w:rsidRPr="003A4656">
        <w:rPr>
          <w:sz w:val="22"/>
          <w:szCs w:val="22"/>
        </w:rPr>
        <w:t xml:space="preserve"> 2012. Volume 12</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Sarkar M., Magliery T.J. Re-engineering a split-GFP reassembly screen to examine RING-domain interactions between BARD1 and BRCA1 mutants observed in cancer patients. </w:t>
      </w:r>
      <w:proofErr w:type="gramStart"/>
      <w:r w:rsidRPr="003A4656">
        <w:rPr>
          <w:rFonts w:eastAsia="TimesNewRomanPS"/>
          <w:sz w:val="22"/>
          <w:szCs w:val="22"/>
        </w:rPr>
        <w:t>Mol Biosyst.</w:t>
      </w:r>
      <w:proofErr w:type="gramEnd"/>
      <w:r w:rsidRPr="003A4656">
        <w:rPr>
          <w:rFonts w:eastAsia="TimesNewRomanPS"/>
          <w:sz w:val="22"/>
          <w:szCs w:val="22"/>
        </w:rPr>
        <w:t xml:space="preserve"> 2008; 4(6):599–605.</w:t>
      </w:r>
    </w:p>
    <w:p w:rsidR="00E224D4" w:rsidRPr="003A4656" w:rsidRDefault="00E224D4" w:rsidP="00653B99">
      <w:pPr>
        <w:spacing w:after="120"/>
        <w:ind w:left="0" w:right="0"/>
        <w:rPr>
          <w:sz w:val="22"/>
          <w:szCs w:val="22"/>
        </w:rPr>
      </w:pPr>
      <w:r w:rsidRPr="003A4656">
        <w:rPr>
          <w:sz w:val="22"/>
          <w:szCs w:val="22"/>
        </w:rPr>
        <w:t>Schmidt L, Duh FM, Chen F, Kishida T, Glenn G, Choyke P, Scherer SW, Zhuang Z, Lubensky I, Dean M, Allikmets R, Chidambaram A, Bergerheim UR, Feltis JT, Casadevall C, Zamarron A, Bernues M, Richard S, Lips CJ, Walther MM, Tsui LC, Geil L, Orcutt ML, Stackhouse T, Lipan J, Slife L, Brauch H, Decker J, Niehans G, Hughson MD, Moch H, Storkel S, Lerman MI, Linehan WM, Zbar B. Germline and somatic mutations in the tyrosine kinase domain of the MET proto-oncogene in papillary renal carcinomas. Nat Genet. 1997 May</w:t>
      </w:r>
      <w:proofErr w:type="gramStart"/>
      <w:r w:rsidRPr="003A4656">
        <w:rPr>
          <w:sz w:val="22"/>
          <w:szCs w:val="22"/>
        </w:rPr>
        <w:t>;16</w:t>
      </w:r>
      <w:proofErr w:type="gramEnd"/>
      <w:r w:rsidRPr="003A4656">
        <w:rPr>
          <w:sz w:val="22"/>
          <w:szCs w:val="22"/>
        </w:rPr>
        <w:t xml:space="preserve">(1):68-73.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Scully R., Chen J., Ochs R.L., Keegan K., Hoekstra M., Feunteun J., Livingston D.M. Dynamic changes of BRCA1 subnuclear location and phosphorylation state are initiated by DNA damage. </w:t>
      </w:r>
      <w:proofErr w:type="gramStart"/>
      <w:r w:rsidRPr="003A4656">
        <w:rPr>
          <w:rFonts w:eastAsia="TimesNewRomanPS"/>
          <w:sz w:val="22"/>
          <w:szCs w:val="22"/>
        </w:rPr>
        <w:t>Cell.</w:t>
      </w:r>
      <w:proofErr w:type="gramEnd"/>
      <w:r w:rsidRPr="003A4656">
        <w:rPr>
          <w:rFonts w:eastAsia="TimesNewRomanPS"/>
          <w:sz w:val="22"/>
          <w:szCs w:val="22"/>
        </w:rPr>
        <w:t xml:space="preserve"> 1997 Aug 8</w:t>
      </w:r>
      <w:proofErr w:type="gramStart"/>
      <w:r w:rsidRPr="003A4656">
        <w:rPr>
          <w:rFonts w:eastAsia="TimesNewRomanPS"/>
          <w:sz w:val="22"/>
          <w:szCs w:val="22"/>
        </w:rPr>
        <w:t>;90</w:t>
      </w:r>
      <w:proofErr w:type="gramEnd"/>
      <w:r w:rsidRPr="003A4656">
        <w:rPr>
          <w:rFonts w:eastAsia="TimesNewRomanPS"/>
          <w:sz w:val="22"/>
          <w:szCs w:val="22"/>
        </w:rPr>
        <w:t xml:space="preserve">(3):425-35. </w:t>
      </w:r>
    </w:p>
    <w:p w:rsidR="00E224D4" w:rsidRPr="003A4656" w:rsidRDefault="00E224D4" w:rsidP="00653B99">
      <w:pPr>
        <w:spacing w:after="120"/>
        <w:ind w:left="0" w:right="0"/>
        <w:rPr>
          <w:sz w:val="22"/>
          <w:szCs w:val="22"/>
        </w:rPr>
      </w:pPr>
      <w:r w:rsidRPr="003A4656">
        <w:rPr>
          <w:sz w:val="22"/>
          <w:szCs w:val="22"/>
        </w:rPr>
        <w:t xml:space="preserve">Shapiro MB, Senapathy P. 1987. RNA </w:t>
      </w:r>
      <w:proofErr w:type="gramStart"/>
      <w:r w:rsidRPr="003A4656">
        <w:rPr>
          <w:sz w:val="22"/>
          <w:szCs w:val="22"/>
        </w:rPr>
        <w:t>splice</w:t>
      </w:r>
      <w:proofErr w:type="gramEnd"/>
      <w:r w:rsidRPr="003A4656">
        <w:rPr>
          <w:sz w:val="22"/>
          <w:szCs w:val="22"/>
        </w:rPr>
        <w:t xml:space="preserve"> junctions of different classes of eukaryotes: sequence statistics and functional implications in gene expression. Nucleic Acids Res 15:7155–7174.</w:t>
      </w:r>
    </w:p>
    <w:p w:rsidR="00E224D4" w:rsidRPr="003A4656" w:rsidRDefault="00E224D4" w:rsidP="00653B99">
      <w:pPr>
        <w:spacing w:after="120"/>
        <w:ind w:left="0" w:right="0"/>
        <w:rPr>
          <w:sz w:val="22"/>
          <w:szCs w:val="22"/>
        </w:rPr>
      </w:pPr>
      <w:r w:rsidRPr="003A4656">
        <w:rPr>
          <w:sz w:val="22"/>
          <w:szCs w:val="22"/>
        </w:rPr>
        <w:t xml:space="preserve">Sharan S.K., Bradley A. Identification and characterization of a </w:t>
      </w:r>
      <w:proofErr w:type="gramStart"/>
      <w:r w:rsidRPr="003A4656">
        <w:rPr>
          <w:sz w:val="22"/>
          <w:szCs w:val="22"/>
        </w:rPr>
        <w:t>microsatellite  marker</w:t>
      </w:r>
      <w:proofErr w:type="gramEnd"/>
      <w:r w:rsidRPr="003A4656">
        <w:rPr>
          <w:sz w:val="22"/>
          <w:szCs w:val="22"/>
        </w:rPr>
        <w:t xml:space="preserve"> within murine Brca2 gene. Mamm Genome. 1997 Jan</w:t>
      </w:r>
      <w:proofErr w:type="gramStart"/>
      <w:r w:rsidRPr="003A4656">
        <w:rPr>
          <w:sz w:val="22"/>
          <w:szCs w:val="22"/>
        </w:rPr>
        <w:t>;8</w:t>
      </w:r>
      <w:proofErr w:type="gramEnd"/>
      <w:r w:rsidRPr="003A4656">
        <w:rPr>
          <w:sz w:val="22"/>
          <w:szCs w:val="22"/>
        </w:rPr>
        <w:t xml:space="preserve">(1):79. </w:t>
      </w:r>
    </w:p>
    <w:p w:rsidR="00E224D4" w:rsidRPr="003A4656" w:rsidRDefault="00E224D4" w:rsidP="00653B99">
      <w:pPr>
        <w:spacing w:after="120"/>
        <w:ind w:left="0" w:right="0"/>
        <w:rPr>
          <w:sz w:val="22"/>
          <w:szCs w:val="22"/>
        </w:rPr>
      </w:pPr>
      <w:r w:rsidRPr="003A4656">
        <w:rPr>
          <w:sz w:val="22"/>
          <w:szCs w:val="22"/>
        </w:rPr>
        <w:t>Smith SA, Easton DF, Evans DG, Ponder BA. Allele losses in the region 17q12-21 in familial breast and ovarian cancer involve the wild-type chromosome. Nat Genet. 1992 Oct</w:t>
      </w:r>
      <w:proofErr w:type="gramStart"/>
      <w:r w:rsidRPr="003A4656">
        <w:rPr>
          <w:sz w:val="22"/>
          <w:szCs w:val="22"/>
        </w:rPr>
        <w:t>;2</w:t>
      </w:r>
      <w:proofErr w:type="gramEnd"/>
      <w:r w:rsidRPr="003A4656">
        <w:rPr>
          <w:sz w:val="22"/>
          <w:szCs w:val="22"/>
        </w:rPr>
        <w:t xml:space="preserve">(2):128-31.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Spurdle A.B., Healey S., Devereau A., Hogervorst F.B., Monteiro A.N., Nathanson K.L., Radice P., Stoppa-Lyonnet D., Tavtigian S., Wappenschmidt B., Couch F.J., Goldgar D.E.; ENIGMA. ENIGMA--evidence-based network for the interpretation of germline </w:t>
      </w:r>
      <w:proofErr w:type="gramStart"/>
      <w:r w:rsidRPr="003A4656">
        <w:rPr>
          <w:rFonts w:eastAsia="TimesNewRomanPS"/>
          <w:sz w:val="22"/>
          <w:szCs w:val="22"/>
        </w:rPr>
        <w:t>mutant  alleles</w:t>
      </w:r>
      <w:proofErr w:type="gramEnd"/>
      <w:r w:rsidRPr="003A4656">
        <w:rPr>
          <w:rFonts w:eastAsia="TimesNewRomanPS"/>
          <w:sz w:val="22"/>
          <w:szCs w:val="22"/>
        </w:rPr>
        <w:t>: an international initiative to evaluate risk and clinical significance associated with sequence variation in BRCA1 and BRCA2 genes. Hum Mutat. 2012 Jan</w:t>
      </w:r>
      <w:proofErr w:type="gramStart"/>
      <w:r w:rsidRPr="003A4656">
        <w:rPr>
          <w:rFonts w:eastAsia="TimesNewRomanPS"/>
          <w:sz w:val="22"/>
          <w:szCs w:val="22"/>
        </w:rPr>
        <w:t>;33</w:t>
      </w:r>
      <w:proofErr w:type="gramEnd"/>
      <w:r w:rsidRPr="003A4656">
        <w:rPr>
          <w:rFonts w:eastAsia="TimesNewRomanPS"/>
          <w:sz w:val="22"/>
          <w:szCs w:val="22"/>
        </w:rPr>
        <w:t>(1):2-7.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Spurdle AB. Clinical relevance of rare germline sequence variants in cancer genes: evolution and application of classification models. Curr Opin Genet Dev. 2010 Jun</w:t>
      </w:r>
      <w:proofErr w:type="gramStart"/>
      <w:r w:rsidRPr="003A4656">
        <w:rPr>
          <w:rFonts w:eastAsia="TimesNewRomanPS"/>
          <w:sz w:val="22"/>
          <w:szCs w:val="22"/>
        </w:rPr>
        <w:t>;20</w:t>
      </w:r>
      <w:proofErr w:type="gramEnd"/>
      <w:r w:rsidRPr="003A4656">
        <w:rPr>
          <w:rFonts w:eastAsia="TimesNewRomanPS"/>
          <w:sz w:val="22"/>
          <w:szCs w:val="22"/>
        </w:rPr>
        <w:t xml:space="preserve">(3):315-23.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Starita LM, Parvin JD. </w:t>
      </w:r>
      <w:proofErr w:type="gramStart"/>
      <w:r w:rsidRPr="003A4656">
        <w:rPr>
          <w:rFonts w:eastAsia="TimesNewRomanPS"/>
          <w:sz w:val="22"/>
          <w:szCs w:val="22"/>
        </w:rPr>
        <w:t>Substrates of the BRCA1-dependent ubiquitin ligase.</w:t>
      </w:r>
      <w:proofErr w:type="gramEnd"/>
      <w:r w:rsidRPr="003A4656">
        <w:rPr>
          <w:rFonts w:eastAsia="TimesNewRomanPS"/>
          <w:sz w:val="22"/>
          <w:szCs w:val="22"/>
        </w:rPr>
        <w:t xml:space="preserve"> </w:t>
      </w:r>
      <w:proofErr w:type="gramStart"/>
      <w:r w:rsidRPr="003A4656">
        <w:rPr>
          <w:rFonts w:eastAsia="TimesNewRomanPS"/>
          <w:sz w:val="22"/>
          <w:szCs w:val="22"/>
        </w:rPr>
        <w:t>Cancer Biol Ther.</w:t>
      </w:r>
      <w:proofErr w:type="gramEnd"/>
      <w:r w:rsidRPr="003A4656">
        <w:rPr>
          <w:rFonts w:eastAsia="TimesNewRomanPS"/>
          <w:sz w:val="22"/>
          <w:szCs w:val="22"/>
        </w:rPr>
        <w:t xml:space="preserve"> 2006 Feb</w:t>
      </w:r>
      <w:proofErr w:type="gramStart"/>
      <w:r w:rsidRPr="003A4656">
        <w:rPr>
          <w:rFonts w:eastAsia="TimesNewRomanPS"/>
          <w:sz w:val="22"/>
          <w:szCs w:val="22"/>
        </w:rPr>
        <w:t>;5</w:t>
      </w:r>
      <w:proofErr w:type="gramEnd"/>
      <w:r w:rsidRPr="003A4656">
        <w:rPr>
          <w:rFonts w:eastAsia="TimesNewRomanPS"/>
          <w:sz w:val="22"/>
          <w:szCs w:val="22"/>
        </w:rPr>
        <w:t xml:space="preserve">(2):137-41. Epub 2006 Feb 4. </w:t>
      </w:r>
      <w:proofErr w:type="gramStart"/>
      <w:r w:rsidRPr="003A4656">
        <w:rPr>
          <w:rFonts w:eastAsia="TimesNewRomanPS"/>
          <w:sz w:val="22"/>
          <w:szCs w:val="22"/>
        </w:rPr>
        <w:t>Review.</w:t>
      </w:r>
      <w:proofErr w:type="gramEnd"/>
      <w:r w:rsidRPr="003A4656">
        <w:rPr>
          <w:rFonts w:eastAsia="TimesNewRomanPS"/>
          <w:sz w:val="22"/>
          <w:szCs w:val="22"/>
        </w:rPr>
        <w:t xml:space="preserve"> PubMed PMID: 16479151.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Sweet K., Senter L., Pilarski R., Wei L., Toland A.E. Characterization of BRCA1 ring finger variants of uncertain significance. Breast Cancer Res Treat. 2010 Feb</w:t>
      </w:r>
      <w:proofErr w:type="gramStart"/>
      <w:r w:rsidRPr="003A4656">
        <w:rPr>
          <w:rFonts w:eastAsia="TimesNewRomanPS"/>
          <w:sz w:val="22"/>
          <w:szCs w:val="22"/>
        </w:rPr>
        <w:t>;119</w:t>
      </w:r>
      <w:proofErr w:type="gramEnd"/>
      <w:r w:rsidRPr="003A4656">
        <w:rPr>
          <w:rFonts w:eastAsia="TimesNewRomanPS"/>
          <w:sz w:val="22"/>
          <w:szCs w:val="22"/>
        </w:rPr>
        <w:t>(3):737-43</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Tavtigian S.V., Greenblatt M.S., Goldgar D.E., Boffetta P.; IARC Unclassified Genetic Variants Working Group. </w:t>
      </w:r>
      <w:proofErr w:type="gramStart"/>
      <w:r w:rsidRPr="003A4656">
        <w:rPr>
          <w:rFonts w:eastAsia="TimesNewRomanPS"/>
          <w:sz w:val="22"/>
          <w:szCs w:val="22"/>
        </w:rPr>
        <w:t>Assessing pathogenicity: overview of results from the IARC Unclassified Genetic Variants Working Group.</w:t>
      </w:r>
      <w:proofErr w:type="gramEnd"/>
      <w:r w:rsidRPr="003A4656">
        <w:rPr>
          <w:rFonts w:eastAsia="TimesNewRomanPS"/>
          <w:sz w:val="22"/>
          <w:szCs w:val="22"/>
        </w:rPr>
        <w:t xml:space="preserve"> Hum Mutat. 2008 Nov</w:t>
      </w:r>
      <w:proofErr w:type="gramStart"/>
      <w:r w:rsidRPr="003A4656">
        <w:rPr>
          <w:rFonts w:eastAsia="TimesNewRomanPS"/>
          <w:sz w:val="22"/>
          <w:szCs w:val="22"/>
        </w:rPr>
        <w:t>;29</w:t>
      </w:r>
      <w:proofErr w:type="gramEnd"/>
      <w:r w:rsidRPr="003A4656">
        <w:rPr>
          <w:rFonts w:eastAsia="TimesNewRomanPS"/>
          <w:sz w:val="22"/>
          <w:szCs w:val="22"/>
        </w:rPr>
        <w:t>(11):1261-4.</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Tavtigian S.V.; Samollow P.B.; de Silva D.; Thomas A.</w:t>
      </w:r>
      <w:proofErr w:type="gramEnd"/>
      <w:r w:rsidRPr="003A4656">
        <w:rPr>
          <w:rFonts w:eastAsia="TimesNewRomanPS"/>
          <w:sz w:val="22"/>
          <w:szCs w:val="22"/>
        </w:rPr>
        <w:t xml:space="preserve"> </w:t>
      </w:r>
      <w:proofErr w:type="gramStart"/>
      <w:r w:rsidRPr="003A4656">
        <w:rPr>
          <w:rFonts w:eastAsia="TimesNewRomanPS"/>
          <w:sz w:val="22"/>
          <w:szCs w:val="22"/>
        </w:rPr>
        <w:t>An analysis of unclassified missense substitutions in human brca1.</w:t>
      </w:r>
      <w:proofErr w:type="gramEnd"/>
      <w:r w:rsidRPr="003A4656">
        <w:rPr>
          <w:rFonts w:eastAsia="TimesNewRomanPS"/>
          <w:sz w:val="22"/>
          <w:szCs w:val="22"/>
        </w:rPr>
        <w:t xml:space="preserve"> Fam. Cancer 2006, 5, 77–88.</w:t>
      </w:r>
    </w:p>
    <w:p w:rsidR="00E224D4" w:rsidRPr="003A4656" w:rsidRDefault="00E224D4" w:rsidP="00653B99">
      <w:pPr>
        <w:spacing w:after="120"/>
        <w:ind w:left="0" w:right="0"/>
        <w:rPr>
          <w:sz w:val="22"/>
          <w:szCs w:val="22"/>
        </w:rPr>
      </w:pPr>
      <w:proofErr w:type="gramStart"/>
      <w:r w:rsidRPr="003A4656">
        <w:rPr>
          <w:sz w:val="22"/>
          <w:szCs w:val="22"/>
        </w:rPr>
        <w:t>Tchernitchko D., Goossens, M. &amp; Wajcman, H.</w:t>
      </w:r>
      <w:proofErr w:type="gramEnd"/>
      <w:r w:rsidRPr="003A4656">
        <w:rPr>
          <w:sz w:val="22"/>
          <w:szCs w:val="22"/>
        </w:rPr>
        <w:t xml:space="preserve"> In silico prediction of the deleterious effect of a mutation: proceed with caution in clinical genetics. </w:t>
      </w:r>
      <w:proofErr w:type="gramStart"/>
      <w:r w:rsidRPr="003A4656">
        <w:rPr>
          <w:sz w:val="22"/>
          <w:szCs w:val="22"/>
        </w:rPr>
        <w:t>Clin.</w:t>
      </w:r>
      <w:proofErr w:type="gramEnd"/>
      <w:r w:rsidRPr="003A4656">
        <w:rPr>
          <w:sz w:val="22"/>
          <w:szCs w:val="22"/>
        </w:rPr>
        <w:t xml:space="preserve"> </w:t>
      </w:r>
      <w:proofErr w:type="gramStart"/>
      <w:r w:rsidRPr="003A4656">
        <w:rPr>
          <w:sz w:val="22"/>
          <w:szCs w:val="22"/>
        </w:rPr>
        <w:t>Chem. 50, 1974–8 (2004).</w:t>
      </w:r>
      <w:proofErr w:type="gramEnd"/>
      <w:r w:rsidRPr="003A4656">
        <w:rPr>
          <w:sz w:val="22"/>
          <w:szCs w:val="22"/>
        </w:rPr>
        <w:t xml:space="preserve"> </w:t>
      </w:r>
    </w:p>
    <w:p w:rsidR="00E224D4" w:rsidRPr="003A4656" w:rsidRDefault="00785CBF" w:rsidP="00653B99">
      <w:pPr>
        <w:spacing w:after="120"/>
        <w:ind w:left="0" w:right="0"/>
        <w:rPr>
          <w:rFonts w:eastAsia="TimesNewRomanPS"/>
          <w:sz w:val="22"/>
          <w:szCs w:val="22"/>
        </w:rPr>
      </w:pPr>
      <w:hyperlink r:id="rId75" w:history="1">
        <w:r w:rsidR="00E224D4" w:rsidRPr="003A4656">
          <w:rPr>
            <w:rFonts w:eastAsia="TimesNewRomanPS"/>
            <w:sz w:val="22"/>
            <w:szCs w:val="22"/>
          </w:rPr>
          <w:t>Thomas P.D</w:t>
        </w:r>
      </w:hyperlink>
      <w:r w:rsidR="00E224D4" w:rsidRPr="003A4656">
        <w:rPr>
          <w:rFonts w:eastAsia="TimesNewRomanPS"/>
          <w:sz w:val="22"/>
          <w:szCs w:val="22"/>
        </w:rPr>
        <w:t xml:space="preserve">., </w:t>
      </w:r>
      <w:hyperlink r:id="rId76" w:history="1">
        <w:r w:rsidR="00E224D4" w:rsidRPr="003A4656">
          <w:rPr>
            <w:rFonts w:eastAsia="TimesNewRomanPS"/>
            <w:sz w:val="22"/>
            <w:szCs w:val="22"/>
          </w:rPr>
          <w:t>Campbell MJ</w:t>
        </w:r>
      </w:hyperlink>
      <w:r w:rsidR="00E224D4" w:rsidRPr="003A4656">
        <w:rPr>
          <w:rFonts w:eastAsia="TimesNewRomanPS"/>
          <w:sz w:val="22"/>
          <w:szCs w:val="22"/>
        </w:rPr>
        <w:t xml:space="preserve">, </w:t>
      </w:r>
      <w:hyperlink r:id="rId77" w:history="1">
        <w:r w:rsidR="00E224D4" w:rsidRPr="003A4656">
          <w:rPr>
            <w:rFonts w:eastAsia="TimesNewRomanPS"/>
            <w:sz w:val="22"/>
            <w:szCs w:val="22"/>
          </w:rPr>
          <w:t>Kejariwal A</w:t>
        </w:r>
      </w:hyperlink>
      <w:r w:rsidR="00E224D4" w:rsidRPr="003A4656">
        <w:rPr>
          <w:rFonts w:eastAsia="TimesNewRomanPS"/>
          <w:sz w:val="22"/>
          <w:szCs w:val="22"/>
        </w:rPr>
        <w:t xml:space="preserve">, </w:t>
      </w:r>
      <w:hyperlink r:id="rId78" w:history="1">
        <w:r w:rsidR="00E224D4" w:rsidRPr="003A4656">
          <w:rPr>
            <w:rFonts w:eastAsia="TimesNewRomanPS"/>
            <w:sz w:val="22"/>
            <w:szCs w:val="22"/>
          </w:rPr>
          <w:t>Mi H</w:t>
        </w:r>
      </w:hyperlink>
      <w:r w:rsidR="00E224D4" w:rsidRPr="003A4656">
        <w:rPr>
          <w:rFonts w:eastAsia="TimesNewRomanPS"/>
          <w:sz w:val="22"/>
          <w:szCs w:val="22"/>
        </w:rPr>
        <w:t xml:space="preserve">, </w:t>
      </w:r>
      <w:hyperlink r:id="rId79" w:history="1">
        <w:r w:rsidR="00E224D4" w:rsidRPr="003A4656">
          <w:rPr>
            <w:rFonts w:eastAsia="TimesNewRomanPS"/>
            <w:sz w:val="22"/>
            <w:szCs w:val="22"/>
          </w:rPr>
          <w:t>Karlak B</w:t>
        </w:r>
      </w:hyperlink>
      <w:r w:rsidR="00E224D4" w:rsidRPr="003A4656">
        <w:rPr>
          <w:rFonts w:eastAsia="TimesNewRomanPS"/>
          <w:sz w:val="22"/>
          <w:szCs w:val="22"/>
        </w:rPr>
        <w:t xml:space="preserve">, </w:t>
      </w:r>
      <w:hyperlink r:id="rId80" w:history="1">
        <w:r w:rsidR="00E224D4" w:rsidRPr="003A4656">
          <w:rPr>
            <w:rFonts w:eastAsia="TimesNewRomanPS"/>
            <w:sz w:val="22"/>
            <w:szCs w:val="22"/>
          </w:rPr>
          <w:t>Daverman R</w:t>
        </w:r>
      </w:hyperlink>
      <w:r w:rsidR="00E224D4" w:rsidRPr="003A4656">
        <w:rPr>
          <w:rFonts w:eastAsia="TimesNewRomanPS"/>
          <w:sz w:val="22"/>
          <w:szCs w:val="22"/>
        </w:rPr>
        <w:t xml:space="preserve">, </w:t>
      </w:r>
      <w:hyperlink r:id="rId81" w:history="1">
        <w:r w:rsidR="00E224D4" w:rsidRPr="003A4656">
          <w:rPr>
            <w:rFonts w:eastAsia="TimesNewRomanPS"/>
            <w:sz w:val="22"/>
            <w:szCs w:val="22"/>
          </w:rPr>
          <w:t>Diemer K</w:t>
        </w:r>
      </w:hyperlink>
      <w:r w:rsidR="00E224D4" w:rsidRPr="003A4656">
        <w:rPr>
          <w:rFonts w:eastAsia="TimesNewRomanPS"/>
          <w:sz w:val="22"/>
          <w:szCs w:val="22"/>
        </w:rPr>
        <w:t xml:space="preserve">, </w:t>
      </w:r>
      <w:hyperlink r:id="rId82" w:history="1">
        <w:r w:rsidR="00E224D4" w:rsidRPr="003A4656">
          <w:rPr>
            <w:rFonts w:eastAsia="TimesNewRomanPS"/>
            <w:sz w:val="22"/>
            <w:szCs w:val="22"/>
          </w:rPr>
          <w:t>Muruganujan A</w:t>
        </w:r>
      </w:hyperlink>
      <w:r w:rsidR="00E224D4" w:rsidRPr="003A4656">
        <w:rPr>
          <w:rFonts w:eastAsia="TimesNewRomanPS"/>
          <w:sz w:val="22"/>
          <w:szCs w:val="22"/>
        </w:rPr>
        <w:t xml:space="preserve">, </w:t>
      </w:r>
      <w:hyperlink r:id="rId83" w:history="1">
        <w:r w:rsidR="00E224D4" w:rsidRPr="003A4656">
          <w:rPr>
            <w:rFonts w:eastAsia="TimesNewRomanPS"/>
            <w:sz w:val="22"/>
            <w:szCs w:val="22"/>
          </w:rPr>
          <w:t>Narechania A</w:t>
        </w:r>
      </w:hyperlink>
      <w:r w:rsidR="00E224D4" w:rsidRPr="003A4656">
        <w:rPr>
          <w:rFonts w:eastAsia="TimesNewRomanPS"/>
          <w:sz w:val="22"/>
          <w:szCs w:val="22"/>
        </w:rPr>
        <w:t xml:space="preserve">. PANTHER: a library of protein families and subfamilies indexed by function. </w:t>
      </w:r>
      <w:hyperlink r:id="rId84" w:tooltip="Genome research." w:history="1">
        <w:r w:rsidR="00E224D4" w:rsidRPr="003A4656">
          <w:rPr>
            <w:rFonts w:eastAsia="TimesNewRomanPS"/>
            <w:sz w:val="22"/>
            <w:szCs w:val="22"/>
          </w:rPr>
          <w:t>Genome Res.</w:t>
        </w:r>
      </w:hyperlink>
      <w:r w:rsidR="00E224D4" w:rsidRPr="003A4656">
        <w:rPr>
          <w:rFonts w:eastAsia="TimesNewRomanPS"/>
          <w:sz w:val="22"/>
          <w:szCs w:val="22"/>
        </w:rPr>
        <w:t xml:space="preserve"> 2003 Sep</w:t>
      </w:r>
      <w:proofErr w:type="gramStart"/>
      <w:r w:rsidR="00E224D4" w:rsidRPr="003A4656">
        <w:rPr>
          <w:rFonts w:eastAsia="TimesNewRomanPS"/>
          <w:sz w:val="22"/>
          <w:szCs w:val="22"/>
        </w:rPr>
        <w:t>;13</w:t>
      </w:r>
      <w:proofErr w:type="gramEnd"/>
      <w:r w:rsidR="00E224D4" w:rsidRPr="003A4656">
        <w:rPr>
          <w:rFonts w:eastAsia="TimesNewRomanPS"/>
          <w:sz w:val="22"/>
          <w:szCs w:val="22"/>
        </w:rPr>
        <w:t>(9):2129-41.</w:t>
      </w:r>
    </w:p>
    <w:p w:rsidR="00E224D4" w:rsidRPr="003A4656" w:rsidRDefault="00E224D4" w:rsidP="00653B99">
      <w:pPr>
        <w:spacing w:after="120"/>
        <w:ind w:left="0" w:right="0"/>
        <w:rPr>
          <w:sz w:val="22"/>
          <w:szCs w:val="22"/>
        </w:rPr>
      </w:pPr>
      <w:r w:rsidRPr="003A4656">
        <w:rPr>
          <w:sz w:val="22"/>
          <w:szCs w:val="22"/>
        </w:rPr>
        <w:t>Ting N.S., Lee W.H. The DNA double-strand break response pathway: becoming more BRCAish than ever. DNA Repair (Amst). 2004 Aug-Sep</w:t>
      </w:r>
      <w:proofErr w:type="gramStart"/>
      <w:r w:rsidRPr="003A4656">
        <w:rPr>
          <w:sz w:val="22"/>
          <w:szCs w:val="22"/>
        </w:rPr>
        <w:t>;3</w:t>
      </w:r>
      <w:proofErr w:type="gramEnd"/>
      <w:r w:rsidRPr="003A4656">
        <w:rPr>
          <w:sz w:val="22"/>
          <w:szCs w:val="22"/>
        </w:rPr>
        <w:t xml:space="preserve">(8-9):935-44. </w:t>
      </w:r>
    </w:p>
    <w:p w:rsidR="00E224D4" w:rsidRPr="003A4656" w:rsidRDefault="00E224D4" w:rsidP="00653B99">
      <w:pPr>
        <w:spacing w:after="120"/>
        <w:ind w:left="0" w:right="0"/>
        <w:rPr>
          <w:sz w:val="22"/>
          <w:szCs w:val="22"/>
        </w:rPr>
      </w:pPr>
      <w:r w:rsidRPr="003A4656">
        <w:rPr>
          <w:sz w:val="22"/>
          <w:szCs w:val="22"/>
        </w:rPr>
        <w:t>Trepanier A., Ahrens M, McKinnon W, Peters J, Stopfer J, Grumet SC, Manley S, Culver JO, Acton R, Larsen-Haidle J, Correia LA, Bennett R, Pettersen B, Ferlita TD, Costalas JW, Hunt K, Donlon S, Skrzynia C, Farrell C, Callif-Daley F, Vockley CW; National Society of Genetic Counselors. Genetic cancer risk assessment and counseling: recommendations of the national society of genetic counselors. JGenet Couns. 2004 Apr</w:t>
      </w:r>
      <w:proofErr w:type="gramStart"/>
      <w:r w:rsidRPr="003A4656">
        <w:rPr>
          <w:sz w:val="22"/>
          <w:szCs w:val="22"/>
        </w:rPr>
        <w:t>;13</w:t>
      </w:r>
      <w:proofErr w:type="gramEnd"/>
      <w:r w:rsidRPr="003A4656">
        <w:rPr>
          <w:sz w:val="22"/>
          <w:szCs w:val="22"/>
        </w:rPr>
        <w:t xml:space="preserve">(2):83-114. </w:t>
      </w:r>
      <w:proofErr w:type="gramStart"/>
      <w:r w:rsidRPr="003A4656">
        <w:rPr>
          <w:sz w:val="22"/>
          <w:szCs w:val="22"/>
        </w:rPr>
        <w:t>Review.</w:t>
      </w:r>
      <w:proofErr w:type="gramEnd"/>
      <w:r w:rsidRPr="003A4656">
        <w:rPr>
          <w:sz w:val="22"/>
          <w:szCs w:val="22"/>
        </w:rPr>
        <w:t xml:space="preserve"> </w:t>
      </w:r>
    </w:p>
    <w:p w:rsidR="00E224D4" w:rsidRPr="003A4656" w:rsidRDefault="00E224D4" w:rsidP="00653B99">
      <w:pPr>
        <w:spacing w:after="120"/>
        <w:ind w:left="0" w:right="0"/>
        <w:rPr>
          <w:sz w:val="22"/>
          <w:szCs w:val="22"/>
        </w:rPr>
      </w:pPr>
      <w:r w:rsidRPr="003A4656">
        <w:rPr>
          <w:sz w:val="22"/>
          <w:szCs w:val="22"/>
        </w:rPr>
        <w:t>Turchetti D, Cortesi L, Federico M, Bertoni C, Mangone L, Ferrari S, Silingardi V. BRCA1 mutations and clinicopathological features in a sample of Italian women with early-onset breast cancer. Eur J Cancer. 2000 Oct</w:t>
      </w:r>
      <w:proofErr w:type="gramStart"/>
      <w:r w:rsidRPr="003A4656">
        <w:rPr>
          <w:sz w:val="22"/>
          <w:szCs w:val="22"/>
        </w:rPr>
        <w:t>;36</w:t>
      </w:r>
      <w:proofErr w:type="gramEnd"/>
      <w:r w:rsidRPr="003A4656">
        <w:rPr>
          <w:sz w:val="22"/>
          <w:szCs w:val="22"/>
        </w:rPr>
        <w:t>(16):2083-9.</w:t>
      </w:r>
    </w:p>
    <w:p w:rsidR="00E224D4" w:rsidRPr="003A4656" w:rsidRDefault="00E224D4" w:rsidP="00E224D4">
      <w:pPr>
        <w:spacing w:after="120"/>
        <w:ind w:left="0" w:right="0"/>
        <w:rPr>
          <w:rFonts w:eastAsia="TimesNewRomanPS"/>
          <w:sz w:val="22"/>
          <w:szCs w:val="22"/>
        </w:rPr>
      </w:pPr>
      <w:r w:rsidRPr="00E224D4">
        <w:rPr>
          <w:rFonts w:eastAsia="TimesNewRomanPS"/>
          <w:sz w:val="22"/>
          <w:szCs w:val="22"/>
        </w:rPr>
        <w:t>Vallée MP, Francy TC, Judkins MK, Babikyan D, Lesueur F, Gammon A, Goldgar DE,</w:t>
      </w:r>
      <w:r>
        <w:rPr>
          <w:rFonts w:eastAsia="TimesNewRomanPS"/>
          <w:sz w:val="22"/>
          <w:szCs w:val="22"/>
        </w:rPr>
        <w:t xml:space="preserve"> </w:t>
      </w:r>
      <w:r w:rsidRPr="00E224D4">
        <w:rPr>
          <w:rFonts w:eastAsia="TimesNewRomanPS"/>
          <w:sz w:val="22"/>
          <w:szCs w:val="22"/>
        </w:rPr>
        <w:t>Couch FJ, Tavtigian SV. Classification of missense substitutions in the BRCA</w:t>
      </w:r>
      <w:r>
        <w:rPr>
          <w:rFonts w:eastAsia="TimesNewRomanPS"/>
          <w:sz w:val="22"/>
          <w:szCs w:val="22"/>
        </w:rPr>
        <w:t xml:space="preserve"> </w:t>
      </w:r>
      <w:r w:rsidRPr="00E224D4">
        <w:rPr>
          <w:rFonts w:eastAsia="TimesNewRomanPS"/>
          <w:sz w:val="22"/>
          <w:szCs w:val="22"/>
        </w:rPr>
        <w:t>genes: a database dedicated to Ex-UVs. Hum Mutat. 2012 Jan</w:t>
      </w:r>
      <w:proofErr w:type="gramStart"/>
      <w:r w:rsidRPr="00E224D4">
        <w:rPr>
          <w:rFonts w:eastAsia="TimesNewRomanPS"/>
          <w:sz w:val="22"/>
          <w:szCs w:val="22"/>
        </w:rPr>
        <w:t>;33</w:t>
      </w:r>
      <w:proofErr w:type="gramEnd"/>
      <w:r w:rsidRPr="00E224D4">
        <w:rPr>
          <w:rFonts w:eastAsia="TimesNewRomanPS"/>
          <w:sz w:val="22"/>
          <w:szCs w:val="22"/>
        </w:rPr>
        <w:t>(1):22-8.</w:t>
      </w:r>
    </w:p>
    <w:p w:rsidR="00E224D4" w:rsidRPr="003A4656" w:rsidRDefault="00E224D4" w:rsidP="00653B99">
      <w:pPr>
        <w:spacing w:after="120"/>
        <w:ind w:left="0" w:right="0"/>
        <w:rPr>
          <w:rFonts w:eastAsia="TimesNewRomanPS"/>
          <w:sz w:val="22"/>
          <w:szCs w:val="22"/>
        </w:rPr>
      </w:pPr>
      <w:proofErr w:type="gramStart"/>
      <w:r w:rsidRPr="003A4656">
        <w:rPr>
          <w:rFonts w:eastAsia="TimesNewRomanPS"/>
          <w:sz w:val="22"/>
          <w:szCs w:val="22"/>
        </w:rPr>
        <w:t>Venkitaraman, A.R. (2001) Functions of BRCA1 and BRCA2 in the biological response to DNA damage.</w:t>
      </w:r>
      <w:proofErr w:type="gramEnd"/>
      <w:r w:rsidRPr="003A4656">
        <w:rPr>
          <w:rFonts w:eastAsia="TimesNewRomanPS"/>
          <w:sz w:val="22"/>
          <w:szCs w:val="22"/>
        </w:rPr>
        <w:t xml:space="preserve"> J Cell Sci 2001; 114: 3591-8.</w:t>
      </w:r>
    </w:p>
    <w:p w:rsidR="00E224D4" w:rsidRPr="003A4656" w:rsidRDefault="00E224D4" w:rsidP="00653B99">
      <w:pPr>
        <w:spacing w:after="120"/>
        <w:ind w:left="0" w:right="0"/>
        <w:rPr>
          <w:sz w:val="22"/>
          <w:szCs w:val="22"/>
        </w:rPr>
      </w:pPr>
      <w:r w:rsidRPr="003A4656">
        <w:rPr>
          <w:sz w:val="22"/>
          <w:szCs w:val="22"/>
        </w:rPr>
        <w:t xml:space="preserve">Walker P.A., Leong L.E., Ng P.W., Tan S.H., Waller S, Murphy D, Porter AG (1994) Efficient and rapid affinity purification of proteins using recombinant fusion proteases. Biotechnology 12:601–605. </w:t>
      </w:r>
      <w:proofErr w:type="gramStart"/>
      <w:r w:rsidRPr="003A4656">
        <w:rPr>
          <w:sz w:val="22"/>
          <w:szCs w:val="22"/>
        </w:rPr>
        <w:t>doi:</w:t>
      </w:r>
      <w:proofErr w:type="gramEnd"/>
      <w:r w:rsidRPr="003A4656">
        <w:rPr>
          <w:sz w:val="22"/>
          <w:szCs w:val="22"/>
        </w:rPr>
        <w:t>10.1038/nbt0694-601</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Walsh T. and King M.C.: Ten genes for inherited breast cancer. Cancer Cell 11: 103-105, 2007</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Welcsh P.L., King </w:t>
      </w:r>
      <w:proofErr w:type="gramStart"/>
      <w:r w:rsidRPr="003A4656">
        <w:rPr>
          <w:rFonts w:eastAsia="TimesNewRomanPS"/>
          <w:sz w:val="22"/>
          <w:szCs w:val="22"/>
        </w:rPr>
        <w:t>M.C..</w:t>
      </w:r>
      <w:proofErr w:type="gramEnd"/>
      <w:r w:rsidRPr="003A4656">
        <w:rPr>
          <w:rFonts w:eastAsia="TimesNewRomanPS"/>
          <w:sz w:val="22"/>
          <w:szCs w:val="22"/>
        </w:rPr>
        <w:t xml:space="preserve"> </w:t>
      </w:r>
      <w:proofErr w:type="gramStart"/>
      <w:r w:rsidRPr="003A4656">
        <w:rPr>
          <w:rFonts w:eastAsia="TimesNewRomanPS"/>
          <w:sz w:val="22"/>
          <w:szCs w:val="22"/>
        </w:rPr>
        <w:t>BRCA1 and BRCA2 and the genetics of breast and ovarian cancer.</w:t>
      </w:r>
      <w:proofErr w:type="gramEnd"/>
      <w:r w:rsidRPr="003A4656">
        <w:rPr>
          <w:rFonts w:eastAsia="TimesNewRomanPS"/>
          <w:sz w:val="22"/>
          <w:szCs w:val="22"/>
        </w:rPr>
        <w:t xml:space="preserve"> Hum Mol Genet. 2001 Apr</w:t>
      </w:r>
      <w:proofErr w:type="gramStart"/>
      <w:r w:rsidRPr="003A4656">
        <w:rPr>
          <w:rFonts w:eastAsia="TimesNewRomanPS"/>
          <w:sz w:val="22"/>
          <w:szCs w:val="22"/>
        </w:rPr>
        <w:t>;10</w:t>
      </w:r>
      <w:proofErr w:type="gramEnd"/>
      <w:r w:rsidRPr="003A4656">
        <w:rPr>
          <w:rFonts w:eastAsia="TimesNewRomanPS"/>
          <w:sz w:val="22"/>
          <w:szCs w:val="22"/>
        </w:rPr>
        <w:t xml:space="preserve">(7):705-13. </w:t>
      </w:r>
      <w:proofErr w:type="gramStart"/>
      <w:r w:rsidRPr="003A4656">
        <w:rPr>
          <w:rFonts w:eastAsia="TimesNewRomanPS"/>
          <w:sz w:val="22"/>
          <w:szCs w:val="22"/>
        </w:rPr>
        <w:t>Review.</w:t>
      </w:r>
      <w:proofErr w:type="gramEnd"/>
      <w:r w:rsidRPr="003A4656">
        <w:rPr>
          <w:rFonts w:eastAsia="TimesNewRomanPS"/>
          <w:sz w:val="22"/>
          <w:szCs w:val="22"/>
        </w:rPr>
        <w:t xml:space="preserve"> PubMed PMID: 11257103.</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Williams R.S., Chasman D.I., Hau D.D., Hui B., Lau A.Y., Glover J.N. Detection of protein folding defects caused by BRCA1-BRCT truncation and missense mutations. J Biol Chem. 2003 Dec 26</w:t>
      </w:r>
      <w:proofErr w:type="gramStart"/>
      <w:r w:rsidRPr="003A4656">
        <w:rPr>
          <w:rFonts w:eastAsia="TimesNewRomanPS"/>
          <w:sz w:val="22"/>
          <w:szCs w:val="22"/>
        </w:rPr>
        <w:t>;278</w:t>
      </w:r>
      <w:proofErr w:type="gramEnd"/>
      <w:r w:rsidRPr="003A4656">
        <w:rPr>
          <w:rFonts w:eastAsia="TimesNewRomanPS"/>
          <w:sz w:val="22"/>
          <w:szCs w:val="22"/>
        </w:rPr>
        <w:t>(52):53007-16.</w:t>
      </w:r>
    </w:p>
    <w:p w:rsidR="00E224D4" w:rsidRPr="003A4656" w:rsidRDefault="00E224D4" w:rsidP="00653B99">
      <w:pPr>
        <w:spacing w:after="120"/>
        <w:ind w:left="0" w:right="0"/>
        <w:rPr>
          <w:sz w:val="22"/>
          <w:szCs w:val="22"/>
        </w:rPr>
      </w:pPr>
      <w:r w:rsidRPr="003A4656">
        <w:rPr>
          <w:sz w:val="22"/>
          <w:szCs w:val="22"/>
        </w:rPr>
        <w:t>Wilson C.A., Ramos L., Villaseñor M.R., Anders K.H., Press M.F., Clarke K., Karlan B., Chen J.J., Scully R., Livingston D., Zuch R.H., Kanter M.H., Cohen S., Calzone F.J., Slamon  D.J. Localization of human BRCA1 and its loss in high-grade, non-inherited breast  carcinomas. Nat Genet. 1999 Feb</w:t>
      </w:r>
      <w:proofErr w:type="gramStart"/>
      <w:r w:rsidRPr="003A4656">
        <w:rPr>
          <w:sz w:val="22"/>
          <w:szCs w:val="22"/>
        </w:rPr>
        <w:t>;21</w:t>
      </w:r>
      <w:proofErr w:type="gramEnd"/>
      <w:r w:rsidRPr="003A4656">
        <w:rPr>
          <w:sz w:val="22"/>
          <w:szCs w:val="22"/>
        </w:rPr>
        <w:t>(2):236-40.</w:t>
      </w:r>
    </w:p>
    <w:p w:rsidR="00E224D4" w:rsidRPr="003A4656" w:rsidRDefault="00E224D4" w:rsidP="00653B99">
      <w:pPr>
        <w:spacing w:after="120"/>
        <w:ind w:left="0" w:right="0"/>
        <w:rPr>
          <w:sz w:val="22"/>
          <w:szCs w:val="22"/>
        </w:rPr>
      </w:pPr>
      <w:r w:rsidRPr="003A4656">
        <w:rPr>
          <w:sz w:val="22"/>
          <w:szCs w:val="22"/>
        </w:rPr>
        <w:t>Wong A.K., Pero R., Ormonde P.A., Tavtigian S.V., Bartel P.L. RAD51 interacts with the evolutionarily conserved BRC motifs in the human breast cancer susceptibility gene brca2. J Biol Chem. 1997 Dec 19</w:t>
      </w:r>
      <w:proofErr w:type="gramStart"/>
      <w:r w:rsidRPr="003A4656">
        <w:rPr>
          <w:sz w:val="22"/>
          <w:szCs w:val="22"/>
        </w:rPr>
        <w:t>;272</w:t>
      </w:r>
      <w:proofErr w:type="gramEnd"/>
      <w:r w:rsidRPr="003A4656">
        <w:rPr>
          <w:sz w:val="22"/>
          <w:szCs w:val="22"/>
        </w:rPr>
        <w:t xml:space="preserve">(51):31941-4.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Wooster R., Bignell G., Lancaster J., Swift S., Seal S., Mangion J., Collins N., Gregory S., Gumbs C., Micklem G. Identification of the breast cancer susceptibility gene BRCA2. </w:t>
      </w:r>
      <w:proofErr w:type="gramStart"/>
      <w:r w:rsidRPr="003A4656">
        <w:rPr>
          <w:rFonts w:eastAsia="TimesNewRomanPS"/>
          <w:sz w:val="22"/>
          <w:szCs w:val="22"/>
        </w:rPr>
        <w:t>Nature.</w:t>
      </w:r>
      <w:proofErr w:type="gramEnd"/>
      <w:r w:rsidRPr="003A4656">
        <w:rPr>
          <w:rFonts w:eastAsia="TimesNewRomanPS"/>
          <w:sz w:val="22"/>
          <w:szCs w:val="22"/>
        </w:rPr>
        <w:t xml:space="preserve"> 1995 Dec 21-28</w:t>
      </w:r>
      <w:proofErr w:type="gramStart"/>
      <w:r w:rsidRPr="003A4656">
        <w:rPr>
          <w:rFonts w:eastAsia="TimesNewRomanPS"/>
          <w:sz w:val="22"/>
          <w:szCs w:val="22"/>
        </w:rPr>
        <w:t>;378</w:t>
      </w:r>
      <w:proofErr w:type="gramEnd"/>
      <w:r w:rsidRPr="003A4656">
        <w:rPr>
          <w:rFonts w:eastAsia="TimesNewRomanPS"/>
          <w:sz w:val="22"/>
          <w:szCs w:val="22"/>
        </w:rPr>
        <w:t xml:space="preserve">(6559):789-92.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Wooster R., Weber B.L. Breast and ovarian cancer. N Engl J Med. 2003 Jun 5</w:t>
      </w:r>
      <w:proofErr w:type="gramStart"/>
      <w:r w:rsidRPr="003A4656">
        <w:rPr>
          <w:rFonts w:eastAsia="TimesNewRomanPS"/>
          <w:sz w:val="22"/>
          <w:szCs w:val="22"/>
        </w:rPr>
        <w:t>;348</w:t>
      </w:r>
      <w:proofErr w:type="gramEnd"/>
      <w:r w:rsidRPr="003A4656">
        <w:rPr>
          <w:rFonts w:eastAsia="TimesNewRomanPS"/>
          <w:sz w:val="22"/>
          <w:szCs w:val="22"/>
        </w:rPr>
        <w:t>(23):2339-47.</w:t>
      </w:r>
    </w:p>
    <w:p w:rsidR="00E224D4" w:rsidRPr="003A4656" w:rsidRDefault="00E224D4" w:rsidP="00653B99">
      <w:pPr>
        <w:spacing w:after="120"/>
        <w:ind w:left="0" w:right="0"/>
        <w:rPr>
          <w:sz w:val="22"/>
          <w:szCs w:val="22"/>
        </w:rPr>
      </w:pPr>
      <w:r w:rsidRPr="003A4656">
        <w:rPr>
          <w:sz w:val="22"/>
          <w:szCs w:val="22"/>
        </w:rPr>
        <w:t>Wu L.C., Wang Z.W., Tsan J.T., Spillman M.A., Phung A., Xu X.L., Yang M.C., Hwang L.Y., Bowcock A.M., Baer R. Identification of a RING protein that can interact in vivo with the BRCA1 gene product. Nat Genet. 1996 Dec</w:t>
      </w:r>
      <w:proofErr w:type="gramStart"/>
      <w:r w:rsidRPr="003A4656">
        <w:rPr>
          <w:sz w:val="22"/>
          <w:szCs w:val="22"/>
        </w:rPr>
        <w:t>;14</w:t>
      </w:r>
      <w:proofErr w:type="gramEnd"/>
      <w:r w:rsidRPr="003A4656">
        <w:rPr>
          <w:sz w:val="22"/>
          <w:szCs w:val="22"/>
        </w:rPr>
        <w:t>(4):430-40.</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Xia B, Sheng Q, Nakanishi K, Ohashi A, Wu J, Christ N, Liu X, Jasin M, Couch FJ, Livingston DM. Control of BRCA2 cellular and clinical functions by a nuclear  partner, PALB2. </w:t>
      </w:r>
      <w:proofErr w:type="gramStart"/>
      <w:r w:rsidRPr="003A4656">
        <w:rPr>
          <w:rFonts w:eastAsia="TimesNewRomanPS"/>
          <w:sz w:val="22"/>
          <w:szCs w:val="22"/>
        </w:rPr>
        <w:t>Mol Cell.</w:t>
      </w:r>
      <w:proofErr w:type="gramEnd"/>
      <w:r w:rsidRPr="003A4656">
        <w:rPr>
          <w:rFonts w:eastAsia="TimesNewRomanPS"/>
          <w:sz w:val="22"/>
          <w:szCs w:val="22"/>
        </w:rPr>
        <w:t xml:space="preserve"> 2006 Jun 23</w:t>
      </w:r>
      <w:proofErr w:type="gramStart"/>
      <w:r w:rsidRPr="003A4656">
        <w:rPr>
          <w:rFonts w:eastAsia="TimesNewRomanPS"/>
          <w:sz w:val="22"/>
          <w:szCs w:val="22"/>
        </w:rPr>
        <w:t>;22</w:t>
      </w:r>
      <w:proofErr w:type="gramEnd"/>
      <w:r w:rsidRPr="003A4656">
        <w:rPr>
          <w:rFonts w:eastAsia="TimesNewRomanPS"/>
          <w:sz w:val="22"/>
          <w:szCs w:val="22"/>
        </w:rPr>
        <w:t>(6):719-29.</w:t>
      </w:r>
    </w:p>
    <w:p w:rsidR="00E224D4" w:rsidRPr="003A4656" w:rsidRDefault="00E224D4" w:rsidP="00653B99">
      <w:pPr>
        <w:spacing w:after="120"/>
        <w:ind w:left="0" w:right="0"/>
        <w:rPr>
          <w:sz w:val="22"/>
          <w:szCs w:val="22"/>
        </w:rPr>
      </w:pPr>
      <w:r w:rsidRPr="003A4656">
        <w:rPr>
          <w:sz w:val="22"/>
          <w:szCs w:val="22"/>
        </w:rPr>
        <w:t xml:space="preserve">Yang H., Jeffrey P.D., Miller J., Kinnucan E., Sun Y., Thoma N.H., Zheng N., Chen P.L., Lee W.H., Pavletich N.P. BRCA2 function in DNA binding and recombination from a BRCA2-DSS1-ssDNA structure. </w:t>
      </w:r>
      <w:proofErr w:type="gramStart"/>
      <w:r w:rsidRPr="003A4656">
        <w:rPr>
          <w:sz w:val="22"/>
          <w:szCs w:val="22"/>
        </w:rPr>
        <w:t>Science.</w:t>
      </w:r>
      <w:proofErr w:type="gramEnd"/>
      <w:r w:rsidRPr="003A4656">
        <w:rPr>
          <w:sz w:val="22"/>
          <w:szCs w:val="22"/>
        </w:rPr>
        <w:t xml:space="preserve"> 2002 Sep 13</w:t>
      </w:r>
      <w:proofErr w:type="gramStart"/>
      <w:r w:rsidRPr="003A4656">
        <w:rPr>
          <w:sz w:val="22"/>
          <w:szCs w:val="22"/>
        </w:rPr>
        <w:t>;297</w:t>
      </w:r>
      <w:proofErr w:type="gramEnd"/>
      <w:r w:rsidRPr="003A4656">
        <w:rPr>
          <w:sz w:val="22"/>
          <w:szCs w:val="22"/>
        </w:rPr>
        <w:t xml:space="preserve">(5588):1837-48. </w:t>
      </w:r>
    </w:p>
    <w:p w:rsidR="00E224D4" w:rsidRPr="003A4656" w:rsidRDefault="00E224D4" w:rsidP="00653B99">
      <w:pPr>
        <w:spacing w:after="120"/>
        <w:ind w:left="0" w:right="0"/>
        <w:rPr>
          <w:sz w:val="22"/>
          <w:szCs w:val="22"/>
        </w:rPr>
      </w:pPr>
      <w:r w:rsidRPr="003A4656">
        <w:rPr>
          <w:sz w:val="22"/>
          <w:szCs w:val="22"/>
        </w:rPr>
        <w:t xml:space="preserve">Yeo G., Burge C.B. 2004. </w:t>
      </w:r>
      <w:proofErr w:type="gramStart"/>
      <w:r w:rsidRPr="003A4656">
        <w:rPr>
          <w:sz w:val="22"/>
          <w:szCs w:val="22"/>
        </w:rPr>
        <w:t>Maximum entropy modeling of short sequence motifs with applications to RNA splicing signals.</w:t>
      </w:r>
      <w:proofErr w:type="gramEnd"/>
      <w:r w:rsidRPr="003A4656">
        <w:rPr>
          <w:sz w:val="22"/>
          <w:szCs w:val="22"/>
        </w:rPr>
        <w:t xml:space="preserve"> J Comput Biol 11:377–394.</w:t>
      </w:r>
    </w:p>
    <w:p w:rsidR="00E224D4" w:rsidRPr="003A4656" w:rsidRDefault="00E224D4" w:rsidP="00653B99">
      <w:pPr>
        <w:spacing w:after="120"/>
        <w:ind w:left="0" w:right="0"/>
        <w:rPr>
          <w:sz w:val="22"/>
          <w:szCs w:val="22"/>
        </w:rPr>
      </w:pPr>
      <w:r w:rsidRPr="003A4656">
        <w:rPr>
          <w:sz w:val="22"/>
          <w:szCs w:val="22"/>
        </w:rPr>
        <w:t xml:space="preserve">Zhang F., Fan Q., Ren K., Andreassen </w:t>
      </w:r>
      <w:proofErr w:type="gramStart"/>
      <w:r w:rsidRPr="003A4656">
        <w:rPr>
          <w:sz w:val="22"/>
          <w:szCs w:val="22"/>
        </w:rPr>
        <w:t>P.R..</w:t>
      </w:r>
      <w:proofErr w:type="gramEnd"/>
      <w:r w:rsidRPr="003A4656">
        <w:rPr>
          <w:sz w:val="22"/>
          <w:szCs w:val="22"/>
        </w:rPr>
        <w:t xml:space="preserve"> PALB2 functionally connects the breast cancer susceptibility proteins BRCA1 and BRCA2. Mol Cancer Res. 2009 Jul</w:t>
      </w:r>
      <w:proofErr w:type="gramStart"/>
      <w:r w:rsidRPr="003A4656">
        <w:rPr>
          <w:sz w:val="22"/>
          <w:szCs w:val="22"/>
        </w:rPr>
        <w:t>;7</w:t>
      </w:r>
      <w:proofErr w:type="gramEnd"/>
      <w:r w:rsidRPr="003A4656">
        <w:rPr>
          <w:sz w:val="22"/>
          <w:szCs w:val="22"/>
        </w:rPr>
        <w:t xml:space="preserve">(7):1110-8. </w:t>
      </w:r>
    </w:p>
    <w:p w:rsidR="00E224D4" w:rsidRPr="003A4656" w:rsidRDefault="00E224D4" w:rsidP="00653B99">
      <w:pPr>
        <w:spacing w:after="120"/>
        <w:ind w:left="0" w:right="0"/>
        <w:rPr>
          <w:rFonts w:eastAsia="TimesNewRomanPS"/>
          <w:sz w:val="22"/>
          <w:szCs w:val="22"/>
        </w:rPr>
      </w:pPr>
      <w:r w:rsidRPr="003A4656">
        <w:rPr>
          <w:rFonts w:eastAsia="TimesNewRomanPS"/>
          <w:sz w:val="22"/>
          <w:szCs w:val="22"/>
        </w:rPr>
        <w:t xml:space="preserve">Zhang J, Wang X, Lin CJ, Couch FJ, Fei P. Altered expression of FANCL confers mitomycin C sensitivity in Calu-6 lung cancer cells. </w:t>
      </w:r>
      <w:proofErr w:type="gramStart"/>
      <w:r w:rsidRPr="003A4656">
        <w:rPr>
          <w:rFonts w:eastAsia="TimesNewRomanPS"/>
          <w:sz w:val="22"/>
          <w:szCs w:val="22"/>
        </w:rPr>
        <w:t>Cancer Biol Ther.</w:t>
      </w:r>
      <w:proofErr w:type="gramEnd"/>
      <w:r w:rsidRPr="003A4656">
        <w:rPr>
          <w:rFonts w:eastAsia="TimesNewRomanPS"/>
          <w:sz w:val="22"/>
          <w:szCs w:val="22"/>
        </w:rPr>
        <w:t xml:space="preserve"> 2006 Dec</w:t>
      </w:r>
      <w:proofErr w:type="gramStart"/>
      <w:r w:rsidRPr="003A4656">
        <w:rPr>
          <w:rFonts w:eastAsia="TimesNewRomanPS"/>
          <w:sz w:val="22"/>
          <w:szCs w:val="22"/>
        </w:rPr>
        <w:t>;5</w:t>
      </w:r>
      <w:proofErr w:type="gramEnd"/>
      <w:r w:rsidRPr="003A4656">
        <w:rPr>
          <w:rFonts w:eastAsia="TimesNewRomanPS"/>
          <w:sz w:val="22"/>
          <w:szCs w:val="22"/>
        </w:rPr>
        <w:t>(12):1632-6.</w:t>
      </w:r>
    </w:p>
    <w:p w:rsidR="00E224D4" w:rsidRDefault="00E224D4" w:rsidP="00653B99">
      <w:pPr>
        <w:spacing w:after="120"/>
        <w:ind w:left="0" w:right="0"/>
        <w:rPr>
          <w:rFonts w:eastAsia="TimesNewRomanPS"/>
          <w:sz w:val="22"/>
          <w:szCs w:val="22"/>
        </w:rPr>
      </w:pPr>
      <w:r w:rsidRPr="003A4656">
        <w:rPr>
          <w:rFonts w:eastAsia="TimesNewRomanPS"/>
          <w:sz w:val="22"/>
          <w:szCs w:val="22"/>
        </w:rPr>
        <w:t>Zhang J.D., Fackenthal D., Huo Y., Zheng, Olopade O.I., “Searching for large genomic rearrangements of the BRCA1 gene in a Nigerian population,” Breast Cancer Research and Treatment, vol. 124, no. 2, pp. 573–577, 2010.</w:t>
      </w:r>
    </w:p>
    <w:p w:rsidR="00831D9F" w:rsidRDefault="00831D9F" w:rsidP="00653B99">
      <w:pPr>
        <w:spacing w:after="120"/>
        <w:ind w:left="0" w:right="0"/>
        <w:rPr>
          <w:rFonts w:eastAsia="TimesNewRomanPS"/>
          <w:sz w:val="22"/>
          <w:szCs w:val="22"/>
        </w:rPr>
      </w:pPr>
    </w:p>
    <w:p w:rsidR="000D7DA8" w:rsidRDefault="000D7DA8" w:rsidP="00653B99">
      <w:pPr>
        <w:spacing w:after="120"/>
        <w:ind w:left="0" w:right="0"/>
        <w:rPr>
          <w:rFonts w:eastAsia="TimesNewRomanPS"/>
          <w:sz w:val="22"/>
          <w:szCs w:val="22"/>
        </w:rPr>
      </w:pPr>
    </w:p>
    <w:p w:rsidR="000D7DA8" w:rsidRDefault="000D7DA8" w:rsidP="00653B99">
      <w:pPr>
        <w:spacing w:after="120"/>
        <w:ind w:left="0" w:right="0"/>
        <w:rPr>
          <w:rFonts w:eastAsia="TimesNewRomanPS"/>
          <w:sz w:val="22"/>
          <w:szCs w:val="22"/>
        </w:rPr>
      </w:pPr>
    </w:p>
    <w:p w:rsidR="000D7DA8" w:rsidRDefault="000D7DA8" w:rsidP="00653B99">
      <w:pPr>
        <w:spacing w:after="120"/>
        <w:ind w:left="0" w:right="0"/>
        <w:rPr>
          <w:rFonts w:eastAsia="TimesNewRomanPS"/>
          <w:sz w:val="22"/>
          <w:szCs w:val="22"/>
        </w:rPr>
      </w:pPr>
    </w:p>
    <w:p w:rsidR="00831D9F" w:rsidRDefault="00831D9F" w:rsidP="00653B99">
      <w:pPr>
        <w:spacing w:after="120"/>
        <w:ind w:left="0" w:right="0"/>
        <w:rPr>
          <w:rFonts w:eastAsia="TimesNewRomanPS"/>
          <w:sz w:val="22"/>
          <w:szCs w:val="22"/>
        </w:rPr>
      </w:pPr>
    </w:p>
    <w:p w:rsidR="00831D9F" w:rsidRPr="00831D9F" w:rsidRDefault="00831D9F" w:rsidP="00831D9F">
      <w:pPr>
        <w:spacing w:after="120"/>
        <w:ind w:left="0" w:right="0"/>
        <w:jc w:val="center"/>
        <w:rPr>
          <w:rFonts w:eastAsia="TimesNewRomanPS"/>
          <w:b/>
          <w:sz w:val="22"/>
          <w:szCs w:val="22"/>
          <w:lang w:val="en-US"/>
        </w:rPr>
      </w:pPr>
      <w:r w:rsidRPr="00831D9F">
        <w:rPr>
          <w:rFonts w:eastAsia="TimesNewRomanPS"/>
          <w:b/>
          <w:sz w:val="22"/>
          <w:szCs w:val="22"/>
          <w:lang w:val="en-US"/>
        </w:rPr>
        <w:t>LAST THREE YEARS PHD CURRICULUM VITAE</w:t>
      </w:r>
    </w:p>
    <w:p w:rsidR="00831D9F" w:rsidRPr="00831D9F" w:rsidRDefault="00831D9F" w:rsidP="00831D9F">
      <w:pPr>
        <w:spacing w:after="120"/>
        <w:ind w:left="0" w:right="0"/>
        <w:rPr>
          <w:rFonts w:eastAsia="TimesNewRomanPS"/>
          <w:b/>
          <w:sz w:val="22"/>
          <w:szCs w:val="22"/>
          <w:lang w:val="en-US"/>
        </w:rPr>
      </w:pPr>
    </w:p>
    <w:p w:rsidR="00831D9F" w:rsidRPr="00831D9F" w:rsidRDefault="00831D9F" w:rsidP="00831D9F">
      <w:pPr>
        <w:spacing w:after="120"/>
        <w:ind w:left="0" w:right="0"/>
        <w:rPr>
          <w:rFonts w:eastAsia="TimesNewRomanPS"/>
          <w:b/>
          <w:sz w:val="22"/>
          <w:szCs w:val="22"/>
          <w:lang w:val="en-US"/>
        </w:rPr>
      </w:pPr>
      <w:r w:rsidRPr="00831D9F">
        <w:rPr>
          <w:rFonts w:eastAsia="TimesNewRomanPS"/>
          <w:b/>
          <w:sz w:val="22"/>
          <w:szCs w:val="22"/>
          <w:lang w:val="en-US"/>
        </w:rPr>
        <w:t>NAOMI MARGARESE</w:t>
      </w:r>
    </w:p>
    <w:p w:rsidR="00831D9F" w:rsidRPr="00831D9F" w:rsidRDefault="00831D9F" w:rsidP="00831D9F">
      <w:pPr>
        <w:spacing w:after="120"/>
        <w:ind w:left="0" w:right="0"/>
        <w:rPr>
          <w:rFonts w:eastAsia="TimesNewRomanPS"/>
          <w:b/>
          <w:sz w:val="22"/>
          <w:szCs w:val="22"/>
          <w:lang w:val="en-US"/>
        </w:rPr>
      </w:pPr>
    </w:p>
    <w:p w:rsidR="00831D9F" w:rsidRPr="00831D9F" w:rsidRDefault="00831D9F" w:rsidP="00831D9F">
      <w:pPr>
        <w:spacing w:after="120" w:line="240" w:lineRule="auto"/>
        <w:ind w:left="0" w:right="0"/>
        <w:rPr>
          <w:rFonts w:eastAsia="TimesNewRomanPS"/>
          <w:b/>
          <w:sz w:val="22"/>
          <w:szCs w:val="22"/>
          <w:lang w:val="en-US"/>
        </w:rPr>
      </w:pPr>
      <w:r w:rsidRPr="00831D9F">
        <w:rPr>
          <w:rFonts w:eastAsia="TimesNewRomanPS"/>
          <w:b/>
          <w:sz w:val="22"/>
          <w:szCs w:val="22"/>
          <w:lang w:val="en-US"/>
        </w:rPr>
        <w:t>Date of birth:</w:t>
      </w:r>
      <w:r w:rsidRPr="00831D9F">
        <w:rPr>
          <w:rFonts w:eastAsia="TimesNewRomanPS"/>
          <w:sz w:val="22"/>
          <w:szCs w:val="22"/>
          <w:lang w:val="en-US"/>
        </w:rPr>
        <w:t xml:space="preserve"> February 26, 1984</w:t>
      </w:r>
      <w:r w:rsidRPr="00831D9F">
        <w:rPr>
          <w:rFonts w:eastAsia="TimesNewRomanPS"/>
          <w:b/>
          <w:sz w:val="22"/>
          <w:szCs w:val="22"/>
          <w:lang w:val="en-US"/>
        </w:rPr>
        <w:t xml:space="preserve">                             </w:t>
      </w:r>
    </w:p>
    <w:p w:rsidR="00831D9F" w:rsidRPr="00831D9F" w:rsidRDefault="00831D9F" w:rsidP="00831D9F">
      <w:pPr>
        <w:spacing w:after="120" w:line="240" w:lineRule="auto"/>
        <w:ind w:left="0" w:right="0"/>
        <w:rPr>
          <w:rFonts w:eastAsia="TimesNewRomanPS"/>
          <w:sz w:val="22"/>
          <w:szCs w:val="22"/>
          <w:lang w:val="en-US"/>
        </w:rPr>
      </w:pPr>
      <w:r w:rsidRPr="00831D9F">
        <w:rPr>
          <w:rFonts w:eastAsia="TimesNewRomanPS"/>
          <w:b/>
          <w:sz w:val="22"/>
          <w:szCs w:val="22"/>
          <w:lang w:val="en-US"/>
        </w:rPr>
        <w:t>Place of birth</w:t>
      </w:r>
      <w:r w:rsidRPr="00831D9F">
        <w:rPr>
          <w:rFonts w:eastAsia="TimesNewRomanPS"/>
          <w:sz w:val="22"/>
          <w:szCs w:val="22"/>
          <w:lang w:val="en-US"/>
        </w:rPr>
        <w:t>: Palermo (PA), Italy</w:t>
      </w:r>
    </w:p>
    <w:p w:rsidR="00831D9F" w:rsidRPr="00831D9F" w:rsidRDefault="00831D9F" w:rsidP="00831D9F">
      <w:pPr>
        <w:spacing w:after="120" w:line="240" w:lineRule="auto"/>
        <w:ind w:left="0" w:right="0"/>
        <w:rPr>
          <w:rFonts w:eastAsia="TimesNewRomanPS"/>
          <w:sz w:val="22"/>
          <w:szCs w:val="22"/>
          <w:lang w:val="it-IT"/>
        </w:rPr>
      </w:pPr>
      <w:r w:rsidRPr="00831D9F">
        <w:rPr>
          <w:rFonts w:eastAsia="TimesNewRomanPS"/>
          <w:b/>
          <w:sz w:val="22"/>
          <w:szCs w:val="22"/>
          <w:lang w:val="it-IT"/>
        </w:rPr>
        <w:t>Nationality</w:t>
      </w:r>
      <w:r w:rsidRPr="00831D9F">
        <w:rPr>
          <w:rFonts w:eastAsia="TimesNewRomanPS"/>
          <w:sz w:val="22"/>
          <w:szCs w:val="22"/>
          <w:lang w:val="it-IT"/>
        </w:rPr>
        <w:t>: Italy</w:t>
      </w:r>
    </w:p>
    <w:p w:rsidR="00831D9F" w:rsidRPr="00831D9F" w:rsidRDefault="00831D9F" w:rsidP="00831D9F">
      <w:pPr>
        <w:spacing w:after="120"/>
        <w:ind w:left="0" w:right="0"/>
        <w:rPr>
          <w:rFonts w:eastAsia="TimesNewRomanPS"/>
          <w:b/>
          <w:sz w:val="22"/>
          <w:szCs w:val="22"/>
          <w:lang w:val="it-IT"/>
        </w:rPr>
      </w:pP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PROFESSIONAL CAREER</w:t>
      </w:r>
    </w:p>
    <w:p w:rsidR="00831D9F" w:rsidRPr="00831D9F" w:rsidRDefault="00831D9F" w:rsidP="00831D9F">
      <w:pPr>
        <w:spacing w:after="120"/>
        <w:ind w:left="0" w:right="0"/>
        <w:rPr>
          <w:rFonts w:eastAsia="TimesNewRomanPS"/>
          <w:sz w:val="22"/>
          <w:szCs w:val="22"/>
          <w:lang w:val="en-US"/>
        </w:rPr>
      </w:pPr>
      <w:r w:rsidRPr="00831D9F">
        <w:rPr>
          <w:rFonts w:eastAsia="TimesNewRomanPS"/>
          <w:b/>
          <w:sz w:val="22"/>
          <w:szCs w:val="22"/>
          <w:lang w:val="it-IT"/>
        </w:rPr>
        <w:t xml:space="preserve">June 2013-present: </w:t>
      </w:r>
      <w:r w:rsidRPr="00831D9F">
        <w:rPr>
          <w:rFonts w:eastAsia="TimesNewRomanPS"/>
          <w:sz w:val="22"/>
          <w:szCs w:val="22"/>
          <w:lang w:val="it-IT"/>
        </w:rPr>
        <w:t>Stage</w:t>
      </w:r>
      <w:r w:rsidRPr="00831D9F">
        <w:rPr>
          <w:rFonts w:eastAsia="TimesNewRomanPS"/>
          <w:b/>
          <w:sz w:val="22"/>
          <w:szCs w:val="22"/>
          <w:lang w:val="it-IT"/>
        </w:rPr>
        <w:t xml:space="preserve"> </w:t>
      </w:r>
      <w:r w:rsidRPr="00831D9F">
        <w:rPr>
          <w:rFonts w:eastAsia="TimesNewRomanPS"/>
          <w:sz w:val="22"/>
          <w:szCs w:val="22"/>
          <w:lang w:val="it-IT"/>
        </w:rPr>
        <w:t xml:space="preserve">Istituto Nazionale Tumori Milano Unità Operativa Medicina Predittiva, Basi Molecolari del Rischio Genetico e Test Genetici. </w:t>
      </w:r>
      <w:r w:rsidRPr="00831D9F">
        <w:rPr>
          <w:rFonts w:eastAsia="TimesNewRomanPS"/>
          <w:sz w:val="22"/>
          <w:szCs w:val="22"/>
          <w:lang w:val="en-US"/>
        </w:rPr>
        <w:t>Tutor Dr. Paolo Radice.</w:t>
      </w:r>
    </w:p>
    <w:p w:rsidR="00831D9F" w:rsidRPr="00831D9F" w:rsidRDefault="00831D9F" w:rsidP="00831D9F">
      <w:pPr>
        <w:spacing w:after="120"/>
        <w:ind w:left="0" w:right="0"/>
        <w:rPr>
          <w:rFonts w:eastAsia="TimesNewRomanPS"/>
          <w:sz w:val="22"/>
          <w:szCs w:val="22"/>
          <w:lang w:val="en-US"/>
        </w:rPr>
      </w:pPr>
      <w:r w:rsidRPr="00831D9F">
        <w:rPr>
          <w:rFonts w:eastAsia="TimesNewRomanPS"/>
          <w:b/>
          <w:sz w:val="22"/>
          <w:szCs w:val="22"/>
          <w:lang w:val="en-US"/>
        </w:rPr>
        <w:t xml:space="preserve">January 2011-December 2013: </w:t>
      </w:r>
      <w:r w:rsidRPr="00831D9F">
        <w:rPr>
          <w:rFonts w:eastAsia="TimesNewRomanPS"/>
          <w:sz w:val="22"/>
          <w:szCs w:val="22"/>
          <w:lang w:val="en-US"/>
        </w:rPr>
        <w:t xml:space="preserve">Graduate Student in </w:t>
      </w:r>
      <w:r w:rsidRPr="00831D9F">
        <w:rPr>
          <w:rFonts w:eastAsia="TimesNewRomanPS"/>
          <w:b/>
          <w:sz w:val="22"/>
          <w:szCs w:val="22"/>
          <w:lang w:val="en-US"/>
        </w:rPr>
        <w:t>Ph.D. Postgraduate Course in “Oncopatologia Cellulare e Molecolare”</w:t>
      </w:r>
      <w:r w:rsidRPr="00831D9F">
        <w:rPr>
          <w:rFonts w:eastAsia="TimesNewRomanPS"/>
          <w:sz w:val="22"/>
          <w:szCs w:val="22"/>
          <w:lang w:val="en-US"/>
        </w:rPr>
        <w:t xml:space="preserve"> (XXIV cycle) at the University of Palermo, Italy.</w:t>
      </w:r>
    </w:p>
    <w:p w:rsidR="00831D9F" w:rsidRPr="00AC20A5" w:rsidRDefault="00831D9F" w:rsidP="00831D9F">
      <w:pPr>
        <w:spacing w:after="120"/>
        <w:ind w:left="0" w:right="0"/>
        <w:rPr>
          <w:rFonts w:eastAsia="TimesNewRomanPS"/>
          <w:b/>
          <w:sz w:val="22"/>
          <w:szCs w:val="22"/>
          <w:lang w:val="en-US"/>
        </w:rPr>
      </w:pP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MEETINGS</w:t>
      </w: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 xml:space="preserve">30 June 2010 : “GISTART- Aggiornamenti diagnostico-terapeutici ed esperienze a confronto nelle gestione del paziente con GIST in fase adiuvante e metastatico”  </w:t>
      </w:r>
      <w:r w:rsidRPr="00831D9F">
        <w:rPr>
          <w:rFonts w:eastAsia="TimesNewRomanPS"/>
          <w:sz w:val="22"/>
          <w:szCs w:val="22"/>
          <w:lang w:val="it-IT"/>
        </w:rPr>
        <w:t>Department of Oncology, Azienda Ospedaliera Policlinico “P. Giaccone”, Palermo, Italy.</w:t>
      </w: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 xml:space="preserve">3-4 April 2012: “GIST E TUMORI RARI: </w:t>
      </w:r>
      <w:r w:rsidRPr="00831D9F">
        <w:rPr>
          <w:rFonts w:eastAsia="TimesNewRomanPS"/>
          <w:sz w:val="22"/>
          <w:szCs w:val="22"/>
          <w:lang w:val="it-IT"/>
        </w:rPr>
        <w:t>Percorso diagnostico-terapeutico nella pratica clinica</w:t>
      </w:r>
      <w:r w:rsidRPr="00831D9F">
        <w:rPr>
          <w:rFonts w:eastAsia="TimesNewRomanPS"/>
          <w:b/>
          <w:sz w:val="22"/>
          <w:szCs w:val="22"/>
          <w:lang w:val="it-IT"/>
        </w:rPr>
        <w:t xml:space="preserve">.” </w:t>
      </w:r>
      <w:r w:rsidRPr="00831D9F">
        <w:rPr>
          <w:rFonts w:eastAsia="TimesNewRomanPS"/>
          <w:sz w:val="22"/>
          <w:szCs w:val="22"/>
          <w:lang w:val="it-IT"/>
        </w:rPr>
        <w:t>Department of Oncology, Azienda Ospedaliera Policlinico “P. Giaccone”, Palermo, Italy.</w:t>
      </w:r>
    </w:p>
    <w:p w:rsidR="00831D9F" w:rsidRPr="00831D9F" w:rsidRDefault="00831D9F" w:rsidP="00831D9F">
      <w:pPr>
        <w:spacing w:after="120"/>
        <w:ind w:left="0" w:right="0"/>
        <w:rPr>
          <w:rFonts w:eastAsia="TimesNewRomanPS"/>
          <w:sz w:val="22"/>
          <w:szCs w:val="22"/>
          <w:lang w:val="it-IT"/>
        </w:rPr>
      </w:pPr>
      <w:r w:rsidRPr="00831D9F">
        <w:rPr>
          <w:rFonts w:eastAsia="TimesNewRomanPS"/>
          <w:b/>
          <w:sz w:val="22"/>
          <w:szCs w:val="22"/>
          <w:lang w:val="it-IT"/>
        </w:rPr>
        <w:t>12 June 2012:  CORSO NAZIONALE AIOM E SIAPEC-IAP. “Marcatori bio-molecolari nella terapia “personalizzata” dei tumori: indicazioni cliniche e di laboratorio</w:t>
      </w:r>
      <w:r w:rsidRPr="00831D9F">
        <w:rPr>
          <w:rFonts w:eastAsia="TimesNewRomanPS"/>
          <w:sz w:val="22"/>
          <w:szCs w:val="22"/>
          <w:lang w:val="it-IT"/>
        </w:rPr>
        <w:t>”, Bari, Italy</w:t>
      </w:r>
    </w:p>
    <w:p w:rsidR="00831D9F" w:rsidRPr="00AC20A5" w:rsidRDefault="00831D9F" w:rsidP="00831D9F">
      <w:pPr>
        <w:spacing w:after="120"/>
        <w:ind w:left="0" w:right="0"/>
        <w:rPr>
          <w:rFonts w:eastAsia="TimesNewRomanPS"/>
          <w:b/>
          <w:sz w:val="22"/>
          <w:szCs w:val="22"/>
          <w:lang w:val="it-IT"/>
        </w:rPr>
      </w:pPr>
    </w:p>
    <w:p w:rsidR="00831D9F" w:rsidRPr="00831D9F" w:rsidRDefault="00831D9F" w:rsidP="00831D9F">
      <w:pPr>
        <w:spacing w:after="120"/>
        <w:ind w:left="0" w:right="0"/>
        <w:rPr>
          <w:rFonts w:eastAsia="TimesNewRomanPS"/>
          <w:b/>
          <w:sz w:val="22"/>
          <w:szCs w:val="22"/>
          <w:lang w:val="en-US"/>
        </w:rPr>
      </w:pPr>
      <w:r w:rsidRPr="00831D9F">
        <w:rPr>
          <w:rFonts w:eastAsia="TimesNewRomanPS"/>
          <w:b/>
          <w:sz w:val="22"/>
          <w:szCs w:val="22"/>
          <w:lang w:val="en-US"/>
        </w:rPr>
        <w:t>PAPERS AND ABSTRACTS PUBLISHED DURING THE PHD COURSE</w:t>
      </w: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 xml:space="preserve">Papers  </w:t>
      </w:r>
    </w:p>
    <w:p w:rsidR="00831D9F" w:rsidRPr="00831D9F" w:rsidRDefault="00785CBF" w:rsidP="00831D9F">
      <w:pPr>
        <w:spacing w:after="120"/>
        <w:ind w:left="0" w:right="0"/>
        <w:rPr>
          <w:rFonts w:eastAsia="TimesNewRomanPS"/>
          <w:sz w:val="22"/>
          <w:szCs w:val="22"/>
          <w:lang w:val="it-IT"/>
        </w:rPr>
      </w:pPr>
      <w:hyperlink r:id="rId85" w:history="1">
        <w:r w:rsidR="00831D9F" w:rsidRPr="00831D9F">
          <w:rPr>
            <w:sz w:val="22"/>
            <w:szCs w:val="22"/>
            <w:lang w:val="it-IT"/>
          </w:rPr>
          <w:t>Insalaco L</w:t>
        </w:r>
      </w:hyperlink>
      <w:r w:rsidR="00831D9F" w:rsidRPr="00831D9F">
        <w:rPr>
          <w:rFonts w:eastAsia="TimesNewRomanPS"/>
          <w:sz w:val="22"/>
          <w:szCs w:val="22"/>
          <w:lang w:val="it-IT"/>
        </w:rPr>
        <w:t>, </w:t>
      </w:r>
      <w:hyperlink r:id="rId86" w:history="1">
        <w:r w:rsidR="00831D9F" w:rsidRPr="00831D9F">
          <w:rPr>
            <w:sz w:val="22"/>
            <w:szCs w:val="22"/>
            <w:lang w:val="it-IT"/>
          </w:rPr>
          <w:t>Gaudio FD</w:t>
        </w:r>
      </w:hyperlink>
      <w:r w:rsidR="00831D9F" w:rsidRPr="00831D9F">
        <w:rPr>
          <w:rFonts w:eastAsia="TimesNewRomanPS"/>
          <w:sz w:val="22"/>
          <w:szCs w:val="22"/>
          <w:lang w:val="it-IT"/>
        </w:rPr>
        <w:t>, </w:t>
      </w:r>
      <w:hyperlink r:id="rId87" w:history="1">
        <w:r w:rsidR="00831D9F" w:rsidRPr="00831D9F">
          <w:rPr>
            <w:sz w:val="22"/>
            <w:szCs w:val="22"/>
            <w:lang w:val="it-IT"/>
          </w:rPr>
          <w:t>Terrasi M</w:t>
        </w:r>
      </w:hyperlink>
      <w:r w:rsidR="00831D9F" w:rsidRPr="00831D9F">
        <w:rPr>
          <w:rFonts w:eastAsia="TimesNewRomanPS"/>
          <w:sz w:val="22"/>
          <w:szCs w:val="22"/>
          <w:lang w:val="it-IT"/>
        </w:rPr>
        <w:t>, </w:t>
      </w:r>
      <w:hyperlink r:id="rId88" w:history="1">
        <w:r w:rsidR="00831D9F" w:rsidRPr="00831D9F">
          <w:rPr>
            <w:sz w:val="22"/>
            <w:szCs w:val="22"/>
            <w:lang w:val="it-IT"/>
          </w:rPr>
          <w:t>Amodeo V</w:t>
        </w:r>
      </w:hyperlink>
      <w:r w:rsidR="00831D9F" w:rsidRPr="00831D9F">
        <w:rPr>
          <w:rFonts w:eastAsia="TimesNewRomanPS"/>
          <w:sz w:val="22"/>
          <w:szCs w:val="22"/>
          <w:lang w:val="it-IT"/>
        </w:rPr>
        <w:t>, </w:t>
      </w:r>
      <w:hyperlink r:id="rId89" w:history="1">
        <w:r w:rsidR="00831D9F" w:rsidRPr="00831D9F">
          <w:rPr>
            <w:sz w:val="22"/>
            <w:szCs w:val="22"/>
            <w:lang w:val="it-IT"/>
          </w:rPr>
          <w:t>Caruso S</w:t>
        </w:r>
      </w:hyperlink>
      <w:r w:rsidR="00831D9F" w:rsidRPr="00831D9F">
        <w:rPr>
          <w:rFonts w:eastAsia="TimesNewRomanPS"/>
          <w:sz w:val="22"/>
          <w:szCs w:val="22"/>
          <w:lang w:val="it-IT"/>
        </w:rPr>
        <w:t>, </w:t>
      </w:r>
      <w:hyperlink r:id="rId90" w:history="1">
        <w:r w:rsidR="00831D9F" w:rsidRPr="00831D9F">
          <w:rPr>
            <w:sz w:val="22"/>
            <w:szCs w:val="22"/>
            <w:lang w:val="it-IT"/>
          </w:rPr>
          <w:t>Corsini LR</w:t>
        </w:r>
      </w:hyperlink>
      <w:r w:rsidR="00831D9F" w:rsidRPr="00831D9F">
        <w:rPr>
          <w:rFonts w:eastAsia="TimesNewRomanPS"/>
          <w:sz w:val="22"/>
          <w:szCs w:val="22"/>
          <w:lang w:val="it-IT"/>
        </w:rPr>
        <w:t>, </w:t>
      </w:r>
      <w:hyperlink r:id="rId91" w:history="1">
        <w:r w:rsidR="00831D9F" w:rsidRPr="00831D9F">
          <w:rPr>
            <w:sz w:val="22"/>
            <w:szCs w:val="22"/>
            <w:lang w:val="it-IT"/>
          </w:rPr>
          <w:t>Fanale D</w:t>
        </w:r>
      </w:hyperlink>
      <w:r w:rsidR="00831D9F" w:rsidRPr="00831D9F">
        <w:rPr>
          <w:rFonts w:eastAsia="TimesNewRomanPS"/>
          <w:sz w:val="22"/>
          <w:szCs w:val="22"/>
          <w:lang w:val="it-IT"/>
        </w:rPr>
        <w:t>, </w:t>
      </w:r>
      <w:hyperlink r:id="rId92" w:history="1">
        <w:r w:rsidR="00831D9F" w:rsidRPr="00831D9F">
          <w:rPr>
            <w:b/>
            <w:sz w:val="22"/>
            <w:szCs w:val="22"/>
            <w:lang w:val="it-IT"/>
          </w:rPr>
          <w:t>Margarese N</w:t>
        </w:r>
      </w:hyperlink>
      <w:r w:rsidR="00831D9F" w:rsidRPr="00831D9F">
        <w:rPr>
          <w:rFonts w:eastAsia="TimesNewRomanPS"/>
          <w:sz w:val="22"/>
          <w:szCs w:val="22"/>
          <w:lang w:val="it-IT"/>
        </w:rPr>
        <w:t>, </w:t>
      </w:r>
      <w:hyperlink r:id="rId93" w:history="1">
        <w:r w:rsidR="00831D9F" w:rsidRPr="00831D9F">
          <w:rPr>
            <w:sz w:val="22"/>
            <w:szCs w:val="22"/>
            <w:lang w:val="it-IT"/>
          </w:rPr>
          <w:t>Santini D</w:t>
        </w:r>
      </w:hyperlink>
      <w:r w:rsidR="00831D9F" w:rsidRPr="00831D9F">
        <w:rPr>
          <w:rFonts w:eastAsia="TimesNewRomanPS"/>
          <w:sz w:val="22"/>
          <w:szCs w:val="22"/>
          <w:lang w:val="it-IT"/>
        </w:rPr>
        <w:t>, </w:t>
      </w:r>
      <w:hyperlink r:id="rId94" w:history="1">
        <w:r w:rsidR="00831D9F" w:rsidRPr="00831D9F">
          <w:rPr>
            <w:sz w:val="22"/>
            <w:szCs w:val="22"/>
            <w:lang w:val="it-IT"/>
          </w:rPr>
          <w:t>Bazan V</w:t>
        </w:r>
      </w:hyperlink>
      <w:r w:rsidR="00831D9F" w:rsidRPr="00831D9F">
        <w:rPr>
          <w:rFonts w:eastAsia="TimesNewRomanPS"/>
          <w:sz w:val="22"/>
          <w:szCs w:val="22"/>
          <w:lang w:val="it-IT"/>
        </w:rPr>
        <w:t>, </w:t>
      </w:r>
      <w:hyperlink r:id="rId95" w:history="1">
        <w:r w:rsidR="00831D9F" w:rsidRPr="00831D9F">
          <w:rPr>
            <w:sz w:val="22"/>
            <w:szCs w:val="22"/>
            <w:lang w:val="it-IT"/>
          </w:rPr>
          <w:t>Russo A</w:t>
        </w:r>
      </w:hyperlink>
      <w:r w:rsidR="00831D9F" w:rsidRPr="00831D9F">
        <w:rPr>
          <w:rFonts w:eastAsia="TimesNewRomanPS"/>
          <w:sz w:val="22"/>
          <w:szCs w:val="22"/>
          <w:lang w:val="it-IT"/>
        </w:rPr>
        <w:t xml:space="preserve">. </w:t>
      </w:r>
      <w:proofErr w:type="gramStart"/>
      <w:r w:rsidR="00831D9F" w:rsidRPr="00AC20A5">
        <w:rPr>
          <w:rFonts w:eastAsia="TimesNewRomanPS"/>
          <w:b/>
          <w:sz w:val="22"/>
          <w:szCs w:val="22"/>
          <w:lang w:val="en-US"/>
        </w:rPr>
        <w:t>Analysis of molecular mechanisms and anti-tumoral effects of zoledronic acid in breast cancer cells</w:t>
      </w:r>
      <w:r w:rsidR="00831D9F" w:rsidRPr="00AC20A5">
        <w:rPr>
          <w:rFonts w:eastAsia="TimesNewRomanPS"/>
          <w:sz w:val="22"/>
          <w:szCs w:val="22"/>
          <w:lang w:val="en-US"/>
        </w:rPr>
        <w:t>.</w:t>
      </w:r>
      <w:proofErr w:type="gramEnd"/>
      <w:r w:rsidR="00831D9F" w:rsidRPr="00AC20A5">
        <w:rPr>
          <w:rFonts w:eastAsia="TimesNewRomanPS"/>
          <w:sz w:val="22"/>
          <w:szCs w:val="22"/>
          <w:lang w:val="en-US"/>
        </w:rPr>
        <w:t xml:space="preserve"> </w:t>
      </w:r>
      <w:hyperlink r:id="rId96" w:tooltip="Journal of cellular and molecular medicine." w:history="1">
        <w:r w:rsidR="00831D9F" w:rsidRPr="00831D9F">
          <w:rPr>
            <w:sz w:val="22"/>
            <w:szCs w:val="22"/>
            <w:lang w:val="it-IT"/>
          </w:rPr>
          <w:t>J Cell Mol Med.</w:t>
        </w:r>
      </w:hyperlink>
      <w:r w:rsidR="00831D9F" w:rsidRPr="00831D9F">
        <w:rPr>
          <w:rFonts w:eastAsia="TimesNewRomanPS"/>
          <w:sz w:val="22"/>
          <w:szCs w:val="22"/>
          <w:lang w:val="it-IT"/>
        </w:rPr>
        <w:t> 2012 Jan 19.</w:t>
      </w:r>
    </w:p>
    <w:p w:rsidR="00831D9F" w:rsidRPr="00831D9F" w:rsidRDefault="00831D9F" w:rsidP="00831D9F">
      <w:pPr>
        <w:spacing w:after="120"/>
        <w:ind w:left="0" w:right="0"/>
        <w:rPr>
          <w:rFonts w:eastAsia="TimesNewRomanPS"/>
          <w:sz w:val="22"/>
          <w:szCs w:val="22"/>
          <w:lang w:val="it-IT"/>
        </w:rPr>
      </w:pPr>
      <w:r w:rsidRPr="00831D9F">
        <w:rPr>
          <w:rFonts w:eastAsia="TimesNewRomanPS"/>
          <w:sz w:val="22"/>
          <w:szCs w:val="22"/>
          <w:lang w:val="it-IT"/>
        </w:rPr>
        <w:t xml:space="preserve">Valentina Calò, Loredana Bruno, Laura La Paglia, Marco Perez, </w:t>
      </w:r>
      <w:r w:rsidRPr="00831D9F">
        <w:rPr>
          <w:rFonts w:eastAsia="TimesNewRomanPS"/>
          <w:b/>
          <w:sz w:val="22"/>
          <w:szCs w:val="22"/>
          <w:lang w:val="it-IT"/>
        </w:rPr>
        <w:t>Naomi Margarese</w:t>
      </w:r>
      <w:r w:rsidRPr="00831D9F">
        <w:rPr>
          <w:rFonts w:eastAsia="TimesNewRomanPS"/>
          <w:sz w:val="22"/>
          <w:szCs w:val="22"/>
          <w:lang w:val="it-IT"/>
        </w:rPr>
        <w:t xml:space="preserve">, Francesca Di Gaudio and Antonio Russo. </w:t>
      </w:r>
      <w:proofErr w:type="gramStart"/>
      <w:r w:rsidRPr="00831D9F">
        <w:rPr>
          <w:rFonts w:eastAsia="TimesNewRomanPS"/>
          <w:b/>
          <w:sz w:val="22"/>
          <w:szCs w:val="22"/>
          <w:lang w:val="en-US"/>
        </w:rPr>
        <w:t>The Clinical Significance of Unknown Sequence Variants in BRCA Genes.</w:t>
      </w:r>
      <w:proofErr w:type="gramEnd"/>
      <w:r w:rsidRPr="00831D9F">
        <w:rPr>
          <w:rFonts w:eastAsia="TimesNewRomanPS"/>
          <w:sz w:val="22"/>
          <w:szCs w:val="22"/>
          <w:lang w:val="en-US"/>
        </w:rPr>
        <w:t xml:space="preserve"> </w:t>
      </w:r>
      <w:r>
        <w:rPr>
          <w:rFonts w:eastAsia="TimesNewRomanPS"/>
          <w:sz w:val="22"/>
          <w:szCs w:val="22"/>
          <w:lang w:val="it-IT"/>
        </w:rPr>
        <w:t>Cancers 2010, 2, 1644-1660.</w:t>
      </w:r>
    </w:p>
    <w:p w:rsidR="00831D9F" w:rsidRPr="00831D9F" w:rsidRDefault="00831D9F" w:rsidP="00831D9F">
      <w:pPr>
        <w:spacing w:after="120"/>
        <w:ind w:left="0" w:right="0"/>
        <w:rPr>
          <w:rFonts w:eastAsia="TimesNewRomanPS"/>
          <w:sz w:val="22"/>
          <w:szCs w:val="22"/>
          <w:lang w:val="it-IT"/>
        </w:rPr>
      </w:pPr>
      <w:r w:rsidRPr="00831D9F">
        <w:rPr>
          <w:rFonts w:eastAsia="TimesNewRomanPS"/>
          <w:sz w:val="22"/>
          <w:szCs w:val="22"/>
          <w:lang w:val="it-IT"/>
        </w:rPr>
        <w:t xml:space="preserve">Di Gaudio F., La Paglia L., Calò V., Bruno L., Di Piazza F., </w:t>
      </w:r>
      <w:r w:rsidRPr="00831D9F">
        <w:rPr>
          <w:rFonts w:eastAsia="TimesNewRomanPS"/>
          <w:b/>
          <w:sz w:val="22"/>
          <w:szCs w:val="22"/>
          <w:lang w:val="it-IT"/>
        </w:rPr>
        <w:t xml:space="preserve">Margarese N., </w:t>
      </w:r>
      <w:r w:rsidRPr="00831D9F">
        <w:rPr>
          <w:rFonts w:eastAsia="TimesNewRomanPS"/>
          <w:sz w:val="22"/>
          <w:szCs w:val="22"/>
          <w:lang w:val="it-IT"/>
        </w:rPr>
        <w:t xml:space="preserve">Gulotta E., Cicero G., Bronte G, Rizzo S., Bazan V. , and A. Russo. </w:t>
      </w:r>
      <w:proofErr w:type="gramStart"/>
      <w:r w:rsidRPr="00831D9F">
        <w:rPr>
          <w:rFonts w:eastAsia="TimesNewRomanPS"/>
          <w:b/>
          <w:sz w:val="22"/>
          <w:szCs w:val="22"/>
          <w:lang w:val="en-US"/>
        </w:rPr>
        <w:t>How  much</w:t>
      </w:r>
      <w:proofErr w:type="gramEnd"/>
      <w:r w:rsidRPr="00831D9F">
        <w:rPr>
          <w:rFonts w:eastAsia="TimesNewRomanPS"/>
          <w:b/>
          <w:sz w:val="22"/>
          <w:szCs w:val="22"/>
          <w:lang w:val="en-US"/>
        </w:rPr>
        <w:t xml:space="preserve"> of familial breast cancer risk is currently explained by the known genes?</w:t>
      </w:r>
      <w:r w:rsidRPr="00831D9F">
        <w:rPr>
          <w:rFonts w:eastAsia="TimesNewRomanPS"/>
          <w:sz w:val="22"/>
          <w:szCs w:val="22"/>
          <w:lang w:val="en-US"/>
        </w:rPr>
        <w:t xml:space="preserve"> </w:t>
      </w:r>
      <w:r w:rsidRPr="00831D9F">
        <w:rPr>
          <w:rFonts w:eastAsia="TimesNewRomanPS"/>
          <w:sz w:val="22"/>
          <w:szCs w:val="22"/>
          <w:lang w:val="it-IT"/>
        </w:rPr>
        <w:t>Current Women Health Review, 2012, 8, 38-43</w:t>
      </w:r>
    </w:p>
    <w:p w:rsidR="00831D9F" w:rsidRPr="00831D9F" w:rsidRDefault="00831D9F" w:rsidP="00831D9F">
      <w:pPr>
        <w:spacing w:after="120"/>
        <w:ind w:left="0" w:right="0"/>
        <w:rPr>
          <w:rFonts w:eastAsia="TimesNewRomanPS"/>
          <w:sz w:val="22"/>
          <w:szCs w:val="22"/>
          <w:lang w:val="en-US"/>
        </w:rPr>
      </w:pPr>
      <w:r w:rsidRPr="00831D9F">
        <w:rPr>
          <w:rFonts w:eastAsia="TimesNewRomanPS"/>
          <w:sz w:val="22"/>
          <w:szCs w:val="22"/>
          <w:lang w:val="it-IT"/>
        </w:rPr>
        <w:t>Francesca Di Gaudio,Valentina Calò, Laura La Paglia, Loredana Bruno, Florinda Di Piazza</w:t>
      </w:r>
      <w:r w:rsidRPr="00831D9F">
        <w:rPr>
          <w:rFonts w:eastAsia="TimesNewRomanPS"/>
          <w:b/>
          <w:sz w:val="22"/>
          <w:szCs w:val="22"/>
          <w:lang w:val="it-IT"/>
        </w:rPr>
        <w:t>, Naomi Margarese</w:t>
      </w:r>
      <w:r w:rsidRPr="00831D9F">
        <w:rPr>
          <w:rFonts w:eastAsia="TimesNewRomanPS"/>
          <w:sz w:val="22"/>
          <w:szCs w:val="22"/>
          <w:lang w:val="it-IT"/>
        </w:rPr>
        <w:t xml:space="preserve">, Francesca Paola Guadagna, Girolamo Guarneri, Gaetana Rinaldi, Viviana Bazan and Antonio Russo. </w:t>
      </w:r>
      <w:r w:rsidRPr="00831D9F">
        <w:rPr>
          <w:rFonts w:eastAsia="TimesNewRomanPS"/>
          <w:b/>
          <w:sz w:val="22"/>
          <w:szCs w:val="22"/>
          <w:lang w:val="en-US"/>
        </w:rPr>
        <w:t>What Are the Cancer Risks in BRCA Carriers Apart from Those Regarding the Breast and the Ovary?</w:t>
      </w:r>
      <w:r w:rsidRPr="00831D9F">
        <w:rPr>
          <w:rFonts w:eastAsia="TimesNewRomanPS"/>
          <w:sz w:val="22"/>
          <w:szCs w:val="22"/>
          <w:lang w:val="en-US"/>
        </w:rPr>
        <w:t xml:space="preserve">  </w:t>
      </w:r>
      <w:hyperlink r:id="rId97" w:tgtFrame="_blank" w:tooltip="Current Women's Health Reviews" w:history="1">
        <w:r w:rsidRPr="00831D9F">
          <w:rPr>
            <w:rStyle w:val="Hyperlink"/>
            <w:rFonts w:eastAsia="TimesNewRomanPS"/>
            <w:color w:val="auto"/>
            <w:sz w:val="22"/>
            <w:szCs w:val="22"/>
            <w:u w:val="none"/>
            <w:lang w:val="en-US"/>
          </w:rPr>
          <w:t>Current Women's Health Reviews</w:t>
        </w:r>
      </w:hyperlink>
      <w:r w:rsidRPr="00831D9F">
        <w:rPr>
          <w:rFonts w:eastAsia="TimesNewRomanPS"/>
          <w:sz w:val="22"/>
          <w:szCs w:val="22"/>
          <w:lang w:val="en-US"/>
        </w:rPr>
        <w:t xml:space="preserve">, Volume 8, Number 1, February </w:t>
      </w:r>
      <w:proofErr w:type="gramStart"/>
      <w:r w:rsidRPr="00831D9F">
        <w:rPr>
          <w:rFonts w:eastAsia="TimesNewRomanPS"/>
          <w:sz w:val="22"/>
          <w:szCs w:val="22"/>
          <w:lang w:val="en-US"/>
        </w:rPr>
        <w:t>2012 ,</w:t>
      </w:r>
      <w:proofErr w:type="gramEnd"/>
      <w:r w:rsidRPr="00831D9F">
        <w:rPr>
          <w:rFonts w:eastAsia="TimesNewRomanPS"/>
          <w:sz w:val="22"/>
          <w:szCs w:val="22"/>
          <w:lang w:val="en-US"/>
        </w:rPr>
        <w:t xml:space="preserve"> pp. 65-71(7)</w:t>
      </w:r>
    </w:p>
    <w:p w:rsidR="00831D9F" w:rsidRPr="00831D9F" w:rsidRDefault="00831D9F" w:rsidP="00831D9F">
      <w:pPr>
        <w:spacing w:after="120"/>
        <w:ind w:left="0" w:right="0"/>
        <w:rPr>
          <w:rFonts w:eastAsia="TimesNewRomanPS"/>
          <w:b/>
          <w:sz w:val="22"/>
          <w:szCs w:val="22"/>
          <w:lang w:val="it-IT"/>
        </w:rPr>
      </w:pPr>
      <w:r w:rsidRPr="00831D9F">
        <w:rPr>
          <w:rFonts w:eastAsia="TimesNewRomanPS"/>
          <w:b/>
          <w:sz w:val="22"/>
          <w:szCs w:val="22"/>
          <w:lang w:val="it-IT"/>
        </w:rPr>
        <w:t>Abstracts</w:t>
      </w:r>
    </w:p>
    <w:p w:rsidR="00831D9F" w:rsidRPr="00831D9F" w:rsidRDefault="00831D9F" w:rsidP="00831D9F">
      <w:pPr>
        <w:numPr>
          <w:ilvl w:val="0"/>
          <w:numId w:val="10"/>
        </w:numPr>
        <w:spacing w:after="120" w:line="240" w:lineRule="auto"/>
        <w:ind w:right="0"/>
        <w:rPr>
          <w:rFonts w:eastAsia="TimesNewRomanPS"/>
          <w:sz w:val="22"/>
          <w:szCs w:val="22"/>
          <w:lang w:val="it-IT"/>
        </w:rPr>
      </w:pPr>
      <w:r w:rsidRPr="00831D9F">
        <w:rPr>
          <w:rFonts w:eastAsia="TimesNewRomanPS"/>
          <w:b/>
          <w:sz w:val="22"/>
          <w:szCs w:val="22"/>
          <w:lang w:val="it-IT"/>
        </w:rPr>
        <w:t>Margarese N.,</w:t>
      </w:r>
      <w:r w:rsidRPr="00831D9F">
        <w:rPr>
          <w:rFonts w:eastAsia="TimesNewRomanPS"/>
          <w:sz w:val="22"/>
          <w:szCs w:val="22"/>
          <w:lang w:val="it-IT"/>
        </w:rPr>
        <w:t xml:space="preserve"> Perez M., La Paglia L., Corsini L.R., Fanale D. , Terrasi M., Amodeo V., Insalaco L., Cimino S., Damiani G.B. , Napoli L., Bruno L., Calò V., Bazan V., Russo A. </w:t>
      </w:r>
      <w:r w:rsidRPr="00831D9F">
        <w:rPr>
          <w:rFonts w:eastAsia="TimesNewRomanPS"/>
          <w:b/>
          <w:sz w:val="22"/>
          <w:szCs w:val="22"/>
          <w:lang w:val="it-IT"/>
        </w:rPr>
        <w:t>CLINICAL SIGNIFICANCE OF INTRONIC VARIANTS OF BRCA GENES OF SICILIAN PATIENTS WITH HEREDITARY BREAST/OVARIAN CANCERS</w:t>
      </w:r>
      <w:r w:rsidRPr="00831D9F">
        <w:rPr>
          <w:rFonts w:eastAsia="TimesNewRomanPS"/>
          <w:sz w:val="22"/>
          <w:szCs w:val="22"/>
          <w:lang w:val="it-IT"/>
        </w:rPr>
        <w:t>. 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831D9F">
        <w:rPr>
          <w:rFonts w:eastAsia="TimesNewRomanPS"/>
          <w:sz w:val="22"/>
          <w:szCs w:val="22"/>
          <w:lang w:val="it-IT"/>
        </w:rPr>
        <w:t xml:space="preserve">M. Perez, </w:t>
      </w:r>
      <w:r w:rsidRPr="00831D9F">
        <w:rPr>
          <w:rFonts w:eastAsia="TimesNewRomanPS"/>
          <w:b/>
          <w:sz w:val="22"/>
          <w:szCs w:val="22"/>
          <w:lang w:val="it-IT"/>
        </w:rPr>
        <w:t>N. Margarese</w:t>
      </w:r>
      <w:r w:rsidRPr="00831D9F">
        <w:rPr>
          <w:rFonts w:eastAsia="TimesNewRomanPS"/>
          <w:sz w:val="22"/>
          <w:szCs w:val="22"/>
          <w:lang w:val="it-IT"/>
        </w:rPr>
        <w:t xml:space="preserve">, V. Calò, L. Bruno, L. La Paglia, S. Cimino, L.R. Corsini, M. Terrasi, D. Fanale, V. Amodeo, L. Insalaco, L. Napoli, F. Di Gaudio, V. Bazan, A. Russo. </w:t>
      </w:r>
      <w:r w:rsidRPr="00831D9F">
        <w:rPr>
          <w:rFonts w:eastAsia="TimesNewRomanPS"/>
          <w:b/>
          <w:sz w:val="22"/>
          <w:szCs w:val="22"/>
          <w:lang w:val="en-US"/>
        </w:rPr>
        <w:t>VUS VARIANTS IN BRCA GENES OF HEREDITARY BREAST/OVARIAN CANCER</w:t>
      </w:r>
      <w:r w:rsidRPr="00831D9F">
        <w:rPr>
          <w:rFonts w:eastAsia="TimesNewRomanPS"/>
          <w:sz w:val="22"/>
          <w:szCs w:val="22"/>
          <w:lang w:val="en-US"/>
        </w:rPr>
        <w:t xml:space="preserve">. Cancer Treatment Reviews 36S3 (2010) S95-S119 </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831D9F">
        <w:rPr>
          <w:rFonts w:eastAsia="TimesNewRomanPS"/>
          <w:sz w:val="22"/>
          <w:szCs w:val="22"/>
          <w:lang w:val="it-IT"/>
        </w:rPr>
        <w:t xml:space="preserve">Terrasi M.,  Insalaco L., Amodeo V., Corsini L.R., Fanale D., La Paglia L., </w:t>
      </w:r>
      <w:r w:rsidRPr="00831D9F">
        <w:rPr>
          <w:rFonts w:eastAsia="TimesNewRomanPS"/>
          <w:b/>
          <w:sz w:val="22"/>
          <w:szCs w:val="22"/>
          <w:lang w:val="it-IT"/>
        </w:rPr>
        <w:t>Margarese N</w:t>
      </w:r>
      <w:r w:rsidRPr="00831D9F">
        <w:rPr>
          <w:rFonts w:eastAsia="TimesNewRomanPS"/>
          <w:sz w:val="22"/>
          <w:szCs w:val="22"/>
          <w:lang w:val="it-IT"/>
        </w:rPr>
        <w:t xml:space="preserve">., D’Andrea A., Napoli L., Damiani G.B., Bazan V., Russo A.  </w:t>
      </w:r>
      <w:r w:rsidRPr="00831D9F">
        <w:rPr>
          <w:rFonts w:eastAsia="TimesNewRomanPS"/>
          <w:b/>
          <w:sz w:val="22"/>
          <w:szCs w:val="22"/>
          <w:lang w:val="en-US"/>
        </w:rPr>
        <w:t>EFFECTS OF PPARγ AGONIST CIGLITAZONE ON VEGF EXPRESSION IN BREAST CANCER CELLS.</w:t>
      </w:r>
      <w:r w:rsidRPr="00831D9F">
        <w:rPr>
          <w:rFonts w:eastAsia="TimesNewRomanPS"/>
          <w:sz w:val="22"/>
          <w:szCs w:val="22"/>
          <w:lang w:val="en-US"/>
        </w:rPr>
        <w:t xml:space="preserve"> 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AC20A5">
        <w:rPr>
          <w:rFonts w:eastAsia="TimesNewRomanPS"/>
          <w:sz w:val="22"/>
          <w:szCs w:val="22"/>
          <w:lang w:val="it-IT"/>
        </w:rPr>
        <w:t xml:space="preserve">Corsini L.R.,  Fanale D.,  Terrasi M., La Paglia L., </w:t>
      </w:r>
      <w:r w:rsidRPr="00AC20A5">
        <w:rPr>
          <w:rFonts w:eastAsia="TimesNewRomanPS"/>
          <w:b/>
          <w:sz w:val="22"/>
          <w:szCs w:val="22"/>
          <w:lang w:val="it-IT"/>
        </w:rPr>
        <w:t>Margarese N.</w:t>
      </w:r>
      <w:r w:rsidRPr="00AC20A5">
        <w:rPr>
          <w:rFonts w:eastAsia="TimesNewRomanPS"/>
          <w:sz w:val="22"/>
          <w:szCs w:val="22"/>
          <w:lang w:val="it-IT"/>
        </w:rPr>
        <w:t xml:space="preserve">, Amodeo V., Insalaco L., Napoli L., Damiani G.B., Bazan V., Russo A. </w:t>
      </w:r>
      <w:r w:rsidRPr="00AC20A5">
        <w:rPr>
          <w:rFonts w:eastAsia="TimesNewRomanPS"/>
          <w:b/>
          <w:sz w:val="22"/>
          <w:szCs w:val="22"/>
          <w:lang w:val="it-IT"/>
        </w:rPr>
        <w:t>HYPOXIA INDUCES DECREASED EXPRESSION OF BRCA2 IN BREAST CANCER CELL LINES.</w:t>
      </w:r>
      <w:r w:rsidRPr="00AC20A5">
        <w:rPr>
          <w:rFonts w:eastAsia="TimesNewRomanPS"/>
          <w:sz w:val="22"/>
          <w:szCs w:val="22"/>
          <w:lang w:val="it-IT"/>
        </w:rPr>
        <w:t xml:space="preserve"> </w:t>
      </w:r>
      <w:r w:rsidRPr="00831D9F">
        <w:rPr>
          <w:rFonts w:eastAsia="TimesNewRomanPS"/>
          <w:sz w:val="22"/>
          <w:szCs w:val="22"/>
          <w:lang w:val="en-US"/>
        </w:rPr>
        <w:t>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831D9F">
        <w:rPr>
          <w:rFonts w:eastAsia="TimesNewRomanPS"/>
          <w:sz w:val="22"/>
          <w:szCs w:val="22"/>
          <w:lang w:val="en-US"/>
        </w:rPr>
        <w:t xml:space="preserve">Fanale D. , Corsini L.R., Terrasi M.,  Amodeo V., La Paglia L., </w:t>
      </w:r>
      <w:r w:rsidRPr="00831D9F">
        <w:rPr>
          <w:rFonts w:eastAsia="TimesNewRomanPS"/>
          <w:b/>
          <w:sz w:val="22"/>
          <w:szCs w:val="22"/>
          <w:lang w:val="en-US"/>
        </w:rPr>
        <w:t>Margarese N</w:t>
      </w:r>
      <w:r w:rsidRPr="00831D9F">
        <w:rPr>
          <w:rFonts w:eastAsia="TimesNewRomanPS"/>
          <w:sz w:val="22"/>
          <w:szCs w:val="22"/>
          <w:lang w:val="en-US"/>
        </w:rPr>
        <w:t xml:space="preserve">., Insalaco L., Napoli L., Damiani G.B., Bazan V., Russo A. </w:t>
      </w:r>
      <w:r w:rsidRPr="00831D9F">
        <w:rPr>
          <w:rFonts w:eastAsia="TimesNewRomanPS"/>
          <w:b/>
          <w:sz w:val="22"/>
          <w:szCs w:val="22"/>
          <w:lang w:val="en-US"/>
        </w:rPr>
        <w:t>EXPRESSION ANALYSIS OF AURKA UNDER HYPOXIA IN BREAST CANCER CELL LINES</w:t>
      </w:r>
      <w:r w:rsidRPr="00831D9F">
        <w:rPr>
          <w:rFonts w:eastAsia="TimesNewRomanPS"/>
          <w:sz w:val="22"/>
          <w:szCs w:val="22"/>
          <w:lang w:val="en-US"/>
        </w:rPr>
        <w:t>. 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831D9F">
        <w:rPr>
          <w:rFonts w:eastAsia="TimesNewRomanPS"/>
          <w:sz w:val="22"/>
          <w:szCs w:val="22"/>
          <w:lang w:val="en-US"/>
        </w:rPr>
        <w:t xml:space="preserve">Insalaco L., Amodeo V., Terrasi M., Corsini L.R., La Paglia L., Fanale D., </w:t>
      </w:r>
      <w:r w:rsidRPr="00831D9F">
        <w:rPr>
          <w:rFonts w:eastAsia="TimesNewRomanPS"/>
          <w:b/>
          <w:sz w:val="22"/>
          <w:szCs w:val="22"/>
          <w:lang w:val="en-US"/>
        </w:rPr>
        <w:t>Margarese N</w:t>
      </w:r>
      <w:r w:rsidRPr="00831D9F">
        <w:rPr>
          <w:rFonts w:eastAsia="TimesNewRomanPS"/>
          <w:sz w:val="22"/>
          <w:szCs w:val="22"/>
          <w:lang w:val="en-US"/>
        </w:rPr>
        <w:t xml:space="preserve">., D’Andrea A., Damiani G.B., Napoli L., Bazan V., Russo A. </w:t>
      </w:r>
      <w:r w:rsidRPr="00831D9F">
        <w:rPr>
          <w:rFonts w:eastAsia="TimesNewRomanPS"/>
          <w:b/>
          <w:sz w:val="22"/>
          <w:szCs w:val="22"/>
          <w:lang w:val="en-US"/>
        </w:rPr>
        <w:t>ANALYSIS OF MOLECULAR MECHANISMS AND ANTI-TUMORAL EFFECTS OF ZOLEDRONIC ACID IN BREAST CANCER CELLS</w:t>
      </w:r>
      <w:r w:rsidRPr="00831D9F">
        <w:rPr>
          <w:rFonts w:eastAsia="TimesNewRomanPS"/>
          <w:sz w:val="22"/>
          <w:szCs w:val="22"/>
          <w:lang w:val="en-US"/>
        </w:rPr>
        <w:t>. 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AC20A5">
        <w:rPr>
          <w:rFonts w:eastAsia="TimesNewRomanPS"/>
          <w:sz w:val="22"/>
          <w:szCs w:val="22"/>
          <w:lang w:val="it-IT"/>
        </w:rPr>
        <w:t xml:space="preserve">Amodeo V., Insalaco L., Terrasi M., Fanale D., </w:t>
      </w:r>
      <w:r w:rsidRPr="00AC20A5">
        <w:rPr>
          <w:rFonts w:eastAsia="TimesNewRomanPS"/>
          <w:b/>
          <w:sz w:val="22"/>
          <w:szCs w:val="22"/>
          <w:lang w:val="it-IT"/>
        </w:rPr>
        <w:t>Margarese N.</w:t>
      </w:r>
      <w:r w:rsidRPr="00AC20A5">
        <w:rPr>
          <w:rFonts w:eastAsia="TimesNewRomanPS"/>
          <w:sz w:val="22"/>
          <w:szCs w:val="22"/>
          <w:lang w:val="it-IT"/>
        </w:rPr>
        <w:t xml:space="preserve">, La Paglia L., Corsini L.R., Napoli L., Damiani G.B., Bazan V., Russo A. </w:t>
      </w:r>
      <w:r w:rsidRPr="00AC20A5">
        <w:rPr>
          <w:rFonts w:eastAsia="TimesNewRomanPS"/>
          <w:b/>
          <w:sz w:val="22"/>
          <w:szCs w:val="22"/>
          <w:lang w:val="it-IT"/>
        </w:rPr>
        <w:t>EFFECT OF miR-21, miR-182 e let-7i ON TSP-1 EXPRESSION IN COLON CANCER CELL LINE</w:t>
      </w:r>
      <w:r w:rsidRPr="00AC20A5">
        <w:rPr>
          <w:rFonts w:eastAsia="TimesNewRomanPS"/>
          <w:sz w:val="22"/>
          <w:szCs w:val="22"/>
          <w:lang w:val="it-IT"/>
        </w:rPr>
        <w:t xml:space="preserve">. </w:t>
      </w:r>
      <w:r w:rsidRPr="00831D9F">
        <w:rPr>
          <w:rFonts w:eastAsia="TimesNewRomanPS"/>
          <w:sz w:val="22"/>
          <w:szCs w:val="22"/>
          <w:lang w:val="en-US"/>
        </w:rPr>
        <w:t>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831D9F">
        <w:rPr>
          <w:rFonts w:eastAsia="TimesNewRomanPS"/>
          <w:sz w:val="22"/>
          <w:szCs w:val="22"/>
          <w:lang w:val="it-IT"/>
        </w:rPr>
        <w:t xml:space="preserve">La Paglia L. , Terrasi M., Amodeo V., Bruno L., Calò V.,  Corsini L.R., D’Andrea A., Fanale D. , Insalaco L., </w:t>
      </w:r>
      <w:r w:rsidRPr="00831D9F">
        <w:rPr>
          <w:rFonts w:eastAsia="TimesNewRomanPS"/>
          <w:b/>
          <w:sz w:val="22"/>
          <w:szCs w:val="22"/>
          <w:lang w:val="it-IT"/>
        </w:rPr>
        <w:t>Margarese N.,</w:t>
      </w:r>
      <w:r w:rsidRPr="00831D9F">
        <w:rPr>
          <w:rFonts w:eastAsia="TimesNewRomanPS"/>
          <w:sz w:val="22"/>
          <w:szCs w:val="22"/>
          <w:lang w:val="it-IT"/>
        </w:rPr>
        <w:t xml:space="preserve"> Napoli L., Damiani G.B., Bazan V. , Russo A.         </w:t>
      </w:r>
      <w:r w:rsidRPr="00831D9F">
        <w:rPr>
          <w:rFonts w:eastAsia="TimesNewRomanPS"/>
          <w:b/>
          <w:sz w:val="22"/>
          <w:szCs w:val="22"/>
          <w:lang w:val="en-US"/>
        </w:rPr>
        <w:t xml:space="preserve">C-KIT </w:t>
      </w:r>
      <w:proofErr w:type="gramStart"/>
      <w:r w:rsidRPr="00831D9F">
        <w:rPr>
          <w:rFonts w:eastAsia="TimesNewRomanPS"/>
          <w:b/>
          <w:sz w:val="22"/>
          <w:szCs w:val="22"/>
          <w:lang w:val="en-US"/>
        </w:rPr>
        <w:t>MUTATIONS  IN</w:t>
      </w:r>
      <w:proofErr w:type="gramEnd"/>
      <w:r w:rsidRPr="00831D9F">
        <w:rPr>
          <w:rFonts w:eastAsia="TimesNewRomanPS"/>
          <w:b/>
          <w:sz w:val="22"/>
          <w:szCs w:val="22"/>
          <w:lang w:val="en-US"/>
        </w:rPr>
        <w:t xml:space="preserve"> GASTROINTESTINAL STROMAL TUMORS</w:t>
      </w:r>
      <w:r w:rsidRPr="00831D9F">
        <w:rPr>
          <w:rFonts w:eastAsia="TimesNewRomanPS"/>
          <w:sz w:val="22"/>
          <w:szCs w:val="22"/>
          <w:lang w:val="en-US"/>
        </w:rPr>
        <w:t>. Cancer Treatment Reviews 36S3 (2010) S95-S119</w:t>
      </w:r>
    </w:p>
    <w:p w:rsidR="00831D9F" w:rsidRPr="00831D9F" w:rsidRDefault="00831D9F" w:rsidP="00831D9F">
      <w:pPr>
        <w:numPr>
          <w:ilvl w:val="0"/>
          <w:numId w:val="10"/>
        </w:numPr>
        <w:spacing w:after="120" w:line="240" w:lineRule="auto"/>
        <w:ind w:right="0"/>
        <w:rPr>
          <w:rFonts w:eastAsia="TimesNewRomanPS"/>
          <w:sz w:val="22"/>
          <w:szCs w:val="22"/>
          <w:lang w:val="en-US"/>
        </w:rPr>
      </w:pPr>
      <w:r w:rsidRPr="00AC20A5">
        <w:rPr>
          <w:rFonts w:eastAsia="TimesNewRomanPS"/>
          <w:sz w:val="22"/>
          <w:szCs w:val="22"/>
          <w:lang w:val="it-IT"/>
        </w:rPr>
        <w:t xml:space="preserve">Bruno L., Calò V., Rizzo S., Bronte G., </w:t>
      </w:r>
      <w:r w:rsidRPr="00AC20A5">
        <w:rPr>
          <w:rFonts w:eastAsia="TimesNewRomanPS"/>
          <w:b/>
          <w:sz w:val="22"/>
          <w:szCs w:val="22"/>
          <w:lang w:val="it-IT"/>
        </w:rPr>
        <w:t>Margarese N</w:t>
      </w:r>
      <w:r w:rsidRPr="00AC20A5">
        <w:rPr>
          <w:rFonts w:eastAsia="TimesNewRomanPS"/>
          <w:sz w:val="22"/>
          <w:szCs w:val="22"/>
          <w:lang w:val="it-IT"/>
        </w:rPr>
        <w:t xml:space="preserve">., Cimino S., Napoli L., Damiani G.B., Di Gaudio F., La Paglia L., Bazan V. and Russo A. </w:t>
      </w:r>
      <w:r w:rsidRPr="00AC20A5">
        <w:rPr>
          <w:rFonts w:eastAsia="TimesNewRomanPS"/>
          <w:b/>
          <w:sz w:val="22"/>
          <w:szCs w:val="22"/>
          <w:lang w:val="it-IT"/>
        </w:rPr>
        <w:t>A NON COMMON BRAF MUTATION, c.1799-1801delTGA, IDENTIFIED IN SPORADIC COLORECTAL CANCER OF SICILIAN PATIENT.</w:t>
      </w:r>
      <w:r w:rsidRPr="00AC20A5">
        <w:rPr>
          <w:rFonts w:eastAsia="TimesNewRomanPS"/>
          <w:sz w:val="22"/>
          <w:szCs w:val="22"/>
          <w:lang w:val="it-IT"/>
        </w:rPr>
        <w:t xml:space="preserve"> </w:t>
      </w:r>
      <w:r w:rsidRPr="00831D9F">
        <w:rPr>
          <w:rFonts w:eastAsia="TimesNewRomanPS"/>
          <w:sz w:val="22"/>
          <w:szCs w:val="22"/>
          <w:lang w:val="en-US"/>
        </w:rPr>
        <w:t>Cancer Treatment Reviews 36S3 (2010) S95-S119</w:t>
      </w:r>
    </w:p>
    <w:p w:rsidR="00831D9F" w:rsidRPr="00831D9F" w:rsidRDefault="00831D9F" w:rsidP="00831D9F">
      <w:pPr>
        <w:spacing w:after="120"/>
        <w:ind w:left="0" w:right="0"/>
        <w:rPr>
          <w:rFonts w:eastAsia="TimesNewRomanPS"/>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Default="00831D9F" w:rsidP="00831D9F">
      <w:pPr>
        <w:spacing w:after="120"/>
        <w:ind w:left="0" w:right="0"/>
        <w:jc w:val="right"/>
        <w:rPr>
          <w:rFonts w:eastAsia="TimesNewRomanPS"/>
          <w:b/>
          <w:i/>
          <w:sz w:val="36"/>
          <w:szCs w:val="36"/>
          <w:lang w:val="en-US"/>
        </w:rPr>
      </w:pPr>
    </w:p>
    <w:p w:rsidR="00831D9F" w:rsidRPr="00831D9F" w:rsidRDefault="00831D9F" w:rsidP="00831D9F">
      <w:pPr>
        <w:spacing w:after="120"/>
        <w:ind w:left="0" w:right="0"/>
        <w:jc w:val="right"/>
        <w:rPr>
          <w:rFonts w:eastAsia="TimesNewRomanPS"/>
          <w:b/>
          <w:i/>
          <w:sz w:val="36"/>
          <w:szCs w:val="36"/>
          <w:lang w:val="en-US"/>
        </w:rPr>
      </w:pPr>
      <w:r w:rsidRPr="00831D9F">
        <w:rPr>
          <w:rFonts w:eastAsia="TimesNewRomanPS"/>
          <w:b/>
          <w:i/>
          <w:sz w:val="36"/>
          <w:szCs w:val="36"/>
          <w:lang w:val="en-US"/>
        </w:rPr>
        <w:t>Appendix</w:t>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619750"/>
            <wp:effectExtent l="19050" t="0" r="0" b="0"/>
            <wp:docPr id="57"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98" cstate="print"/>
                    <a:srcRect/>
                    <a:stretch>
                      <a:fillRect/>
                    </a:stretch>
                  </pic:blipFill>
                  <pic:spPr bwMode="auto">
                    <a:xfrm>
                      <a:off x="0" y="0"/>
                      <a:ext cx="3962400" cy="56197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610225"/>
            <wp:effectExtent l="1905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99" cstate="print"/>
                    <a:srcRect/>
                    <a:stretch>
                      <a:fillRect/>
                    </a:stretch>
                  </pic:blipFill>
                  <pic:spPr bwMode="auto">
                    <a:xfrm>
                      <a:off x="0" y="0"/>
                      <a:ext cx="3962400" cy="56102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362575"/>
            <wp:effectExtent l="1905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00" cstate="print"/>
                    <a:srcRect/>
                    <a:stretch>
                      <a:fillRect/>
                    </a:stretch>
                  </pic:blipFill>
                  <pic:spPr bwMode="auto">
                    <a:xfrm>
                      <a:off x="0" y="0"/>
                      <a:ext cx="3962400" cy="53625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648325"/>
            <wp:effectExtent l="19050" t="0" r="9525"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01" cstate="print"/>
                    <a:srcRect/>
                    <a:stretch>
                      <a:fillRect/>
                    </a:stretch>
                  </pic:blipFill>
                  <pic:spPr bwMode="auto">
                    <a:xfrm>
                      <a:off x="0" y="0"/>
                      <a:ext cx="3952875" cy="56483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591175"/>
            <wp:effectExtent l="1905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02" cstate="print"/>
                    <a:srcRect/>
                    <a:stretch>
                      <a:fillRect/>
                    </a:stretch>
                  </pic:blipFill>
                  <pic:spPr bwMode="auto">
                    <a:xfrm>
                      <a:off x="0" y="0"/>
                      <a:ext cx="3962400" cy="55911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581650"/>
            <wp:effectExtent l="19050" t="0" r="9525"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03" cstate="print"/>
                    <a:srcRect/>
                    <a:stretch>
                      <a:fillRect/>
                    </a:stretch>
                  </pic:blipFill>
                  <pic:spPr bwMode="auto">
                    <a:xfrm>
                      <a:off x="0" y="0"/>
                      <a:ext cx="3952875" cy="55816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505450"/>
            <wp:effectExtent l="1905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04" cstate="print"/>
                    <a:srcRect/>
                    <a:stretch>
                      <a:fillRect/>
                    </a:stretch>
                  </pic:blipFill>
                  <pic:spPr bwMode="auto">
                    <a:xfrm>
                      <a:off x="0" y="0"/>
                      <a:ext cx="3962400" cy="55054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667375"/>
            <wp:effectExtent l="1905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05" cstate="print"/>
                    <a:srcRect/>
                    <a:stretch>
                      <a:fillRect/>
                    </a:stretch>
                  </pic:blipFill>
                  <pic:spPr bwMode="auto">
                    <a:xfrm>
                      <a:off x="0" y="0"/>
                      <a:ext cx="3962400" cy="56673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62400" cy="5524500"/>
            <wp:effectExtent l="19050" t="0" r="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06" cstate="print"/>
                    <a:srcRect/>
                    <a:stretch>
                      <a:fillRect/>
                    </a:stretch>
                  </pic:blipFill>
                  <pic:spPr bwMode="auto">
                    <a:xfrm>
                      <a:off x="0" y="0"/>
                      <a:ext cx="3962400" cy="55245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3781425"/>
            <wp:effectExtent l="19050" t="0" r="9525"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07" cstate="print"/>
                    <a:srcRect/>
                    <a:stretch>
                      <a:fillRect/>
                    </a:stretch>
                  </pic:blipFill>
                  <pic:spPr bwMode="auto">
                    <a:xfrm>
                      <a:off x="0" y="0"/>
                      <a:ext cx="3952875" cy="37814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991225"/>
            <wp:effectExtent l="19050" t="0" r="9525"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08" cstate="print"/>
                    <a:srcRect/>
                    <a:stretch>
                      <a:fillRect/>
                    </a:stretch>
                  </pic:blipFill>
                  <pic:spPr bwMode="auto">
                    <a:xfrm>
                      <a:off x="0" y="0"/>
                      <a:ext cx="3952875" cy="59912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705475"/>
            <wp:effectExtent l="19050" t="0" r="9525"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09" cstate="print"/>
                    <a:srcRect/>
                    <a:stretch>
                      <a:fillRect/>
                    </a:stretch>
                  </pic:blipFill>
                  <pic:spPr bwMode="auto">
                    <a:xfrm>
                      <a:off x="0" y="0"/>
                      <a:ext cx="3952875" cy="57054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781675"/>
            <wp:effectExtent l="19050" t="0" r="9525"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10" cstate="print"/>
                    <a:srcRect/>
                    <a:stretch>
                      <a:fillRect/>
                    </a:stretch>
                  </pic:blipFill>
                  <pic:spPr bwMode="auto">
                    <a:xfrm>
                      <a:off x="0" y="0"/>
                      <a:ext cx="3952875" cy="57816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686425"/>
            <wp:effectExtent l="19050" t="0" r="9525"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11" cstate="print"/>
                    <a:srcRect/>
                    <a:stretch>
                      <a:fillRect/>
                    </a:stretch>
                  </pic:blipFill>
                  <pic:spPr bwMode="auto">
                    <a:xfrm>
                      <a:off x="0" y="0"/>
                      <a:ext cx="3952875" cy="56864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p>
    <w:p w:rsidR="00831D9F" w:rsidRPr="00831D9F" w:rsidRDefault="00831D9F" w:rsidP="00831D9F">
      <w:pPr>
        <w:spacing w:after="120"/>
        <w:ind w:left="0" w:right="0"/>
        <w:jc w:val="center"/>
        <w:rPr>
          <w:rFonts w:eastAsia="TimesNewRomanPS"/>
          <w:b/>
          <w:i/>
          <w:sz w:val="22"/>
          <w:szCs w:val="22"/>
          <w:lang w:val="en-US"/>
        </w:rPr>
      </w:pPr>
      <w:r w:rsidRPr="00831D9F">
        <w:rPr>
          <w:rFonts w:eastAsia="TimesNewRomanPS"/>
          <w:b/>
          <w:i/>
          <w:noProof/>
          <w:sz w:val="22"/>
          <w:szCs w:val="22"/>
          <w:lang w:val="en-US" w:eastAsia="en-US"/>
        </w:rPr>
        <w:drawing>
          <wp:inline distT="0" distB="0" distL="0" distR="0">
            <wp:extent cx="3952875" cy="5953125"/>
            <wp:effectExtent l="19050" t="0" r="9525"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12" cstate="print"/>
                    <a:srcRect/>
                    <a:stretch>
                      <a:fillRect/>
                    </a:stretch>
                  </pic:blipFill>
                  <pic:spPr bwMode="auto">
                    <a:xfrm>
                      <a:off x="0" y="0"/>
                      <a:ext cx="3952875" cy="59531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886450"/>
            <wp:effectExtent l="19050" t="0" r="9525"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13" cstate="print"/>
                    <a:srcRect/>
                    <a:stretch>
                      <a:fillRect/>
                    </a:stretch>
                  </pic:blipFill>
                  <pic:spPr bwMode="auto">
                    <a:xfrm>
                      <a:off x="0" y="0"/>
                      <a:ext cx="3952875" cy="58864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753100"/>
            <wp:effectExtent l="19050" t="0" r="9525"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14" cstate="print"/>
                    <a:srcRect/>
                    <a:stretch>
                      <a:fillRect/>
                    </a:stretch>
                  </pic:blipFill>
                  <pic:spPr bwMode="auto">
                    <a:xfrm>
                      <a:off x="0" y="0"/>
                      <a:ext cx="3952875" cy="57531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895975"/>
            <wp:effectExtent l="19050" t="0" r="9525"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15" cstate="print"/>
                    <a:srcRect/>
                    <a:stretch>
                      <a:fillRect/>
                    </a:stretch>
                  </pic:blipFill>
                  <pic:spPr bwMode="auto">
                    <a:xfrm>
                      <a:off x="0" y="0"/>
                      <a:ext cx="3952875" cy="58959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695950"/>
            <wp:effectExtent l="1905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16" cstate="print"/>
                    <a:srcRect/>
                    <a:stretch>
                      <a:fillRect/>
                    </a:stretch>
                  </pic:blipFill>
                  <pic:spPr bwMode="auto">
                    <a:xfrm>
                      <a:off x="0" y="0"/>
                      <a:ext cx="3962400" cy="56959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829300"/>
            <wp:effectExtent l="1905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17" cstate="print"/>
                    <a:srcRect/>
                    <a:stretch>
                      <a:fillRect/>
                    </a:stretch>
                  </pic:blipFill>
                  <pic:spPr bwMode="auto">
                    <a:xfrm>
                      <a:off x="0" y="0"/>
                      <a:ext cx="3962400" cy="58293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sz w:val="22"/>
          <w:szCs w:val="22"/>
          <w:lang w:val="fr-FR"/>
        </w:rPr>
      </w:pPr>
      <w:r w:rsidRPr="00831D9F">
        <w:rPr>
          <w:rFonts w:eastAsia="TimesNewRomanPS"/>
          <w:noProof/>
          <w:sz w:val="22"/>
          <w:szCs w:val="22"/>
          <w:lang w:val="en-US" w:eastAsia="en-US"/>
        </w:rPr>
        <w:drawing>
          <wp:inline distT="0" distB="0" distL="0" distR="0">
            <wp:extent cx="3962400" cy="5619750"/>
            <wp:effectExtent l="1905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18" cstate="print"/>
                    <a:srcRect/>
                    <a:stretch>
                      <a:fillRect/>
                    </a:stretch>
                  </pic:blipFill>
                  <pic:spPr bwMode="auto">
                    <a:xfrm>
                      <a:off x="0" y="0"/>
                      <a:ext cx="3962400" cy="56197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6181725"/>
            <wp:effectExtent l="19050" t="0" r="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19" cstate="print"/>
                    <a:srcRect/>
                    <a:stretch>
                      <a:fillRect/>
                    </a:stretch>
                  </pic:blipFill>
                  <pic:spPr bwMode="auto">
                    <a:xfrm>
                      <a:off x="0" y="0"/>
                      <a:ext cx="3962400" cy="61817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829300"/>
            <wp:effectExtent l="1905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120" cstate="print"/>
                    <a:srcRect/>
                    <a:stretch>
                      <a:fillRect/>
                    </a:stretch>
                  </pic:blipFill>
                  <pic:spPr bwMode="auto">
                    <a:xfrm>
                      <a:off x="0" y="0"/>
                      <a:ext cx="3962400" cy="58293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857875"/>
            <wp:effectExtent l="19050" t="0" r="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21" cstate="print"/>
                    <a:srcRect/>
                    <a:stretch>
                      <a:fillRect/>
                    </a:stretch>
                  </pic:blipFill>
                  <pic:spPr bwMode="auto">
                    <a:xfrm>
                      <a:off x="0" y="0"/>
                      <a:ext cx="3962400" cy="58578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905500"/>
            <wp:effectExtent l="1905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22" cstate="print"/>
                    <a:srcRect/>
                    <a:stretch>
                      <a:fillRect/>
                    </a:stretch>
                  </pic:blipFill>
                  <pic:spPr bwMode="auto">
                    <a:xfrm>
                      <a:off x="0" y="0"/>
                      <a:ext cx="3962400" cy="59055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991225"/>
            <wp:effectExtent l="1905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23" cstate="print"/>
                    <a:srcRect/>
                    <a:stretch>
                      <a:fillRect/>
                    </a:stretch>
                  </pic:blipFill>
                  <pic:spPr bwMode="auto">
                    <a:xfrm>
                      <a:off x="0" y="0"/>
                      <a:ext cx="3962400" cy="59912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829300"/>
            <wp:effectExtent l="19050" t="0" r="0" b="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24" cstate="print"/>
                    <a:srcRect/>
                    <a:stretch>
                      <a:fillRect/>
                    </a:stretch>
                  </pic:blipFill>
                  <pic:spPr bwMode="auto">
                    <a:xfrm>
                      <a:off x="0" y="0"/>
                      <a:ext cx="3962400" cy="58293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562600"/>
            <wp:effectExtent l="19050" t="0" r="9525"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25" cstate="print"/>
                    <a:srcRect/>
                    <a:stretch>
                      <a:fillRect/>
                    </a:stretch>
                  </pic:blipFill>
                  <pic:spPr bwMode="auto">
                    <a:xfrm>
                      <a:off x="0" y="0"/>
                      <a:ext cx="3952875" cy="55626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514975"/>
            <wp:effectExtent l="19050" t="0" r="9525"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26" cstate="print"/>
                    <a:srcRect/>
                    <a:stretch>
                      <a:fillRect/>
                    </a:stretch>
                  </pic:blipFill>
                  <pic:spPr bwMode="auto">
                    <a:xfrm>
                      <a:off x="0" y="0"/>
                      <a:ext cx="3952875" cy="55149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343525"/>
            <wp:effectExtent l="19050" t="0" r="9525"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27" cstate="print"/>
                    <a:srcRect/>
                    <a:stretch>
                      <a:fillRect/>
                    </a:stretch>
                  </pic:blipFill>
                  <pic:spPr bwMode="auto">
                    <a:xfrm>
                      <a:off x="0" y="0"/>
                      <a:ext cx="3952875" cy="53435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324475"/>
            <wp:effectExtent l="19050" t="0" r="9525" b="0"/>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28" cstate="print"/>
                    <a:srcRect/>
                    <a:stretch>
                      <a:fillRect/>
                    </a:stretch>
                  </pic:blipFill>
                  <pic:spPr bwMode="auto">
                    <a:xfrm>
                      <a:off x="0" y="0"/>
                      <a:ext cx="3952875" cy="53244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467350"/>
            <wp:effectExtent l="19050" t="0" r="0" b="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9" cstate="print"/>
                    <a:srcRect/>
                    <a:stretch>
                      <a:fillRect/>
                    </a:stretch>
                  </pic:blipFill>
                  <pic:spPr bwMode="auto">
                    <a:xfrm>
                      <a:off x="0" y="0"/>
                      <a:ext cx="3962400" cy="54673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438775"/>
            <wp:effectExtent l="19050" t="0" r="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30" cstate="print"/>
                    <a:srcRect/>
                    <a:stretch>
                      <a:fillRect/>
                    </a:stretch>
                  </pic:blipFill>
                  <pic:spPr bwMode="auto">
                    <a:xfrm>
                      <a:off x="0" y="0"/>
                      <a:ext cx="3962400" cy="54387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2952750"/>
            <wp:effectExtent l="19050" t="0" r="0"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31" cstate="print"/>
                    <a:srcRect/>
                    <a:stretch>
                      <a:fillRect/>
                    </a:stretch>
                  </pic:blipFill>
                  <pic:spPr bwMode="auto">
                    <a:xfrm>
                      <a:off x="0" y="0"/>
                      <a:ext cx="3962400" cy="29527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71925" cy="5495925"/>
            <wp:effectExtent l="19050" t="0" r="9525"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32" cstate="print"/>
                    <a:srcRect/>
                    <a:stretch>
                      <a:fillRect/>
                    </a:stretch>
                  </pic:blipFill>
                  <pic:spPr bwMode="auto">
                    <a:xfrm>
                      <a:off x="0" y="0"/>
                      <a:ext cx="3971925" cy="549592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248275"/>
            <wp:effectExtent l="19050" t="0" r="9525"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33" cstate="print"/>
                    <a:srcRect/>
                    <a:stretch>
                      <a:fillRect/>
                    </a:stretch>
                  </pic:blipFill>
                  <pic:spPr bwMode="auto">
                    <a:xfrm>
                      <a:off x="0" y="0"/>
                      <a:ext cx="3952875" cy="52482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429250"/>
            <wp:effectExtent l="19050" t="0" r="9525"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34" cstate="print"/>
                    <a:srcRect/>
                    <a:stretch>
                      <a:fillRect/>
                    </a:stretch>
                  </pic:blipFill>
                  <pic:spPr bwMode="auto">
                    <a:xfrm>
                      <a:off x="0" y="0"/>
                      <a:ext cx="3952875" cy="542925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52875" cy="5410200"/>
            <wp:effectExtent l="19050" t="0" r="9525"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35" cstate="print"/>
                    <a:srcRect/>
                    <a:stretch>
                      <a:fillRect/>
                    </a:stretch>
                  </pic:blipFill>
                  <pic:spPr bwMode="auto">
                    <a:xfrm>
                      <a:off x="0" y="0"/>
                      <a:ext cx="3952875" cy="54102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295900"/>
            <wp:effectExtent l="1905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36" cstate="print"/>
                    <a:srcRect/>
                    <a:stretch>
                      <a:fillRect/>
                    </a:stretch>
                  </pic:blipFill>
                  <pic:spPr bwMode="auto">
                    <a:xfrm>
                      <a:off x="0" y="0"/>
                      <a:ext cx="3962400" cy="5295900"/>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5476875"/>
            <wp:effectExtent l="19050" t="0" r="0"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37" cstate="print"/>
                    <a:srcRect/>
                    <a:stretch>
                      <a:fillRect/>
                    </a:stretch>
                  </pic:blipFill>
                  <pic:spPr bwMode="auto">
                    <a:xfrm>
                      <a:off x="0" y="0"/>
                      <a:ext cx="3962400" cy="54768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r w:rsidRPr="00831D9F">
        <w:rPr>
          <w:rFonts w:eastAsia="TimesNewRomanPS"/>
          <w:b/>
          <w:i/>
          <w:noProof/>
          <w:sz w:val="22"/>
          <w:szCs w:val="22"/>
          <w:lang w:val="en-US" w:eastAsia="en-US"/>
        </w:rPr>
        <w:drawing>
          <wp:inline distT="0" distB="0" distL="0" distR="0">
            <wp:extent cx="3962400" cy="1285875"/>
            <wp:effectExtent l="19050" t="0" r="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38" cstate="print"/>
                    <a:srcRect/>
                    <a:stretch>
                      <a:fillRect/>
                    </a:stretch>
                  </pic:blipFill>
                  <pic:spPr bwMode="auto">
                    <a:xfrm>
                      <a:off x="0" y="0"/>
                      <a:ext cx="3962400" cy="1285875"/>
                    </a:xfrm>
                    <a:prstGeom prst="rect">
                      <a:avLst/>
                    </a:prstGeom>
                    <a:noFill/>
                    <a:ln w="9525">
                      <a:noFill/>
                      <a:miter lim="800000"/>
                      <a:headEnd/>
                      <a:tailEnd/>
                    </a:ln>
                  </pic:spPr>
                </pic:pic>
              </a:graphicData>
            </a:graphic>
          </wp:inline>
        </w:drawing>
      </w: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831D9F" w:rsidRPr="00831D9F" w:rsidRDefault="00831D9F" w:rsidP="00831D9F">
      <w:pPr>
        <w:spacing w:after="120"/>
        <w:ind w:left="0" w:right="0"/>
        <w:jc w:val="center"/>
        <w:rPr>
          <w:rFonts w:eastAsia="TimesNewRomanPS"/>
          <w:b/>
          <w:i/>
          <w:sz w:val="22"/>
          <w:szCs w:val="22"/>
          <w:lang w:val="it-IT"/>
        </w:rPr>
      </w:pPr>
    </w:p>
    <w:p w:rsidR="003F1ADA" w:rsidRPr="003F1ADA" w:rsidRDefault="003F1ADA" w:rsidP="003F1ADA">
      <w:pPr>
        <w:spacing w:after="120"/>
        <w:ind w:left="0" w:right="0"/>
        <w:jc w:val="center"/>
        <w:rPr>
          <w:rFonts w:eastAsia="TimesNewRomanPS"/>
          <w:sz w:val="22"/>
          <w:szCs w:val="22"/>
          <w:lang w:val="fr-FR"/>
        </w:rPr>
      </w:pPr>
    </w:p>
    <w:p w:rsidR="003F1ADA" w:rsidRPr="003F1ADA" w:rsidRDefault="003F1ADA" w:rsidP="003F1ADA">
      <w:pPr>
        <w:spacing w:after="120"/>
        <w:ind w:left="0" w:right="0"/>
        <w:jc w:val="center"/>
        <w:rPr>
          <w:rFonts w:eastAsia="TimesNewRomanPS"/>
          <w:sz w:val="22"/>
          <w:szCs w:val="22"/>
          <w:lang w:val="fr-FR"/>
        </w:rPr>
      </w:pPr>
    </w:p>
    <w:p w:rsidR="003F1ADA" w:rsidRPr="003F1ADA" w:rsidRDefault="003F1ADA" w:rsidP="003F1ADA">
      <w:pPr>
        <w:spacing w:line="240" w:lineRule="auto"/>
        <w:ind w:left="0" w:right="0"/>
        <w:jc w:val="center"/>
        <w:rPr>
          <w:rFonts w:eastAsia="TimesNewRomanPS"/>
          <w:b/>
          <w:sz w:val="28"/>
          <w:szCs w:val="28"/>
          <w:lang w:val="en-US"/>
        </w:rPr>
      </w:pPr>
      <w:r w:rsidRPr="003F1ADA">
        <w:rPr>
          <w:rFonts w:eastAsia="TimesNewRomanPS"/>
          <w:b/>
          <w:sz w:val="28"/>
          <w:szCs w:val="28"/>
          <w:lang w:val="en-US"/>
        </w:rPr>
        <w:t>Index</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b/>
          <w:sz w:val="22"/>
          <w:szCs w:val="22"/>
          <w:lang w:val="en-US"/>
        </w:rPr>
        <w:t>Introduction</w:t>
      </w:r>
      <w:proofErr w:type="gramStart"/>
      <w:r w:rsidRPr="003F1ADA">
        <w:rPr>
          <w:rFonts w:eastAsia="TimesNewRomanPS"/>
          <w:sz w:val="22"/>
          <w:szCs w:val="22"/>
          <w:lang w:val="en-US"/>
        </w:rPr>
        <w:t>…………………………………………………….…</w:t>
      </w:r>
      <w:r>
        <w:rPr>
          <w:rFonts w:eastAsia="TimesNewRomanPS"/>
          <w:sz w:val="22"/>
          <w:szCs w:val="22"/>
          <w:lang w:val="en-US"/>
        </w:rPr>
        <w:t>...</w:t>
      </w:r>
      <w:r w:rsidRPr="003F1ADA">
        <w:rPr>
          <w:rFonts w:eastAsia="TimesNewRomanPS"/>
          <w:sz w:val="22"/>
          <w:szCs w:val="22"/>
          <w:lang w:val="en-US"/>
        </w:rPr>
        <w:t>…………</w:t>
      </w:r>
      <w:r>
        <w:rPr>
          <w:rFonts w:eastAsia="TimesNewRomanPS"/>
          <w:sz w:val="22"/>
          <w:szCs w:val="22"/>
          <w:lang w:val="en-US"/>
        </w:rPr>
        <w:t>…</w:t>
      </w:r>
      <w:proofErr w:type="gramEnd"/>
      <w:r>
        <w:rPr>
          <w:rFonts w:eastAsia="TimesNewRomanPS"/>
          <w:sz w:val="22"/>
          <w:szCs w:val="22"/>
          <w:lang w:val="en-US"/>
        </w:rPr>
        <w:t>..</w:t>
      </w:r>
      <w:r w:rsidRPr="003F1ADA">
        <w:rPr>
          <w:rFonts w:eastAsia="TimesNewRomanPS"/>
          <w:sz w:val="22"/>
          <w:szCs w:val="22"/>
          <w:lang w:val="en-US"/>
        </w:rPr>
        <w:t>2</w:t>
      </w:r>
    </w:p>
    <w:p w:rsidR="00E426AF" w:rsidRPr="003F1ADA" w:rsidRDefault="00AD2DD9" w:rsidP="003F1ADA">
      <w:pPr>
        <w:numPr>
          <w:ilvl w:val="0"/>
          <w:numId w:val="34"/>
        </w:numPr>
        <w:spacing w:line="240" w:lineRule="auto"/>
        <w:ind w:right="0"/>
        <w:rPr>
          <w:rFonts w:eastAsia="TimesNewRomanPS"/>
          <w:sz w:val="22"/>
          <w:szCs w:val="22"/>
          <w:lang w:val="en-US"/>
        </w:rPr>
      </w:pPr>
      <w:r w:rsidRPr="003F1ADA">
        <w:rPr>
          <w:rFonts w:eastAsia="TimesNewRomanPS"/>
          <w:sz w:val="22"/>
          <w:szCs w:val="22"/>
          <w:lang w:val="en-US"/>
        </w:rPr>
        <w:t>Hereditary predisposition to cancer</w:t>
      </w:r>
      <w:r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003F1ADA"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003F1ADA">
        <w:rPr>
          <w:rFonts w:eastAsia="TimesNewRomanPS"/>
          <w:sz w:val="22"/>
          <w:szCs w:val="22"/>
          <w:lang w:val="en-US"/>
        </w:rPr>
        <w:t>……….</w:t>
      </w:r>
      <w:r w:rsidRPr="003F1ADA">
        <w:rPr>
          <w:rFonts w:eastAsia="TimesNewRomanPS"/>
          <w:sz w:val="22"/>
          <w:szCs w:val="22"/>
          <w:lang w:val="en-US"/>
        </w:rPr>
        <w:t>.3</w:t>
      </w:r>
    </w:p>
    <w:p w:rsidR="003F1ADA" w:rsidRPr="003F1ADA" w:rsidRDefault="003F1ADA" w:rsidP="003F1ADA">
      <w:pPr>
        <w:numPr>
          <w:ilvl w:val="1"/>
          <w:numId w:val="26"/>
        </w:numPr>
        <w:spacing w:line="240" w:lineRule="auto"/>
        <w:ind w:right="0"/>
        <w:rPr>
          <w:rFonts w:eastAsia="TimesNewRomanPS"/>
          <w:sz w:val="22"/>
          <w:szCs w:val="22"/>
          <w:lang w:val="en-US"/>
        </w:rPr>
      </w:pPr>
      <w:r w:rsidRPr="003F1ADA">
        <w:rPr>
          <w:rFonts w:eastAsia="TimesNewRomanPS"/>
          <w:sz w:val="22"/>
          <w:szCs w:val="22"/>
          <w:lang w:val="en-US"/>
        </w:rPr>
        <w:t xml:space="preserve"> Cancer Susceptibility Genes…………………</w:t>
      </w:r>
      <w:r>
        <w:rPr>
          <w:rFonts w:eastAsia="TimesNewRomanPS"/>
          <w:sz w:val="22"/>
          <w:szCs w:val="22"/>
          <w:lang w:val="en-US"/>
        </w:rPr>
        <w:t>….</w:t>
      </w:r>
      <w:r w:rsidRPr="003F1ADA">
        <w:rPr>
          <w:rFonts w:eastAsia="TimesNewRomanPS"/>
          <w:sz w:val="22"/>
          <w:szCs w:val="22"/>
          <w:lang w:val="en-US"/>
        </w:rPr>
        <w:t>….……………….....</w:t>
      </w:r>
      <w:r>
        <w:rPr>
          <w:rFonts w:eastAsia="TimesNewRomanPS"/>
          <w:sz w:val="22"/>
          <w:szCs w:val="22"/>
          <w:lang w:val="en-US"/>
        </w:rPr>
        <w:t>....</w:t>
      </w:r>
      <w:r w:rsidRPr="003F1ADA">
        <w:rPr>
          <w:rFonts w:eastAsia="TimesNewRomanPS"/>
          <w:sz w:val="22"/>
          <w:szCs w:val="22"/>
          <w:lang w:val="en-US"/>
        </w:rPr>
        <w:t>3</w:t>
      </w:r>
    </w:p>
    <w:p w:rsidR="003F1ADA" w:rsidRPr="003F1ADA" w:rsidRDefault="003F1ADA" w:rsidP="003F1ADA">
      <w:pPr>
        <w:numPr>
          <w:ilvl w:val="1"/>
          <w:numId w:val="26"/>
        </w:numPr>
        <w:spacing w:line="240" w:lineRule="auto"/>
        <w:ind w:right="0"/>
        <w:rPr>
          <w:rFonts w:eastAsia="TimesNewRomanPS"/>
          <w:sz w:val="22"/>
          <w:szCs w:val="22"/>
          <w:lang w:val="en-US"/>
        </w:rPr>
      </w:pPr>
      <w:r w:rsidRPr="003F1ADA">
        <w:rPr>
          <w:rFonts w:eastAsia="TimesNewRomanPS"/>
          <w:sz w:val="22"/>
          <w:szCs w:val="22"/>
          <w:lang w:val="en-US"/>
        </w:rPr>
        <w:t xml:space="preserve"> Hereditary cancer syndromes………………………………..…</w:t>
      </w:r>
      <w:r>
        <w:rPr>
          <w:rFonts w:eastAsia="TimesNewRomanPS"/>
          <w:sz w:val="22"/>
          <w:szCs w:val="22"/>
          <w:lang w:val="en-US"/>
        </w:rPr>
        <w:t>.</w:t>
      </w:r>
      <w:r w:rsidRPr="003F1ADA">
        <w:rPr>
          <w:rFonts w:eastAsia="TimesNewRomanPS"/>
          <w:sz w:val="22"/>
          <w:szCs w:val="22"/>
          <w:lang w:val="en-US"/>
        </w:rPr>
        <w:t>……...</w:t>
      </w:r>
      <w:r>
        <w:rPr>
          <w:rFonts w:eastAsia="TimesNewRomanPS"/>
          <w:sz w:val="22"/>
          <w:szCs w:val="22"/>
          <w:lang w:val="en-US"/>
        </w:rPr>
        <w:t>....</w:t>
      </w:r>
      <w:r w:rsidRPr="003F1ADA">
        <w:rPr>
          <w:rFonts w:eastAsia="TimesNewRomanPS"/>
          <w:sz w:val="22"/>
          <w:szCs w:val="22"/>
          <w:lang w:val="en-US"/>
        </w:rPr>
        <w:t>5</w:t>
      </w:r>
    </w:p>
    <w:p w:rsidR="003F1ADA" w:rsidRPr="003F1ADA" w:rsidRDefault="003F1ADA" w:rsidP="003F1ADA">
      <w:pPr>
        <w:numPr>
          <w:ilvl w:val="1"/>
          <w:numId w:val="26"/>
        </w:numPr>
        <w:spacing w:line="240" w:lineRule="auto"/>
        <w:ind w:right="0"/>
        <w:rPr>
          <w:rFonts w:eastAsia="TimesNewRomanPS"/>
          <w:sz w:val="22"/>
          <w:szCs w:val="22"/>
          <w:lang w:val="en-US"/>
        </w:rPr>
      </w:pPr>
      <w:r w:rsidRPr="003F1ADA">
        <w:rPr>
          <w:rFonts w:eastAsia="TimesNewRomanPS"/>
          <w:sz w:val="22"/>
          <w:szCs w:val="22"/>
          <w:lang w:val="en-US"/>
        </w:rPr>
        <w:t xml:space="preserve"> </w:t>
      </w:r>
      <w:r w:rsidRPr="003F1ADA">
        <w:rPr>
          <w:rFonts w:eastAsia="TimesNewRomanPS"/>
          <w:sz w:val="22"/>
          <w:szCs w:val="22"/>
        </w:rPr>
        <w:t>Cancer risks in genetically predisposed individuals.............</w:t>
      </w:r>
      <w:r>
        <w:rPr>
          <w:rFonts w:eastAsia="TimesNewRomanPS"/>
          <w:sz w:val="22"/>
          <w:szCs w:val="22"/>
        </w:rPr>
        <w:t>..............</w:t>
      </w:r>
      <w:r w:rsidRPr="003F1ADA">
        <w:rPr>
          <w:rFonts w:eastAsia="TimesNewRomanPS"/>
          <w:sz w:val="22"/>
          <w:szCs w:val="22"/>
        </w:rPr>
        <w:t>..</w:t>
      </w:r>
      <w:r>
        <w:rPr>
          <w:rFonts w:eastAsia="TimesNewRomanPS"/>
          <w:sz w:val="22"/>
          <w:szCs w:val="22"/>
        </w:rPr>
        <w:t>....</w:t>
      </w:r>
      <w:r w:rsidRPr="003F1ADA">
        <w:rPr>
          <w:rFonts w:eastAsia="TimesNewRomanPS"/>
          <w:sz w:val="22"/>
          <w:szCs w:val="22"/>
        </w:rPr>
        <w:t>.6</w:t>
      </w:r>
    </w:p>
    <w:p w:rsidR="009250E8" w:rsidRPr="003F1ADA" w:rsidRDefault="00AD2DD9" w:rsidP="003F1ADA">
      <w:pPr>
        <w:numPr>
          <w:ilvl w:val="0"/>
          <w:numId w:val="34"/>
        </w:numPr>
        <w:spacing w:line="240" w:lineRule="auto"/>
        <w:ind w:right="0"/>
        <w:rPr>
          <w:rFonts w:eastAsia="TimesNewRomanPS"/>
          <w:sz w:val="22"/>
          <w:szCs w:val="22"/>
          <w:lang w:val="en-US"/>
        </w:rPr>
      </w:pPr>
      <w:r w:rsidRPr="003F1ADA">
        <w:rPr>
          <w:rFonts w:eastAsia="TimesNewRomanPS"/>
          <w:bCs/>
          <w:iCs/>
          <w:sz w:val="22"/>
          <w:szCs w:val="22"/>
          <w:lang w:val="en-US"/>
        </w:rPr>
        <w:t>Hereditary breast and ovarian cancer syndrome (HBOC)</w:t>
      </w:r>
      <w:r w:rsidRPr="003F1ADA">
        <w:rPr>
          <w:rFonts w:eastAsia="TimesNewRomanPS"/>
          <w:bCs/>
          <w:iCs/>
          <w:sz w:val="22"/>
          <w:szCs w:val="22"/>
          <w:lang w:val="en-US"/>
        </w:rPr>
        <w:t>…</w:t>
      </w:r>
      <w:r w:rsidR="003F1ADA" w:rsidRPr="003F1ADA">
        <w:rPr>
          <w:rFonts w:eastAsia="TimesNewRomanPS"/>
          <w:bCs/>
          <w:iCs/>
          <w:sz w:val="22"/>
          <w:szCs w:val="22"/>
          <w:lang w:val="en-US"/>
        </w:rPr>
        <w:t>…</w:t>
      </w:r>
      <w:r w:rsidR="003F1ADA">
        <w:rPr>
          <w:rFonts w:eastAsia="TimesNewRomanPS"/>
          <w:bCs/>
          <w:iCs/>
          <w:sz w:val="22"/>
          <w:szCs w:val="22"/>
          <w:lang w:val="en-US"/>
        </w:rPr>
        <w:t>...</w:t>
      </w:r>
      <w:r w:rsidRPr="003F1ADA">
        <w:rPr>
          <w:rFonts w:eastAsia="TimesNewRomanPS"/>
          <w:bCs/>
          <w:iCs/>
          <w:sz w:val="22"/>
          <w:szCs w:val="22"/>
          <w:lang w:val="en-US"/>
        </w:rPr>
        <w:t>……</w:t>
      </w:r>
      <w:r w:rsidR="003F1ADA">
        <w:rPr>
          <w:rFonts w:eastAsia="TimesNewRomanPS"/>
          <w:bCs/>
          <w:iCs/>
          <w:sz w:val="22"/>
          <w:szCs w:val="22"/>
          <w:lang w:val="en-US"/>
        </w:rPr>
        <w:t>…..</w:t>
      </w:r>
      <w:r w:rsidRPr="003F1ADA">
        <w:rPr>
          <w:rFonts w:eastAsia="TimesNewRomanPS"/>
          <w:bCs/>
          <w:iCs/>
          <w:sz w:val="22"/>
          <w:szCs w:val="22"/>
          <w:lang w:val="en-US"/>
        </w:rPr>
        <w:t>7</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sz w:val="22"/>
          <w:szCs w:val="22"/>
          <w:lang w:val="en-US"/>
        </w:rPr>
        <w:tab/>
      </w:r>
      <w:r w:rsidR="00AD2DD9" w:rsidRPr="003F1ADA">
        <w:rPr>
          <w:rFonts w:eastAsia="TimesNewRomanPS"/>
          <w:sz w:val="22"/>
          <w:szCs w:val="22"/>
          <w:lang w:val="en-US"/>
        </w:rPr>
        <w:t xml:space="preserve">2.1 </w:t>
      </w:r>
      <w:r w:rsidR="00AD2DD9" w:rsidRPr="003F1ADA">
        <w:rPr>
          <w:rFonts w:eastAsia="TimesNewRomanPS"/>
          <w:sz w:val="22"/>
          <w:szCs w:val="22"/>
          <w:lang w:val="en-US"/>
        </w:rPr>
        <w:t xml:space="preserve">HBOC </w:t>
      </w:r>
      <w:r>
        <w:rPr>
          <w:rFonts w:eastAsia="TimesNewRomanPS"/>
          <w:sz w:val="22"/>
          <w:szCs w:val="22"/>
          <w:lang w:val="en-US"/>
        </w:rPr>
        <w:t>Assessment…………………….</w:t>
      </w:r>
      <w:r w:rsidR="00AD2DD9" w:rsidRPr="003F1ADA">
        <w:rPr>
          <w:rFonts w:eastAsia="TimesNewRomanPS"/>
          <w:sz w:val="22"/>
          <w:szCs w:val="22"/>
          <w:lang w:val="en-US"/>
        </w:rPr>
        <w:t>…………</w:t>
      </w:r>
      <w:r w:rsidRPr="003F1ADA">
        <w:rPr>
          <w:rFonts w:eastAsia="TimesNewRomanPS"/>
          <w:sz w:val="22"/>
          <w:szCs w:val="22"/>
          <w:lang w:val="en-US"/>
        </w:rPr>
        <w:t>………….</w:t>
      </w:r>
      <w:r w:rsidR="00AD2DD9" w:rsidRPr="003F1ADA">
        <w:rPr>
          <w:rFonts w:eastAsia="TimesNewRomanPS"/>
          <w:sz w:val="22"/>
          <w:szCs w:val="22"/>
          <w:lang w:val="en-US"/>
        </w:rPr>
        <w:t>……...</w:t>
      </w:r>
      <w:r>
        <w:rPr>
          <w:rFonts w:eastAsia="TimesNewRomanPS"/>
          <w:sz w:val="22"/>
          <w:szCs w:val="22"/>
          <w:lang w:val="en-US"/>
        </w:rPr>
        <w:t>....</w:t>
      </w:r>
      <w:r w:rsidR="00AD2DD9" w:rsidRPr="003F1ADA">
        <w:rPr>
          <w:rFonts w:eastAsia="TimesNewRomanPS"/>
          <w:sz w:val="22"/>
          <w:szCs w:val="22"/>
          <w:lang w:val="en-US"/>
        </w:rPr>
        <w:t>7</w:t>
      </w:r>
    </w:p>
    <w:p w:rsidR="00E426AF" w:rsidRPr="003F1ADA" w:rsidRDefault="003F1ADA" w:rsidP="003F1ADA">
      <w:pPr>
        <w:spacing w:line="240" w:lineRule="auto"/>
        <w:ind w:left="0" w:right="0"/>
        <w:rPr>
          <w:rFonts w:eastAsia="TimesNewRomanPS"/>
          <w:sz w:val="22"/>
          <w:szCs w:val="22"/>
          <w:lang w:val="en-US"/>
        </w:rPr>
      </w:pPr>
      <w:r w:rsidRPr="003F1ADA">
        <w:rPr>
          <w:rFonts w:eastAsia="TimesNewRomanPS"/>
          <w:sz w:val="22"/>
          <w:szCs w:val="22"/>
          <w:lang w:val="en-US"/>
        </w:rPr>
        <w:tab/>
      </w:r>
      <w:r w:rsidR="00AD2DD9" w:rsidRPr="003F1ADA">
        <w:rPr>
          <w:rFonts w:eastAsia="TimesNewRomanPS"/>
          <w:sz w:val="22"/>
          <w:szCs w:val="22"/>
          <w:lang w:val="en-US"/>
        </w:rPr>
        <w:t xml:space="preserve">2.2 </w:t>
      </w:r>
      <w:r w:rsidR="00AD2DD9" w:rsidRPr="003F1ADA">
        <w:rPr>
          <w:rFonts w:eastAsia="TimesNewRomanPS"/>
          <w:sz w:val="22"/>
          <w:szCs w:val="22"/>
          <w:lang w:val="en-US"/>
        </w:rPr>
        <w:t xml:space="preserve">Breast and Ovarian Cancer susceptibility genes </w:t>
      </w:r>
      <w:r w:rsidR="00AD2DD9" w:rsidRPr="003F1ADA">
        <w:rPr>
          <w:rFonts w:eastAsia="TimesNewRomanPS"/>
          <w:i/>
          <w:sz w:val="22"/>
          <w:szCs w:val="22"/>
          <w:lang w:val="en-US"/>
        </w:rPr>
        <w:t>BRCA1</w:t>
      </w:r>
      <w:r w:rsidR="00AD2DD9" w:rsidRPr="003F1ADA">
        <w:rPr>
          <w:rFonts w:eastAsia="TimesNewRomanPS"/>
          <w:sz w:val="22"/>
          <w:szCs w:val="22"/>
          <w:lang w:val="en-US"/>
        </w:rPr>
        <w:t xml:space="preserve"> and </w:t>
      </w:r>
      <w:r>
        <w:rPr>
          <w:rFonts w:eastAsia="TimesNewRomanPS"/>
          <w:i/>
          <w:sz w:val="22"/>
          <w:szCs w:val="22"/>
          <w:lang w:val="en-US"/>
        </w:rPr>
        <w:t>BRCA2…</w:t>
      </w:r>
      <w:r w:rsidR="00AD2DD9" w:rsidRPr="003F1ADA">
        <w:rPr>
          <w:rFonts w:eastAsia="TimesNewRomanPS"/>
          <w:i/>
          <w:sz w:val="22"/>
          <w:szCs w:val="22"/>
          <w:lang w:val="en-US"/>
        </w:rPr>
        <w:t>.</w:t>
      </w:r>
      <w:r w:rsidR="00AD2DD9" w:rsidRPr="003F1ADA">
        <w:rPr>
          <w:rFonts w:eastAsia="TimesNewRomanPS"/>
          <w:sz w:val="22"/>
          <w:szCs w:val="22"/>
          <w:lang w:val="en-US"/>
        </w:rPr>
        <w:t>8</w:t>
      </w:r>
    </w:p>
    <w:p w:rsidR="003F1ADA" w:rsidRPr="003F1ADA" w:rsidRDefault="003F1ADA" w:rsidP="003F1ADA">
      <w:pPr>
        <w:numPr>
          <w:ilvl w:val="2"/>
          <w:numId w:val="27"/>
        </w:numPr>
        <w:spacing w:line="240" w:lineRule="auto"/>
        <w:ind w:right="0"/>
        <w:rPr>
          <w:rFonts w:eastAsia="TimesNewRomanPS"/>
          <w:sz w:val="22"/>
          <w:szCs w:val="22"/>
          <w:lang w:val="en-US"/>
        </w:rPr>
      </w:pPr>
      <w:r w:rsidRPr="003F1ADA">
        <w:rPr>
          <w:rFonts w:eastAsia="TimesNewRomanPS"/>
          <w:sz w:val="22"/>
          <w:szCs w:val="22"/>
          <w:lang w:val="en-US"/>
        </w:rPr>
        <w:t xml:space="preserve">Identification, </w:t>
      </w:r>
      <w:r>
        <w:rPr>
          <w:rFonts w:eastAsia="TimesNewRomanPS"/>
          <w:sz w:val="22"/>
          <w:szCs w:val="22"/>
          <w:lang w:val="en-US"/>
        </w:rPr>
        <w:t>structure and expression………</w:t>
      </w:r>
      <w:r w:rsidRPr="003F1ADA">
        <w:rPr>
          <w:rFonts w:eastAsia="TimesNewRomanPS"/>
          <w:sz w:val="22"/>
          <w:szCs w:val="22"/>
          <w:lang w:val="en-US"/>
        </w:rPr>
        <w:t>…..……… 8</w:t>
      </w:r>
    </w:p>
    <w:p w:rsidR="003F1ADA" w:rsidRPr="003F1ADA" w:rsidRDefault="003F1ADA" w:rsidP="003F1ADA">
      <w:pPr>
        <w:numPr>
          <w:ilvl w:val="2"/>
          <w:numId w:val="27"/>
        </w:numPr>
        <w:spacing w:line="240" w:lineRule="auto"/>
        <w:ind w:right="0"/>
        <w:rPr>
          <w:rFonts w:eastAsia="TimesNewRomanPS"/>
          <w:sz w:val="22"/>
          <w:szCs w:val="22"/>
          <w:lang w:val="en-US"/>
        </w:rPr>
      </w:pPr>
      <w:r w:rsidRPr="003F1ADA">
        <w:rPr>
          <w:rFonts w:eastAsia="TimesNewRomanPS"/>
          <w:sz w:val="22"/>
          <w:szCs w:val="22"/>
          <w:lang w:val="en-US"/>
        </w:rPr>
        <w:t>Function………………………………</w:t>
      </w:r>
      <w:r>
        <w:rPr>
          <w:rFonts w:eastAsia="TimesNewRomanPS"/>
          <w:sz w:val="22"/>
          <w:szCs w:val="22"/>
          <w:lang w:val="en-US"/>
        </w:rPr>
        <w:t>…</w:t>
      </w:r>
      <w:r w:rsidRPr="003F1ADA">
        <w:rPr>
          <w:rFonts w:eastAsia="TimesNewRomanPS"/>
          <w:sz w:val="22"/>
          <w:szCs w:val="22"/>
          <w:lang w:val="en-US"/>
        </w:rPr>
        <w:t>……….…</w:t>
      </w:r>
      <w:r w:rsidR="00B91ECF">
        <w:rPr>
          <w:rFonts w:eastAsia="TimesNewRomanPS"/>
          <w:sz w:val="22"/>
          <w:szCs w:val="22"/>
          <w:lang w:val="en-US"/>
        </w:rPr>
        <w:t>.</w:t>
      </w:r>
      <w:r w:rsidRPr="003F1ADA">
        <w:rPr>
          <w:rFonts w:eastAsia="TimesNewRomanPS"/>
          <w:sz w:val="22"/>
          <w:szCs w:val="22"/>
          <w:lang w:val="en-US"/>
        </w:rPr>
        <w:t>…….. 10</w:t>
      </w:r>
    </w:p>
    <w:p w:rsidR="003F1ADA" w:rsidRPr="003F1ADA" w:rsidRDefault="003F1ADA" w:rsidP="003F1ADA">
      <w:pPr>
        <w:numPr>
          <w:ilvl w:val="2"/>
          <w:numId w:val="27"/>
        </w:numPr>
        <w:spacing w:line="240" w:lineRule="auto"/>
        <w:ind w:right="0"/>
        <w:rPr>
          <w:rFonts w:eastAsia="TimesNewRomanPS"/>
          <w:sz w:val="22"/>
          <w:szCs w:val="22"/>
          <w:lang w:val="en-US"/>
        </w:rPr>
      </w:pPr>
      <w:r w:rsidRPr="003F1ADA">
        <w:rPr>
          <w:rFonts w:eastAsia="TimesNewRomanPS"/>
          <w:sz w:val="22"/>
          <w:szCs w:val="22"/>
          <w:lang w:val="en-US"/>
        </w:rPr>
        <w:t>Mutation Spectrum…………………………………</w:t>
      </w:r>
      <w:r w:rsidR="00B91ECF">
        <w:rPr>
          <w:rFonts w:eastAsia="TimesNewRomanPS"/>
          <w:sz w:val="22"/>
          <w:szCs w:val="22"/>
          <w:lang w:val="en-US"/>
        </w:rPr>
        <w:t>..</w:t>
      </w:r>
      <w:r w:rsidRPr="003F1ADA">
        <w:rPr>
          <w:rFonts w:eastAsia="TimesNewRomanPS"/>
          <w:sz w:val="22"/>
          <w:szCs w:val="22"/>
          <w:lang w:val="en-US"/>
        </w:rPr>
        <w:t>……. 12</w:t>
      </w:r>
    </w:p>
    <w:p w:rsidR="003F1ADA" w:rsidRPr="003F1ADA" w:rsidRDefault="003F1ADA" w:rsidP="003F1ADA">
      <w:pPr>
        <w:numPr>
          <w:ilvl w:val="1"/>
          <w:numId w:val="30"/>
        </w:numPr>
        <w:spacing w:line="240" w:lineRule="auto"/>
        <w:ind w:right="0"/>
        <w:rPr>
          <w:rFonts w:eastAsia="TimesNewRomanPS"/>
          <w:sz w:val="22"/>
          <w:szCs w:val="22"/>
          <w:lang w:val="en-US"/>
        </w:rPr>
      </w:pPr>
      <w:r w:rsidRPr="003F1ADA">
        <w:rPr>
          <w:rFonts w:eastAsia="TimesNewRomanPS"/>
          <w:sz w:val="22"/>
          <w:szCs w:val="22"/>
        </w:rPr>
        <w:t>Identification of cancer predisposed families</w:t>
      </w:r>
      <w:r w:rsidRPr="003F1ADA">
        <w:rPr>
          <w:rFonts w:eastAsia="TimesNewRomanPS"/>
          <w:sz w:val="22"/>
          <w:szCs w:val="22"/>
          <w:lang w:val="en-US"/>
        </w:rPr>
        <w:t>……………….</w:t>
      </w:r>
      <w:r>
        <w:rPr>
          <w:rFonts w:eastAsia="TimesNewRomanPS"/>
          <w:sz w:val="22"/>
          <w:szCs w:val="22"/>
          <w:lang w:val="en-US"/>
        </w:rPr>
        <w:t>…</w:t>
      </w:r>
      <w:r w:rsidR="00B91ECF">
        <w:rPr>
          <w:rFonts w:eastAsia="TimesNewRomanPS"/>
          <w:sz w:val="22"/>
          <w:szCs w:val="22"/>
          <w:lang w:val="en-US"/>
        </w:rPr>
        <w:t>.</w:t>
      </w:r>
      <w:r>
        <w:rPr>
          <w:rFonts w:eastAsia="TimesNewRomanPS"/>
          <w:sz w:val="22"/>
          <w:szCs w:val="22"/>
          <w:lang w:val="en-US"/>
        </w:rPr>
        <w:t>…</w:t>
      </w:r>
      <w:r w:rsidRPr="003F1ADA">
        <w:rPr>
          <w:rFonts w:eastAsia="TimesNewRomanPS"/>
          <w:sz w:val="22"/>
          <w:szCs w:val="22"/>
          <w:lang w:val="en-US"/>
        </w:rPr>
        <w:t>…..13</w:t>
      </w:r>
    </w:p>
    <w:p w:rsidR="003F1ADA" w:rsidRPr="003F1ADA" w:rsidRDefault="003F1ADA" w:rsidP="003F1ADA">
      <w:pPr>
        <w:numPr>
          <w:ilvl w:val="2"/>
          <w:numId w:val="30"/>
        </w:numPr>
        <w:spacing w:line="240" w:lineRule="auto"/>
        <w:ind w:left="1980" w:right="0"/>
        <w:rPr>
          <w:rFonts w:eastAsia="TimesNewRomanPS"/>
          <w:sz w:val="22"/>
          <w:szCs w:val="22"/>
          <w:lang w:val="en-US"/>
        </w:rPr>
      </w:pPr>
      <w:r w:rsidRPr="003F1ADA">
        <w:rPr>
          <w:rFonts w:eastAsia="TimesNewRomanPS"/>
          <w:sz w:val="22"/>
          <w:szCs w:val="22"/>
          <w:lang w:val="en-US"/>
        </w:rPr>
        <w:t>Eligibility Criteria…………...…………….………</w:t>
      </w:r>
      <w:r w:rsidR="00B91ECF">
        <w:rPr>
          <w:rFonts w:eastAsia="TimesNewRomanPS"/>
          <w:sz w:val="22"/>
          <w:szCs w:val="22"/>
          <w:lang w:val="en-US"/>
        </w:rPr>
        <w:t>…</w:t>
      </w:r>
      <w:r w:rsidRPr="003F1ADA">
        <w:rPr>
          <w:rFonts w:eastAsia="TimesNewRomanPS"/>
          <w:sz w:val="22"/>
          <w:szCs w:val="22"/>
          <w:lang w:val="en-US"/>
        </w:rPr>
        <w:t>…….14</w:t>
      </w:r>
    </w:p>
    <w:p w:rsidR="003F1ADA" w:rsidRPr="003F1ADA" w:rsidRDefault="00AD2DD9" w:rsidP="003F1ADA">
      <w:pPr>
        <w:numPr>
          <w:ilvl w:val="1"/>
          <w:numId w:val="30"/>
        </w:numPr>
        <w:spacing w:line="240" w:lineRule="auto"/>
        <w:ind w:right="0"/>
        <w:rPr>
          <w:rFonts w:eastAsia="TimesNewRomanPS"/>
          <w:sz w:val="22"/>
          <w:szCs w:val="22"/>
        </w:rPr>
      </w:pPr>
      <w:r w:rsidRPr="003F1ADA">
        <w:rPr>
          <w:rFonts w:eastAsia="TimesNewRomanPS"/>
          <w:sz w:val="22"/>
          <w:szCs w:val="22"/>
        </w:rPr>
        <w:t>Predictive Genetic Testing</w:t>
      </w:r>
      <w:r w:rsidRPr="003F1ADA">
        <w:rPr>
          <w:rFonts w:eastAsia="TimesNewRomanPS"/>
          <w:sz w:val="22"/>
          <w:szCs w:val="22"/>
        </w:rPr>
        <w:t>……</w:t>
      </w:r>
      <w:r w:rsidR="003F1ADA" w:rsidRPr="003F1ADA">
        <w:rPr>
          <w:rFonts w:eastAsia="TimesNewRomanPS"/>
          <w:sz w:val="22"/>
          <w:szCs w:val="22"/>
        </w:rPr>
        <w:t>....................................</w:t>
      </w:r>
      <w:r w:rsidR="003F1ADA">
        <w:rPr>
          <w:rFonts w:eastAsia="TimesNewRomanPS"/>
          <w:sz w:val="22"/>
          <w:szCs w:val="22"/>
        </w:rPr>
        <w:t>...........</w:t>
      </w:r>
      <w:r w:rsidR="003F1ADA" w:rsidRPr="003F1ADA">
        <w:rPr>
          <w:rFonts w:eastAsia="TimesNewRomanPS"/>
          <w:sz w:val="22"/>
          <w:szCs w:val="22"/>
        </w:rPr>
        <w:t>.....</w:t>
      </w:r>
      <w:r w:rsidRPr="003F1ADA">
        <w:rPr>
          <w:rFonts w:eastAsia="TimesNewRomanPS"/>
          <w:sz w:val="22"/>
          <w:szCs w:val="22"/>
        </w:rPr>
        <w:t>…</w:t>
      </w:r>
      <w:r w:rsidRPr="003F1ADA">
        <w:rPr>
          <w:rFonts w:eastAsia="TimesNewRomanPS"/>
          <w:sz w:val="22"/>
          <w:szCs w:val="22"/>
        </w:rPr>
        <w:t>.....15</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sz w:val="22"/>
          <w:szCs w:val="22"/>
        </w:rPr>
        <w:t xml:space="preserve">   </w:t>
      </w:r>
      <w:r>
        <w:rPr>
          <w:rFonts w:eastAsia="TimesNewRomanPS"/>
          <w:sz w:val="22"/>
          <w:szCs w:val="22"/>
        </w:rPr>
        <w:t xml:space="preserve">                      </w:t>
      </w:r>
      <w:r w:rsidR="00AD2DD9" w:rsidRPr="003F1ADA">
        <w:rPr>
          <w:rFonts w:eastAsia="TimesNewRomanPS"/>
          <w:sz w:val="22"/>
          <w:szCs w:val="22"/>
        </w:rPr>
        <w:t>2.4.1</w:t>
      </w:r>
      <w:r w:rsidRPr="003F1ADA">
        <w:rPr>
          <w:rFonts w:eastAsia="TimesNewRomanPS"/>
          <w:sz w:val="22"/>
          <w:szCs w:val="22"/>
        </w:rPr>
        <w:t xml:space="preserve"> </w:t>
      </w:r>
      <w:r>
        <w:rPr>
          <w:rFonts w:eastAsia="TimesNewRomanPS"/>
          <w:sz w:val="22"/>
          <w:szCs w:val="22"/>
        </w:rPr>
        <w:t>T</w:t>
      </w:r>
      <w:r w:rsidR="00AD2DD9" w:rsidRPr="003F1ADA">
        <w:rPr>
          <w:rFonts w:eastAsia="TimesNewRomanPS"/>
          <w:sz w:val="22"/>
          <w:szCs w:val="22"/>
          <w:lang w:val="en-US"/>
        </w:rPr>
        <w:t>est Results</w:t>
      </w:r>
      <w:r>
        <w:rPr>
          <w:rFonts w:eastAsia="TimesNewRomanPS"/>
          <w:sz w:val="22"/>
          <w:szCs w:val="22"/>
          <w:lang w:val="en-US"/>
        </w:rPr>
        <w:t>……………</w:t>
      </w:r>
      <w:r w:rsidRPr="003F1ADA">
        <w:rPr>
          <w:rFonts w:eastAsia="TimesNewRomanPS"/>
          <w:sz w:val="22"/>
          <w:szCs w:val="22"/>
          <w:lang w:val="en-US"/>
        </w:rPr>
        <w:t>…………………………………</w:t>
      </w:r>
      <w:r w:rsidR="00AD2DD9" w:rsidRPr="003F1ADA">
        <w:rPr>
          <w:rFonts w:eastAsia="TimesNewRomanPS"/>
          <w:sz w:val="22"/>
          <w:szCs w:val="22"/>
          <w:lang w:val="en-US"/>
        </w:rPr>
        <w:t>…</w:t>
      </w:r>
      <w:r w:rsidR="00AD2DD9" w:rsidRPr="003F1ADA">
        <w:rPr>
          <w:rFonts w:eastAsia="TimesNewRomanPS"/>
          <w:sz w:val="22"/>
          <w:szCs w:val="22"/>
          <w:lang w:val="en-US"/>
        </w:rPr>
        <w:t>16</w:t>
      </w:r>
    </w:p>
    <w:p w:rsidR="00E426AF" w:rsidRPr="003F1ADA" w:rsidRDefault="003F1ADA" w:rsidP="003F1ADA">
      <w:pPr>
        <w:spacing w:line="240" w:lineRule="auto"/>
        <w:ind w:left="0" w:right="0"/>
        <w:rPr>
          <w:rFonts w:eastAsia="TimesNewRomanPS"/>
          <w:sz w:val="22"/>
          <w:szCs w:val="22"/>
        </w:rPr>
      </w:pPr>
      <w:r w:rsidRPr="003F1ADA">
        <w:rPr>
          <w:rFonts w:eastAsia="TimesNewRomanPS"/>
          <w:sz w:val="22"/>
          <w:szCs w:val="22"/>
          <w:lang w:val="en-US"/>
        </w:rPr>
        <w:t xml:space="preserve">    </w:t>
      </w:r>
      <w:r>
        <w:rPr>
          <w:rFonts w:eastAsia="TimesNewRomanPS"/>
          <w:sz w:val="22"/>
          <w:szCs w:val="22"/>
          <w:lang w:val="en-US"/>
        </w:rPr>
        <w:t xml:space="preserve">                     </w:t>
      </w:r>
      <w:proofErr w:type="gramStart"/>
      <w:r w:rsidR="00AD2DD9" w:rsidRPr="003F1ADA">
        <w:rPr>
          <w:rFonts w:eastAsia="TimesNewRomanPS"/>
          <w:sz w:val="22"/>
          <w:szCs w:val="22"/>
          <w:lang w:val="en-US"/>
        </w:rPr>
        <w:t xml:space="preserve">2.4.2 </w:t>
      </w:r>
      <w:r w:rsidRPr="003F1ADA">
        <w:rPr>
          <w:rFonts w:eastAsia="TimesNewRomanPS"/>
          <w:sz w:val="22"/>
          <w:szCs w:val="22"/>
          <w:lang w:val="en-US"/>
        </w:rPr>
        <w:t xml:space="preserve"> </w:t>
      </w:r>
      <w:r w:rsidR="00AD2DD9" w:rsidRPr="003F1ADA">
        <w:rPr>
          <w:rFonts w:eastAsia="TimesNewRomanPS"/>
          <w:sz w:val="22"/>
          <w:szCs w:val="22"/>
          <w:lang w:val="en-US"/>
        </w:rPr>
        <w:t>Variants</w:t>
      </w:r>
      <w:proofErr w:type="gramEnd"/>
      <w:r w:rsidR="00AD2DD9" w:rsidRPr="003F1ADA">
        <w:rPr>
          <w:rFonts w:eastAsia="TimesNewRomanPS"/>
          <w:sz w:val="22"/>
          <w:szCs w:val="22"/>
          <w:lang w:val="en-US"/>
        </w:rPr>
        <w:t xml:space="preserve"> of Uncertain Significance </w:t>
      </w:r>
      <w:r w:rsidR="00AD2DD9" w:rsidRPr="003F1ADA">
        <w:rPr>
          <w:rFonts w:eastAsia="TimesNewRomanPS"/>
          <w:sz w:val="22"/>
          <w:szCs w:val="22"/>
          <w:lang w:val="en-US"/>
        </w:rPr>
        <w:t>……</w:t>
      </w:r>
      <w:r w:rsidRPr="003F1ADA">
        <w:rPr>
          <w:rFonts w:eastAsia="TimesNewRomanPS"/>
          <w:sz w:val="22"/>
          <w:szCs w:val="22"/>
          <w:lang w:val="en-US"/>
        </w:rPr>
        <w:t>…………</w:t>
      </w:r>
      <w:r>
        <w:rPr>
          <w:rFonts w:eastAsia="TimesNewRomanPS"/>
          <w:sz w:val="22"/>
          <w:szCs w:val="22"/>
          <w:lang w:val="en-US"/>
        </w:rPr>
        <w:t>……</w:t>
      </w:r>
      <w:r w:rsidRPr="003F1ADA">
        <w:rPr>
          <w:rFonts w:eastAsia="TimesNewRomanPS"/>
          <w:sz w:val="22"/>
          <w:szCs w:val="22"/>
          <w:lang w:val="en-US"/>
        </w:rPr>
        <w:t>....</w:t>
      </w:r>
      <w:r w:rsidR="00AD2DD9" w:rsidRPr="003F1ADA">
        <w:rPr>
          <w:rFonts w:eastAsia="TimesNewRomanPS"/>
          <w:sz w:val="22"/>
          <w:szCs w:val="22"/>
          <w:lang w:val="en-US"/>
        </w:rPr>
        <w:t>17</w:t>
      </w:r>
    </w:p>
    <w:p w:rsidR="003F1ADA" w:rsidRPr="003F1ADA" w:rsidRDefault="003F1ADA" w:rsidP="003F1ADA">
      <w:pPr>
        <w:numPr>
          <w:ilvl w:val="0"/>
          <w:numId w:val="28"/>
        </w:numPr>
        <w:spacing w:line="240" w:lineRule="auto"/>
        <w:ind w:right="0"/>
        <w:rPr>
          <w:rFonts w:eastAsia="TimesNewRomanPS"/>
          <w:sz w:val="22"/>
          <w:szCs w:val="22"/>
          <w:lang w:val="en-US"/>
        </w:rPr>
      </w:pPr>
      <w:r w:rsidRPr="003F1ADA">
        <w:rPr>
          <w:rFonts w:eastAsia="TimesNewRomanPS"/>
          <w:sz w:val="22"/>
          <w:szCs w:val="22"/>
          <w:lang w:val="en-US"/>
        </w:rPr>
        <w:t xml:space="preserve"> Classification of Variants of Uncertain Significance …………………...17</w:t>
      </w:r>
    </w:p>
    <w:p w:rsidR="00E426AF" w:rsidRPr="003F1ADA" w:rsidRDefault="00AD2DD9" w:rsidP="003F1ADA">
      <w:pPr>
        <w:numPr>
          <w:ilvl w:val="1"/>
          <w:numId w:val="31"/>
        </w:numPr>
        <w:spacing w:line="240" w:lineRule="auto"/>
        <w:ind w:left="1080" w:right="0"/>
        <w:rPr>
          <w:rFonts w:eastAsia="TimesNewRomanPS"/>
          <w:sz w:val="22"/>
          <w:szCs w:val="22"/>
          <w:lang w:val="en-US"/>
        </w:rPr>
      </w:pPr>
      <w:r w:rsidRPr="003F1ADA">
        <w:rPr>
          <w:rFonts w:eastAsia="TimesNewRomanPS"/>
          <w:sz w:val="22"/>
          <w:szCs w:val="22"/>
          <w:lang w:val="en-US"/>
        </w:rPr>
        <w:t>In</w:t>
      </w:r>
      <w:r w:rsidRPr="003F1ADA">
        <w:rPr>
          <w:rFonts w:eastAsia="TimesNewRomanPS"/>
          <w:sz w:val="22"/>
          <w:szCs w:val="22"/>
          <w:lang w:val="en-US"/>
        </w:rPr>
        <w:t xml:space="preserve"> Silico Tools</w:t>
      </w:r>
      <w:r w:rsidRPr="003F1ADA">
        <w:rPr>
          <w:rFonts w:eastAsia="TimesNewRomanPS"/>
          <w:sz w:val="22"/>
          <w:szCs w:val="22"/>
          <w:lang w:val="en-US"/>
        </w:rPr>
        <w:t>…</w:t>
      </w:r>
      <w:r w:rsidRPr="003F1ADA">
        <w:rPr>
          <w:rFonts w:eastAsia="TimesNewRomanPS"/>
          <w:sz w:val="22"/>
          <w:szCs w:val="22"/>
          <w:lang w:val="en-US"/>
        </w:rPr>
        <w:t>…</w:t>
      </w:r>
      <w:r w:rsidR="003F1ADA" w:rsidRPr="003F1ADA">
        <w:rPr>
          <w:rFonts w:eastAsia="TimesNewRomanPS"/>
          <w:sz w:val="22"/>
          <w:szCs w:val="22"/>
          <w:lang w:val="en-US"/>
        </w:rPr>
        <w:t>……………………………………</w:t>
      </w:r>
      <w:r w:rsidR="003F1ADA">
        <w:rPr>
          <w:rFonts w:eastAsia="TimesNewRomanPS"/>
          <w:sz w:val="22"/>
          <w:szCs w:val="22"/>
          <w:lang w:val="en-US"/>
        </w:rPr>
        <w:t>…</w:t>
      </w:r>
      <w:r w:rsidR="003F1ADA"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…18</w:t>
      </w:r>
    </w:p>
    <w:p w:rsidR="00E426AF" w:rsidRPr="003F1ADA" w:rsidRDefault="00AD2DD9" w:rsidP="003F1ADA">
      <w:pPr>
        <w:numPr>
          <w:ilvl w:val="1"/>
          <w:numId w:val="31"/>
        </w:numPr>
        <w:spacing w:line="240" w:lineRule="auto"/>
        <w:ind w:left="1080" w:right="0"/>
        <w:rPr>
          <w:rFonts w:eastAsia="TimesNewRomanPS"/>
          <w:sz w:val="22"/>
          <w:szCs w:val="22"/>
          <w:lang w:val="en-US"/>
        </w:rPr>
      </w:pPr>
      <w:r w:rsidRPr="003F1ADA">
        <w:rPr>
          <w:rFonts w:eastAsia="TimesNewRomanPS"/>
          <w:sz w:val="22"/>
          <w:szCs w:val="22"/>
          <w:lang w:val="en-US"/>
        </w:rPr>
        <w:t>Multifactorial Prediction Models</w:t>
      </w:r>
      <w:r w:rsidRPr="003F1ADA">
        <w:rPr>
          <w:rFonts w:eastAsia="TimesNewRomanPS"/>
          <w:sz w:val="22"/>
          <w:szCs w:val="22"/>
          <w:lang w:val="en-US"/>
        </w:rPr>
        <w:t>…</w:t>
      </w:r>
      <w:r w:rsidRPr="003F1ADA">
        <w:rPr>
          <w:rFonts w:eastAsia="TimesNewRomanPS"/>
          <w:sz w:val="22"/>
          <w:szCs w:val="22"/>
          <w:lang w:val="en-US"/>
        </w:rPr>
        <w:t>…</w:t>
      </w:r>
      <w:r w:rsidRPr="003F1ADA">
        <w:rPr>
          <w:rFonts w:eastAsia="TimesNewRomanPS"/>
          <w:sz w:val="22"/>
          <w:szCs w:val="22"/>
          <w:lang w:val="en-US"/>
        </w:rPr>
        <w:t>…</w:t>
      </w:r>
      <w:r w:rsidR="003F1ADA" w:rsidRPr="003F1ADA">
        <w:rPr>
          <w:rFonts w:eastAsia="TimesNewRomanPS"/>
          <w:sz w:val="22"/>
          <w:szCs w:val="22"/>
          <w:lang w:val="en-US"/>
        </w:rPr>
        <w:t>…………………………</w:t>
      </w:r>
      <w:r w:rsidRPr="003F1ADA">
        <w:rPr>
          <w:rFonts w:eastAsia="TimesNewRomanPS"/>
          <w:sz w:val="22"/>
          <w:szCs w:val="22"/>
          <w:lang w:val="en-US"/>
        </w:rPr>
        <w:t>…19</w:t>
      </w:r>
    </w:p>
    <w:p w:rsidR="003F1ADA" w:rsidRPr="003F1ADA" w:rsidRDefault="003F1ADA" w:rsidP="003F1ADA">
      <w:pPr>
        <w:numPr>
          <w:ilvl w:val="1"/>
          <w:numId w:val="31"/>
        </w:numPr>
        <w:spacing w:line="240" w:lineRule="auto"/>
        <w:ind w:left="1080" w:right="0"/>
        <w:rPr>
          <w:rFonts w:eastAsia="TimesNewRomanPS"/>
          <w:sz w:val="22"/>
          <w:szCs w:val="22"/>
          <w:lang w:val="en-US"/>
        </w:rPr>
      </w:pPr>
      <w:r w:rsidRPr="003F1ADA">
        <w:rPr>
          <w:rFonts w:eastAsia="TimesNewRomanPS"/>
          <w:sz w:val="22"/>
          <w:szCs w:val="22"/>
          <w:lang w:val="en-US"/>
        </w:rPr>
        <w:t>Functional analyses………</w:t>
      </w:r>
      <w:r>
        <w:rPr>
          <w:rFonts w:eastAsia="TimesNewRomanPS"/>
          <w:sz w:val="22"/>
          <w:szCs w:val="22"/>
          <w:lang w:val="en-US"/>
        </w:rPr>
        <w:t>..</w:t>
      </w:r>
      <w:r w:rsidRPr="003F1ADA">
        <w:rPr>
          <w:rFonts w:eastAsia="TimesNewRomanPS"/>
          <w:sz w:val="22"/>
          <w:szCs w:val="22"/>
          <w:lang w:val="en-US"/>
        </w:rPr>
        <w:t>………………………………………. 20</w:t>
      </w:r>
    </w:p>
    <w:p w:rsidR="00E426AF" w:rsidRPr="003F1ADA" w:rsidRDefault="003F1ADA" w:rsidP="003F1ADA">
      <w:pPr>
        <w:numPr>
          <w:ilvl w:val="1"/>
          <w:numId w:val="31"/>
        </w:numPr>
        <w:spacing w:line="240" w:lineRule="auto"/>
        <w:ind w:left="1080" w:right="0"/>
        <w:rPr>
          <w:rFonts w:eastAsia="TimesNewRomanPS"/>
          <w:sz w:val="22"/>
          <w:szCs w:val="22"/>
          <w:lang w:val="en-US"/>
        </w:rPr>
      </w:pPr>
      <w:r w:rsidRPr="003F1ADA">
        <w:rPr>
          <w:rFonts w:eastAsia="TimesNewRomanPS"/>
          <w:sz w:val="22"/>
          <w:szCs w:val="22"/>
        </w:rPr>
        <w:t>Consortia and Databases......................................</w:t>
      </w:r>
      <w:r>
        <w:rPr>
          <w:rFonts w:eastAsia="TimesNewRomanPS"/>
          <w:sz w:val="22"/>
          <w:szCs w:val="22"/>
        </w:rPr>
        <w:t>............................</w:t>
      </w:r>
      <w:r w:rsidR="00B91ECF">
        <w:rPr>
          <w:rFonts w:eastAsia="TimesNewRomanPS"/>
          <w:sz w:val="22"/>
          <w:szCs w:val="22"/>
        </w:rPr>
        <w:t>.</w:t>
      </w:r>
      <w:r>
        <w:rPr>
          <w:rFonts w:eastAsia="TimesNewRomanPS"/>
          <w:sz w:val="22"/>
          <w:szCs w:val="22"/>
        </w:rPr>
        <w:t>..</w:t>
      </w:r>
      <w:r w:rsidRPr="003F1ADA">
        <w:rPr>
          <w:rFonts w:eastAsia="TimesNewRomanPS"/>
          <w:sz w:val="22"/>
          <w:szCs w:val="22"/>
        </w:rPr>
        <w:t>..21</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b/>
          <w:sz w:val="22"/>
          <w:szCs w:val="22"/>
          <w:lang w:val="en-US"/>
        </w:rPr>
        <w:t>Materials and Methods</w:t>
      </w:r>
      <w:proofErr w:type="gramStart"/>
      <w:r w:rsidRPr="003F1ADA">
        <w:rPr>
          <w:rFonts w:eastAsia="TimesNewRomanPS"/>
          <w:sz w:val="22"/>
          <w:szCs w:val="22"/>
          <w:lang w:val="en-US"/>
        </w:rPr>
        <w:t>………………………………………………………..…</w:t>
      </w:r>
      <w:proofErr w:type="gramEnd"/>
      <w:r w:rsidRPr="003F1ADA">
        <w:rPr>
          <w:rFonts w:eastAsia="TimesNewRomanPS"/>
          <w:sz w:val="22"/>
          <w:szCs w:val="22"/>
          <w:lang w:val="en-US"/>
        </w:rPr>
        <w:t>..23</w:t>
      </w:r>
    </w:p>
    <w:p w:rsidR="003F1ADA" w:rsidRPr="003F1ADA" w:rsidRDefault="003F1ADA" w:rsidP="003F1ADA">
      <w:pPr>
        <w:numPr>
          <w:ilvl w:val="0"/>
          <w:numId w:val="29"/>
        </w:numPr>
        <w:spacing w:line="240" w:lineRule="auto"/>
        <w:ind w:right="0"/>
        <w:rPr>
          <w:rFonts w:eastAsia="TimesNewRomanPS"/>
          <w:sz w:val="22"/>
          <w:szCs w:val="22"/>
          <w:lang w:val="en-US"/>
        </w:rPr>
      </w:pPr>
      <w:r w:rsidRPr="003F1ADA">
        <w:rPr>
          <w:rFonts w:eastAsia="TimesNewRomanPS"/>
          <w:sz w:val="22"/>
          <w:szCs w:val="22"/>
          <w:lang w:val="en-US"/>
        </w:rPr>
        <w:t>Patients recruitment  and DNA extraction……………………………... 24</w:t>
      </w:r>
    </w:p>
    <w:p w:rsidR="003F1ADA" w:rsidRPr="003F1ADA" w:rsidRDefault="003F1ADA" w:rsidP="003F1ADA">
      <w:pPr>
        <w:numPr>
          <w:ilvl w:val="0"/>
          <w:numId w:val="29"/>
        </w:numPr>
        <w:spacing w:line="240" w:lineRule="auto"/>
        <w:ind w:right="0"/>
        <w:rPr>
          <w:rFonts w:eastAsia="TimesNewRomanPS"/>
          <w:sz w:val="22"/>
          <w:szCs w:val="22"/>
          <w:lang w:val="en-US"/>
        </w:rPr>
      </w:pPr>
      <w:r w:rsidRPr="003F1ADA">
        <w:rPr>
          <w:rFonts w:eastAsia="TimesNewRomanPS"/>
          <w:sz w:val="22"/>
          <w:szCs w:val="22"/>
          <w:lang w:val="en-US"/>
        </w:rPr>
        <w:t>DNA amplification and sequencing…………………………….……….. 24</w:t>
      </w:r>
    </w:p>
    <w:p w:rsidR="003F1ADA" w:rsidRPr="003F1ADA" w:rsidRDefault="003F1ADA" w:rsidP="003F1ADA">
      <w:pPr>
        <w:spacing w:line="240" w:lineRule="auto"/>
        <w:ind w:left="0" w:right="0"/>
        <w:rPr>
          <w:rFonts w:eastAsia="TimesNewRomanPS"/>
          <w:sz w:val="22"/>
          <w:szCs w:val="22"/>
        </w:rPr>
      </w:pPr>
      <w:r>
        <w:rPr>
          <w:rFonts w:eastAsia="TimesNewRomanPS"/>
          <w:sz w:val="22"/>
          <w:szCs w:val="22"/>
          <w:lang w:val="en-US"/>
        </w:rPr>
        <w:t xml:space="preserve">               </w:t>
      </w:r>
      <w:r w:rsidRPr="003F1ADA">
        <w:rPr>
          <w:rFonts w:eastAsia="TimesNewRomanPS"/>
          <w:sz w:val="22"/>
          <w:szCs w:val="22"/>
          <w:lang w:val="en-US"/>
        </w:rPr>
        <w:t xml:space="preserve">2.1 </w:t>
      </w:r>
      <w:r w:rsidRPr="003F1ADA">
        <w:rPr>
          <w:rFonts w:eastAsia="TimesNewRomanPS"/>
          <w:sz w:val="22"/>
          <w:szCs w:val="22"/>
        </w:rPr>
        <w:t>PCR amplification ..............................................</w:t>
      </w:r>
      <w:r>
        <w:rPr>
          <w:rFonts w:eastAsia="TimesNewRomanPS"/>
          <w:sz w:val="22"/>
          <w:szCs w:val="22"/>
        </w:rPr>
        <w:t>..</w:t>
      </w:r>
      <w:r w:rsidRPr="003F1ADA">
        <w:rPr>
          <w:rFonts w:eastAsia="TimesNewRomanPS"/>
          <w:sz w:val="22"/>
          <w:szCs w:val="22"/>
        </w:rPr>
        <w:t>.....................</w:t>
      </w:r>
      <w:r>
        <w:rPr>
          <w:rFonts w:eastAsia="TimesNewRomanPS"/>
          <w:sz w:val="22"/>
          <w:szCs w:val="22"/>
        </w:rPr>
        <w:t>.....</w:t>
      </w:r>
      <w:r w:rsidRPr="003F1ADA">
        <w:rPr>
          <w:rFonts w:eastAsia="TimesNewRomanPS"/>
          <w:sz w:val="22"/>
          <w:szCs w:val="22"/>
        </w:rPr>
        <w:t>......25</w:t>
      </w:r>
    </w:p>
    <w:p w:rsidR="003F1ADA" w:rsidRPr="003F1ADA" w:rsidRDefault="003F1ADA" w:rsidP="003F1ADA">
      <w:pPr>
        <w:numPr>
          <w:ilvl w:val="1"/>
          <w:numId w:val="32"/>
        </w:numPr>
        <w:spacing w:line="240" w:lineRule="auto"/>
        <w:ind w:right="0"/>
        <w:rPr>
          <w:rFonts w:eastAsia="TimesNewRomanPS"/>
          <w:sz w:val="22"/>
          <w:szCs w:val="22"/>
        </w:rPr>
      </w:pPr>
      <w:r w:rsidRPr="003F1ADA">
        <w:rPr>
          <w:rFonts w:eastAsia="TimesNewRomanPS"/>
          <w:sz w:val="22"/>
          <w:szCs w:val="22"/>
        </w:rPr>
        <w:t>DNA sequencing......................................</w:t>
      </w:r>
      <w:r>
        <w:rPr>
          <w:rFonts w:eastAsia="TimesNewRomanPS"/>
          <w:sz w:val="22"/>
          <w:szCs w:val="22"/>
        </w:rPr>
        <w:t>..</w:t>
      </w:r>
      <w:r w:rsidRPr="003F1ADA">
        <w:rPr>
          <w:rFonts w:eastAsia="TimesNewRomanPS"/>
          <w:sz w:val="22"/>
          <w:szCs w:val="22"/>
        </w:rPr>
        <w:t>............................................25</w:t>
      </w:r>
    </w:p>
    <w:p w:rsidR="009250E8" w:rsidRPr="003F1ADA" w:rsidRDefault="00AD2DD9" w:rsidP="003F1ADA">
      <w:pPr>
        <w:numPr>
          <w:ilvl w:val="0"/>
          <w:numId w:val="29"/>
        </w:numPr>
        <w:spacing w:line="240" w:lineRule="auto"/>
        <w:ind w:right="0"/>
        <w:rPr>
          <w:rFonts w:eastAsia="TimesNewRomanPS"/>
          <w:sz w:val="22"/>
          <w:szCs w:val="22"/>
        </w:rPr>
      </w:pPr>
      <w:r w:rsidRPr="003F1ADA">
        <w:rPr>
          <w:rFonts w:eastAsia="TimesNewRomanPS"/>
          <w:sz w:val="22"/>
          <w:szCs w:val="22"/>
        </w:rPr>
        <w:t>Data Analysis...........</w:t>
      </w:r>
      <w:r w:rsidR="003F1ADA" w:rsidRPr="003F1ADA">
        <w:rPr>
          <w:rFonts w:eastAsia="TimesNewRomanPS"/>
          <w:sz w:val="22"/>
          <w:szCs w:val="22"/>
        </w:rPr>
        <w:t>...............................................................................</w:t>
      </w:r>
      <w:r w:rsidR="003F1ADA">
        <w:rPr>
          <w:rFonts w:eastAsia="TimesNewRomanPS"/>
          <w:sz w:val="22"/>
          <w:szCs w:val="22"/>
        </w:rPr>
        <w:t>.</w:t>
      </w:r>
      <w:r w:rsidR="003F1ADA" w:rsidRPr="003F1ADA">
        <w:rPr>
          <w:rFonts w:eastAsia="TimesNewRomanPS"/>
          <w:sz w:val="22"/>
          <w:szCs w:val="22"/>
        </w:rPr>
        <w:t>.</w:t>
      </w:r>
      <w:r w:rsidRPr="003F1ADA">
        <w:rPr>
          <w:rFonts w:eastAsia="TimesNewRomanPS"/>
          <w:sz w:val="22"/>
          <w:szCs w:val="22"/>
        </w:rPr>
        <w:t>....26</w:t>
      </w:r>
    </w:p>
    <w:p w:rsidR="003F1ADA" w:rsidRPr="003F1ADA" w:rsidRDefault="003F1ADA" w:rsidP="003F1ADA">
      <w:pPr>
        <w:numPr>
          <w:ilvl w:val="0"/>
          <w:numId w:val="29"/>
        </w:numPr>
        <w:spacing w:line="240" w:lineRule="auto"/>
        <w:ind w:right="0"/>
        <w:rPr>
          <w:rFonts w:eastAsia="TimesNewRomanPS"/>
          <w:sz w:val="22"/>
          <w:szCs w:val="22"/>
        </w:rPr>
      </w:pPr>
      <w:r w:rsidRPr="003F1ADA">
        <w:rPr>
          <w:rFonts w:eastAsia="TimesNewRomanPS"/>
          <w:sz w:val="22"/>
          <w:szCs w:val="22"/>
        </w:rPr>
        <w:t>Plasmid construction................................................................................</w:t>
      </w:r>
      <w:r>
        <w:rPr>
          <w:rFonts w:eastAsia="TimesNewRomanPS"/>
          <w:sz w:val="22"/>
          <w:szCs w:val="22"/>
        </w:rPr>
        <w:t>..</w:t>
      </w:r>
      <w:r w:rsidRPr="003F1ADA">
        <w:rPr>
          <w:rFonts w:eastAsia="TimesNewRomanPS"/>
          <w:sz w:val="22"/>
          <w:szCs w:val="22"/>
        </w:rPr>
        <w:t>...26</w:t>
      </w:r>
    </w:p>
    <w:p w:rsidR="003F1ADA" w:rsidRPr="003F1ADA" w:rsidRDefault="003F1ADA" w:rsidP="003F1ADA">
      <w:pPr>
        <w:numPr>
          <w:ilvl w:val="0"/>
          <w:numId w:val="29"/>
        </w:numPr>
        <w:spacing w:line="240" w:lineRule="auto"/>
        <w:ind w:right="0"/>
        <w:rPr>
          <w:rFonts w:eastAsia="TimesNewRomanPS"/>
          <w:sz w:val="22"/>
          <w:szCs w:val="22"/>
        </w:rPr>
      </w:pPr>
      <w:r w:rsidRPr="003F1ADA">
        <w:rPr>
          <w:rFonts w:eastAsia="TimesNewRomanPS"/>
          <w:sz w:val="22"/>
          <w:szCs w:val="22"/>
        </w:rPr>
        <w:t>Site-directed mutagenesis...........................................................................</w:t>
      </w:r>
      <w:r>
        <w:rPr>
          <w:rFonts w:eastAsia="TimesNewRomanPS"/>
          <w:sz w:val="22"/>
          <w:szCs w:val="22"/>
        </w:rPr>
        <w:t>.</w:t>
      </w:r>
      <w:r w:rsidRPr="003F1ADA">
        <w:rPr>
          <w:rFonts w:eastAsia="TimesNewRomanPS"/>
          <w:sz w:val="22"/>
          <w:szCs w:val="22"/>
        </w:rPr>
        <w:t>.27</w:t>
      </w:r>
    </w:p>
    <w:p w:rsidR="003F1ADA" w:rsidRPr="003F1ADA" w:rsidRDefault="003F1ADA" w:rsidP="003F1ADA">
      <w:pPr>
        <w:numPr>
          <w:ilvl w:val="0"/>
          <w:numId w:val="29"/>
        </w:numPr>
        <w:spacing w:line="240" w:lineRule="auto"/>
        <w:ind w:right="0"/>
        <w:rPr>
          <w:rFonts w:eastAsia="TimesNewRomanPS"/>
          <w:sz w:val="22"/>
          <w:szCs w:val="22"/>
        </w:rPr>
      </w:pPr>
      <w:r w:rsidRPr="003F1ADA">
        <w:rPr>
          <w:rFonts w:eastAsia="TimesNewRomanPS"/>
          <w:i/>
          <w:sz w:val="22"/>
          <w:szCs w:val="22"/>
        </w:rPr>
        <w:t>In vitro</w:t>
      </w:r>
      <w:r w:rsidRPr="003F1ADA">
        <w:rPr>
          <w:rFonts w:eastAsia="TimesNewRomanPS"/>
          <w:sz w:val="22"/>
          <w:szCs w:val="22"/>
        </w:rPr>
        <w:t xml:space="preserve"> Green Fluorescent Protein (GFP)-reassembly fragment..................27</w:t>
      </w:r>
    </w:p>
    <w:p w:rsidR="003F1ADA" w:rsidRPr="003F1ADA" w:rsidRDefault="003F1ADA" w:rsidP="003F1ADA">
      <w:pPr>
        <w:numPr>
          <w:ilvl w:val="0"/>
          <w:numId w:val="29"/>
        </w:numPr>
        <w:spacing w:line="240" w:lineRule="auto"/>
        <w:ind w:right="0"/>
        <w:rPr>
          <w:rFonts w:eastAsia="TimesNewRomanPS"/>
          <w:sz w:val="22"/>
          <w:szCs w:val="22"/>
        </w:rPr>
      </w:pPr>
      <w:r w:rsidRPr="003F1ADA">
        <w:rPr>
          <w:rFonts w:eastAsia="TimesNewRomanPS"/>
          <w:i/>
          <w:sz w:val="22"/>
          <w:szCs w:val="22"/>
        </w:rPr>
        <w:t>Immobilized Metal Affinity Chromatography</w:t>
      </w:r>
      <w:r w:rsidRPr="003F1ADA">
        <w:rPr>
          <w:rFonts w:eastAsia="TimesNewRomanPS"/>
          <w:sz w:val="22"/>
          <w:szCs w:val="22"/>
        </w:rPr>
        <w:t xml:space="preserve"> (IMAC).................................27</w:t>
      </w:r>
    </w:p>
    <w:p w:rsidR="003F1ADA" w:rsidRPr="003F1ADA" w:rsidRDefault="003F1ADA" w:rsidP="003F1ADA">
      <w:pPr>
        <w:numPr>
          <w:ilvl w:val="0"/>
          <w:numId w:val="29"/>
        </w:numPr>
        <w:spacing w:line="240" w:lineRule="auto"/>
        <w:ind w:right="0"/>
        <w:rPr>
          <w:rFonts w:eastAsia="TimesNewRomanPS"/>
          <w:sz w:val="22"/>
          <w:szCs w:val="22"/>
        </w:rPr>
      </w:pPr>
      <w:r w:rsidRPr="003F1ADA">
        <w:rPr>
          <w:rFonts w:eastAsia="TimesNewRomanPS"/>
          <w:i/>
          <w:sz w:val="22"/>
          <w:szCs w:val="22"/>
        </w:rPr>
        <w:t>In Silico</w:t>
      </w:r>
      <w:r w:rsidRPr="003F1ADA">
        <w:rPr>
          <w:rFonts w:eastAsia="TimesNewRomanPS"/>
          <w:sz w:val="22"/>
          <w:szCs w:val="22"/>
        </w:rPr>
        <w:t xml:space="preserve"> prediction.....................................................................................</w:t>
      </w:r>
      <w:r>
        <w:rPr>
          <w:rFonts w:eastAsia="TimesNewRomanPS"/>
          <w:sz w:val="22"/>
          <w:szCs w:val="22"/>
        </w:rPr>
        <w:t>...</w:t>
      </w:r>
      <w:r w:rsidRPr="003F1ADA">
        <w:rPr>
          <w:rFonts w:eastAsia="TimesNewRomanPS"/>
          <w:sz w:val="22"/>
          <w:szCs w:val="22"/>
        </w:rPr>
        <w:t>29</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b/>
          <w:sz w:val="22"/>
          <w:szCs w:val="22"/>
          <w:lang w:val="en-US"/>
        </w:rPr>
        <w:t>Results</w:t>
      </w:r>
      <w:r w:rsidRPr="003F1ADA">
        <w:rPr>
          <w:rFonts w:eastAsia="TimesNewRomanPS"/>
          <w:sz w:val="22"/>
          <w:szCs w:val="22"/>
          <w:lang w:val="en-US"/>
        </w:rPr>
        <w:t>…………………………………………………………………………….30</w:t>
      </w:r>
    </w:p>
    <w:p w:rsidR="003F1ADA" w:rsidRPr="003F1ADA" w:rsidRDefault="003F1ADA" w:rsidP="003F1ADA">
      <w:pPr>
        <w:numPr>
          <w:ilvl w:val="0"/>
          <w:numId w:val="33"/>
        </w:numPr>
        <w:spacing w:line="240" w:lineRule="auto"/>
        <w:ind w:right="0"/>
        <w:rPr>
          <w:rFonts w:eastAsia="TimesNewRomanPS"/>
          <w:sz w:val="22"/>
          <w:szCs w:val="22"/>
        </w:rPr>
      </w:pPr>
      <w:r w:rsidRPr="003F1ADA">
        <w:rPr>
          <w:rFonts w:eastAsia="TimesNewRomanPS"/>
          <w:sz w:val="22"/>
          <w:szCs w:val="22"/>
        </w:rPr>
        <w:t xml:space="preserve">Mutational analysis of </w:t>
      </w:r>
      <w:r w:rsidRPr="003F1ADA">
        <w:rPr>
          <w:rFonts w:eastAsia="TimesNewRomanPS"/>
          <w:i/>
          <w:sz w:val="22"/>
          <w:szCs w:val="22"/>
        </w:rPr>
        <w:t>BRCA1</w:t>
      </w:r>
      <w:r w:rsidRPr="003F1ADA">
        <w:rPr>
          <w:rFonts w:eastAsia="TimesNewRomanPS"/>
          <w:sz w:val="22"/>
          <w:szCs w:val="22"/>
        </w:rPr>
        <w:t xml:space="preserve"> and </w:t>
      </w:r>
      <w:r w:rsidRPr="003F1ADA">
        <w:rPr>
          <w:rFonts w:eastAsia="TimesNewRomanPS"/>
          <w:i/>
          <w:sz w:val="22"/>
          <w:szCs w:val="22"/>
        </w:rPr>
        <w:t>BRCA2</w:t>
      </w:r>
      <w:r w:rsidRPr="003F1ADA">
        <w:rPr>
          <w:rFonts w:eastAsia="TimesNewRomanPS"/>
          <w:sz w:val="22"/>
          <w:szCs w:val="22"/>
        </w:rPr>
        <w:t>.................................................31</w:t>
      </w:r>
    </w:p>
    <w:p w:rsidR="003F1ADA" w:rsidRPr="003F1ADA" w:rsidRDefault="003F1ADA" w:rsidP="003F1ADA">
      <w:pPr>
        <w:numPr>
          <w:ilvl w:val="1"/>
          <w:numId w:val="33"/>
        </w:numPr>
        <w:spacing w:line="240" w:lineRule="auto"/>
        <w:ind w:right="0"/>
        <w:rPr>
          <w:rFonts w:eastAsia="TimesNewRomanPS"/>
          <w:sz w:val="22"/>
          <w:szCs w:val="22"/>
          <w:lang w:val="en-US"/>
        </w:rPr>
      </w:pPr>
      <w:r w:rsidRPr="003F1ADA">
        <w:rPr>
          <w:rFonts w:eastAsia="TimesNewRomanPS"/>
          <w:sz w:val="22"/>
          <w:szCs w:val="22"/>
          <w:lang w:val="en-US"/>
        </w:rPr>
        <w:t>Pathogenic mutation…………………………………….....................31</w:t>
      </w:r>
    </w:p>
    <w:p w:rsidR="003F1ADA" w:rsidRPr="003F1ADA" w:rsidRDefault="003F1ADA" w:rsidP="003F1ADA">
      <w:pPr>
        <w:numPr>
          <w:ilvl w:val="1"/>
          <w:numId w:val="33"/>
        </w:numPr>
        <w:spacing w:line="240" w:lineRule="auto"/>
        <w:ind w:right="0"/>
        <w:rPr>
          <w:rFonts w:eastAsia="TimesNewRomanPS"/>
          <w:sz w:val="22"/>
          <w:szCs w:val="22"/>
        </w:rPr>
      </w:pPr>
      <w:r w:rsidRPr="003F1ADA">
        <w:rPr>
          <w:rFonts w:eastAsia="TimesNewRomanPS"/>
          <w:sz w:val="22"/>
          <w:szCs w:val="22"/>
        </w:rPr>
        <w:t>Unclassified genetic variants.............................................</w:t>
      </w:r>
      <w:r>
        <w:rPr>
          <w:rFonts w:eastAsia="TimesNewRomanPS"/>
          <w:sz w:val="22"/>
          <w:szCs w:val="22"/>
        </w:rPr>
        <w:t>..</w:t>
      </w:r>
      <w:r w:rsidRPr="003F1ADA">
        <w:rPr>
          <w:rFonts w:eastAsia="TimesNewRomanPS"/>
          <w:sz w:val="22"/>
          <w:szCs w:val="22"/>
        </w:rPr>
        <w:t>...................31</w:t>
      </w:r>
    </w:p>
    <w:p w:rsidR="003F1ADA" w:rsidRPr="003F1ADA" w:rsidRDefault="003F1ADA" w:rsidP="003F1ADA">
      <w:pPr>
        <w:numPr>
          <w:ilvl w:val="1"/>
          <w:numId w:val="33"/>
        </w:numPr>
        <w:spacing w:line="240" w:lineRule="auto"/>
        <w:ind w:right="0"/>
        <w:rPr>
          <w:rFonts w:eastAsia="TimesNewRomanPS"/>
          <w:sz w:val="22"/>
          <w:szCs w:val="22"/>
        </w:rPr>
      </w:pPr>
      <w:r w:rsidRPr="003F1ADA">
        <w:rPr>
          <w:rFonts w:eastAsia="TimesNewRomanPS"/>
          <w:sz w:val="22"/>
          <w:szCs w:val="22"/>
          <w:lang w:val="en-US"/>
        </w:rPr>
        <w:t>Polymorphisms......................................................................</w:t>
      </w:r>
      <w:r>
        <w:rPr>
          <w:rFonts w:eastAsia="TimesNewRomanPS"/>
          <w:sz w:val="22"/>
          <w:szCs w:val="22"/>
          <w:lang w:val="en-US"/>
        </w:rPr>
        <w:t>...</w:t>
      </w:r>
      <w:r w:rsidRPr="003F1ADA">
        <w:rPr>
          <w:rFonts w:eastAsia="TimesNewRomanPS"/>
          <w:sz w:val="22"/>
          <w:szCs w:val="22"/>
          <w:lang w:val="en-US"/>
        </w:rPr>
        <w:t>..............32</w:t>
      </w:r>
    </w:p>
    <w:p w:rsidR="003F1ADA" w:rsidRPr="003F1ADA" w:rsidRDefault="003F1ADA" w:rsidP="003F1ADA">
      <w:pPr>
        <w:numPr>
          <w:ilvl w:val="0"/>
          <w:numId w:val="33"/>
        </w:numPr>
        <w:spacing w:line="240" w:lineRule="auto"/>
        <w:ind w:right="0"/>
        <w:rPr>
          <w:rFonts w:eastAsia="TimesNewRomanPS"/>
          <w:sz w:val="22"/>
          <w:szCs w:val="22"/>
        </w:rPr>
      </w:pPr>
      <w:r w:rsidRPr="003F1ADA">
        <w:rPr>
          <w:rFonts w:eastAsia="TimesNewRomanPS"/>
          <w:sz w:val="22"/>
          <w:szCs w:val="22"/>
        </w:rPr>
        <w:t xml:space="preserve">Functional evaluation of VUS identified in </w:t>
      </w:r>
      <w:r w:rsidRPr="003F1ADA">
        <w:rPr>
          <w:rFonts w:eastAsia="TimesNewRomanPS"/>
          <w:i/>
          <w:iCs/>
          <w:sz w:val="22"/>
          <w:szCs w:val="22"/>
        </w:rPr>
        <w:t xml:space="preserve">BRCA1 </w:t>
      </w:r>
      <w:r w:rsidRPr="003F1ADA">
        <w:rPr>
          <w:rFonts w:eastAsia="TimesNewRomanPS"/>
          <w:sz w:val="22"/>
          <w:szCs w:val="22"/>
        </w:rPr>
        <w:t xml:space="preserve">using the GFP-reassembly </w:t>
      </w:r>
      <w:r w:rsidRPr="003F1ADA">
        <w:rPr>
          <w:rFonts w:eastAsia="TimesNewRomanPS"/>
          <w:i/>
          <w:iCs/>
          <w:sz w:val="22"/>
          <w:szCs w:val="22"/>
        </w:rPr>
        <w:t>in vitro</w:t>
      </w:r>
      <w:r w:rsidRPr="003F1ADA">
        <w:rPr>
          <w:rFonts w:eastAsia="TimesNewRomanPS"/>
          <w:sz w:val="22"/>
          <w:szCs w:val="22"/>
        </w:rPr>
        <w:t xml:space="preserve"> assay.................................................</w:t>
      </w:r>
      <w:r>
        <w:rPr>
          <w:rFonts w:eastAsia="TimesNewRomanPS"/>
          <w:sz w:val="22"/>
          <w:szCs w:val="22"/>
        </w:rPr>
        <w:t>............</w:t>
      </w:r>
      <w:r w:rsidRPr="003F1ADA">
        <w:rPr>
          <w:rFonts w:eastAsia="TimesNewRomanPS"/>
          <w:sz w:val="22"/>
          <w:szCs w:val="22"/>
        </w:rPr>
        <w:t>.................32</w:t>
      </w:r>
    </w:p>
    <w:p w:rsidR="003F1ADA" w:rsidRPr="003F1ADA" w:rsidRDefault="003F1ADA" w:rsidP="003F1ADA">
      <w:pPr>
        <w:numPr>
          <w:ilvl w:val="0"/>
          <w:numId w:val="33"/>
        </w:numPr>
        <w:spacing w:line="240" w:lineRule="auto"/>
        <w:ind w:right="0"/>
        <w:rPr>
          <w:rFonts w:eastAsia="TimesNewRomanPS"/>
          <w:sz w:val="22"/>
          <w:szCs w:val="22"/>
        </w:rPr>
      </w:pPr>
      <w:r w:rsidRPr="003F1ADA">
        <w:rPr>
          <w:rFonts w:eastAsia="TimesNewRomanPS"/>
          <w:i/>
          <w:sz w:val="22"/>
          <w:szCs w:val="22"/>
        </w:rPr>
        <w:t>In silico</w:t>
      </w:r>
      <w:r w:rsidRPr="003F1ADA">
        <w:rPr>
          <w:rFonts w:eastAsia="TimesNewRomanPS"/>
          <w:sz w:val="22"/>
          <w:szCs w:val="22"/>
        </w:rPr>
        <w:t xml:space="preserve"> analysis of BRCA1 VUS................................................................34</w:t>
      </w:r>
    </w:p>
    <w:p w:rsidR="003F1ADA" w:rsidRPr="003F1ADA" w:rsidRDefault="003F1ADA" w:rsidP="003F1ADA">
      <w:pPr>
        <w:spacing w:line="240" w:lineRule="auto"/>
        <w:ind w:left="0" w:right="0"/>
        <w:rPr>
          <w:rFonts w:eastAsia="TimesNewRomanPS"/>
          <w:sz w:val="22"/>
          <w:szCs w:val="22"/>
        </w:rPr>
      </w:pPr>
      <w:r w:rsidRPr="003F1ADA">
        <w:rPr>
          <w:rFonts w:eastAsia="TimesNewRomanPS"/>
          <w:b/>
          <w:sz w:val="22"/>
          <w:szCs w:val="22"/>
        </w:rPr>
        <w:t>Discussion and Conclusions</w:t>
      </w:r>
      <w:r w:rsidRPr="003F1ADA">
        <w:rPr>
          <w:rFonts w:eastAsia="TimesNewRomanPS"/>
          <w:sz w:val="22"/>
          <w:szCs w:val="22"/>
        </w:rPr>
        <w:t>.............................................................</w:t>
      </w:r>
      <w:r>
        <w:rPr>
          <w:rFonts w:eastAsia="TimesNewRomanPS"/>
          <w:sz w:val="22"/>
          <w:szCs w:val="22"/>
        </w:rPr>
        <w:t>..</w:t>
      </w:r>
      <w:r w:rsidRPr="003F1ADA">
        <w:rPr>
          <w:rFonts w:eastAsia="TimesNewRomanPS"/>
          <w:sz w:val="22"/>
          <w:szCs w:val="22"/>
        </w:rPr>
        <w:t>.....................36</w:t>
      </w:r>
    </w:p>
    <w:p w:rsidR="003F1ADA" w:rsidRPr="003F1ADA" w:rsidRDefault="003F1ADA" w:rsidP="003F1ADA">
      <w:pPr>
        <w:spacing w:line="240" w:lineRule="auto"/>
        <w:ind w:left="0" w:right="0"/>
        <w:rPr>
          <w:rFonts w:eastAsia="TimesNewRomanPS"/>
          <w:sz w:val="22"/>
          <w:szCs w:val="22"/>
        </w:rPr>
      </w:pPr>
      <w:r w:rsidRPr="003F1ADA">
        <w:rPr>
          <w:rFonts w:eastAsia="TimesNewRomanPS"/>
          <w:b/>
          <w:sz w:val="22"/>
          <w:szCs w:val="22"/>
        </w:rPr>
        <w:t xml:space="preserve">References </w:t>
      </w:r>
      <w:r w:rsidRPr="003F1ADA">
        <w:rPr>
          <w:rFonts w:eastAsia="TimesNewRomanPS"/>
          <w:sz w:val="22"/>
          <w:szCs w:val="22"/>
        </w:rPr>
        <w:t>............................................................................................</w:t>
      </w:r>
      <w:r>
        <w:rPr>
          <w:rFonts w:eastAsia="TimesNewRomanPS"/>
          <w:sz w:val="22"/>
          <w:szCs w:val="22"/>
        </w:rPr>
        <w:t>..</w:t>
      </w:r>
      <w:r w:rsidRPr="003F1ADA">
        <w:rPr>
          <w:rFonts w:eastAsia="TimesNewRomanPS"/>
          <w:sz w:val="22"/>
          <w:szCs w:val="22"/>
        </w:rPr>
        <w:t>..................41</w:t>
      </w:r>
    </w:p>
    <w:p w:rsidR="003F1ADA" w:rsidRPr="003F1ADA" w:rsidRDefault="003F1ADA" w:rsidP="003F1ADA">
      <w:pPr>
        <w:spacing w:line="240" w:lineRule="auto"/>
        <w:ind w:left="0" w:right="0"/>
        <w:rPr>
          <w:rFonts w:eastAsia="TimesNewRomanPS"/>
          <w:sz w:val="22"/>
          <w:szCs w:val="22"/>
          <w:lang w:val="en-US"/>
        </w:rPr>
      </w:pPr>
      <w:r w:rsidRPr="003F1ADA">
        <w:rPr>
          <w:rFonts w:eastAsia="TimesNewRomanPS"/>
          <w:b/>
          <w:sz w:val="22"/>
          <w:szCs w:val="22"/>
          <w:lang w:val="en-US"/>
        </w:rPr>
        <w:t>Last three years PhD Curriculum Vitae</w:t>
      </w:r>
      <w:r w:rsidRPr="003F1ADA">
        <w:rPr>
          <w:rFonts w:eastAsia="TimesNewRomanPS"/>
          <w:sz w:val="22"/>
          <w:szCs w:val="22"/>
          <w:lang w:val="en-US"/>
        </w:rPr>
        <w:t>…………………………………….55</w:t>
      </w:r>
    </w:p>
    <w:p w:rsidR="003F1ADA" w:rsidRPr="003F1ADA" w:rsidRDefault="003F1ADA" w:rsidP="003F1ADA">
      <w:pPr>
        <w:spacing w:line="240" w:lineRule="auto"/>
        <w:ind w:left="0" w:right="0"/>
        <w:rPr>
          <w:rFonts w:eastAsia="TimesNewRomanPS"/>
          <w:sz w:val="22"/>
          <w:szCs w:val="22"/>
          <w:lang w:val="fr-FR"/>
        </w:rPr>
      </w:pPr>
      <w:r w:rsidRPr="003F1ADA">
        <w:rPr>
          <w:rFonts w:eastAsia="TimesNewRomanPS"/>
          <w:b/>
          <w:sz w:val="22"/>
          <w:szCs w:val="22"/>
          <w:lang w:val="en-US"/>
        </w:rPr>
        <w:t>Appendix</w:t>
      </w:r>
      <w:r w:rsidRPr="003F1ADA">
        <w:rPr>
          <w:rFonts w:eastAsia="TimesNewRomanPS"/>
          <w:sz w:val="22"/>
          <w:szCs w:val="22"/>
          <w:lang w:val="en-US"/>
        </w:rPr>
        <w:t xml:space="preserve"> ………………………………………………………………………58</w:t>
      </w:r>
    </w:p>
    <w:p w:rsidR="00254EC2" w:rsidRPr="003A4656" w:rsidRDefault="00254EC2" w:rsidP="003F1ADA">
      <w:pPr>
        <w:spacing w:line="240" w:lineRule="auto"/>
        <w:ind w:left="0" w:right="0"/>
        <w:rPr>
          <w:rFonts w:eastAsia="TimesNewRomanPS"/>
          <w:sz w:val="22"/>
          <w:szCs w:val="22"/>
        </w:rPr>
      </w:pPr>
    </w:p>
    <w:sectPr w:rsidR="00254EC2" w:rsidRPr="003A4656" w:rsidSect="00ED426D">
      <w:footerReference w:type="default" r:id="rId139"/>
      <w:pgSz w:w="12240" w:h="15840" w:code="1"/>
      <w:pgMar w:top="1411" w:right="2606" w:bottom="1138"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103D" w:rsidRDefault="00A9103D" w:rsidP="00583E5E">
      <w:r>
        <w:separator/>
      </w:r>
    </w:p>
  </w:endnote>
  <w:endnote w:type="continuationSeparator" w:id="0">
    <w:p w:rsidR="00A9103D" w:rsidRDefault="00A9103D" w:rsidP="00583E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
    <w:panose1 w:val="02020603050405020304"/>
    <w:charset w:val="00"/>
    <w:family w:val="roman"/>
    <w:pitch w:val="variable"/>
    <w:sig w:usb0="20002A87" w:usb1="80000000" w:usb2="00000008" w:usb3="00000000" w:csb0="000001FF" w:csb1="00000000"/>
  </w:font>
  <w:font w:name="TimesNewRomanPS">
    <w:altName w:val="Times New Roman"/>
    <w:charset w:val="00"/>
    <w:family w:val="roman"/>
    <w:pitch w:val="default"/>
    <w:sig w:usb0="00000003" w:usb1="00000000" w:usb2="00000000" w:usb3="00000000" w:csb0="00000001" w:csb1="00000000"/>
  </w:font>
  <w:font w:name="MinionPro-Regular">
    <w:altName w:val="Arial Unicode MS"/>
    <w:panose1 w:val="00000000000000000000"/>
    <w:charset w:val="88"/>
    <w:family w:val="auto"/>
    <w:notTrueType/>
    <w:pitch w:val="default"/>
    <w:sig w:usb0="00000005" w:usb1="08080000" w:usb2="00000010" w:usb3="00000000" w:csb0="00100002"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10407"/>
      <w:docPartObj>
        <w:docPartGallery w:val="Page Numbers (Bottom of Page)"/>
        <w:docPartUnique/>
      </w:docPartObj>
    </w:sdtPr>
    <w:sdtContent>
      <w:p w:rsidR="00A9103D" w:rsidRDefault="00A9103D">
        <w:pPr>
          <w:pStyle w:val="Footer"/>
          <w:jc w:val="right"/>
        </w:pPr>
        <w:fldSimple w:instr=" PAGE   \* MERGEFORMAT ">
          <w:r w:rsidR="003A3808">
            <w:rPr>
              <w:noProof/>
            </w:rPr>
            <w:t>55</w:t>
          </w:r>
        </w:fldSimple>
      </w:p>
    </w:sdtContent>
  </w:sdt>
  <w:p w:rsidR="00A9103D" w:rsidRDefault="00A9103D" w:rsidP="00583E5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103D" w:rsidRDefault="00A9103D" w:rsidP="00583E5E">
      <w:r>
        <w:separator/>
      </w:r>
    </w:p>
  </w:footnote>
  <w:footnote w:type="continuationSeparator" w:id="0">
    <w:p w:rsidR="00A9103D" w:rsidRDefault="00A9103D" w:rsidP="00583E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1BD7040"/>
    <w:multiLevelType w:val="multilevel"/>
    <w:tmpl w:val="6C58E3E6"/>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4A415C5"/>
    <w:multiLevelType w:val="multilevel"/>
    <w:tmpl w:val="F4C258F8"/>
    <w:lvl w:ilvl="0">
      <w:start w:val="2"/>
      <w:numFmt w:val="decimal"/>
      <w:lvlText w:val="%1."/>
      <w:lvlJc w:val="left"/>
      <w:pPr>
        <w:ind w:left="108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3">
    <w:nsid w:val="14B477DA"/>
    <w:multiLevelType w:val="hybridMultilevel"/>
    <w:tmpl w:val="BB8A2180"/>
    <w:lvl w:ilvl="0" w:tplc="2DDA53B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77171B3"/>
    <w:multiLevelType w:val="hybridMultilevel"/>
    <w:tmpl w:val="1D640F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CF7805"/>
    <w:multiLevelType w:val="hybridMultilevel"/>
    <w:tmpl w:val="BEF2E2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1810A93"/>
    <w:multiLevelType w:val="multilevel"/>
    <w:tmpl w:val="C28E7254"/>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nsid w:val="269D1594"/>
    <w:multiLevelType w:val="multilevel"/>
    <w:tmpl w:val="C28E7254"/>
    <w:lvl w:ilvl="0">
      <w:start w:val="1"/>
      <w:numFmt w:val="decimal"/>
      <w:lvlText w:val="%1."/>
      <w:lvlJc w:val="left"/>
      <w:pPr>
        <w:ind w:left="108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8">
    <w:nsid w:val="2ABA5BD7"/>
    <w:multiLevelType w:val="multilevel"/>
    <w:tmpl w:val="6C58E3E6"/>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31DA3170"/>
    <w:multiLevelType w:val="hybridMultilevel"/>
    <w:tmpl w:val="247C06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3308C7"/>
    <w:multiLevelType w:val="hybridMultilevel"/>
    <w:tmpl w:val="AB9E366A"/>
    <w:lvl w:ilvl="0" w:tplc="0410000F">
      <w:start w:val="1"/>
      <w:numFmt w:val="decimal"/>
      <w:lvlText w:val="%1."/>
      <w:lvlJc w:val="left"/>
      <w:pPr>
        <w:ind w:left="720" w:hanging="360"/>
      </w:pPr>
      <w:rPr>
        <w:rFonts w:hint="default"/>
      </w:rPr>
    </w:lvl>
    <w:lvl w:ilvl="1" w:tplc="D8D4F7C4">
      <w:start w:val="1"/>
      <w:numFmt w:val="decimal"/>
      <w:lvlText w:val="(%2)"/>
      <w:lvlJc w:val="left"/>
      <w:pPr>
        <w:ind w:left="1470" w:hanging="39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95D76A0"/>
    <w:multiLevelType w:val="multilevel"/>
    <w:tmpl w:val="8270986C"/>
    <w:lvl w:ilvl="0">
      <w:start w:val="1"/>
      <w:numFmt w:val="decimal"/>
      <w:lvlText w:val="%1."/>
      <w:lvlJc w:val="left"/>
      <w:pPr>
        <w:ind w:left="108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nsid w:val="3A6A2E5A"/>
    <w:multiLevelType w:val="multilevel"/>
    <w:tmpl w:val="CE9E31B0"/>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140" w:hanging="72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6780" w:hanging="108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420" w:hanging="1440"/>
      </w:pPr>
      <w:rPr>
        <w:rFonts w:hint="default"/>
      </w:rPr>
    </w:lvl>
    <w:lvl w:ilvl="8">
      <w:start w:val="1"/>
      <w:numFmt w:val="decimal"/>
      <w:lvlText w:val="%1.%2.%3.%4.%5.%6.%7.%8.%9"/>
      <w:lvlJc w:val="left"/>
      <w:pPr>
        <w:ind w:left="10920" w:hanging="1800"/>
      </w:pPr>
      <w:rPr>
        <w:rFonts w:hint="default"/>
      </w:rPr>
    </w:lvl>
  </w:abstractNum>
  <w:abstractNum w:abstractNumId="13">
    <w:nsid w:val="3C0D06BB"/>
    <w:multiLevelType w:val="multilevel"/>
    <w:tmpl w:val="EFA42142"/>
    <w:lvl w:ilvl="0">
      <w:start w:val="3"/>
      <w:numFmt w:val="decimal"/>
      <w:lvlText w:val="%1."/>
      <w:lvlJc w:val="left"/>
      <w:pPr>
        <w:ind w:left="81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3F764985"/>
    <w:multiLevelType w:val="hybridMultilevel"/>
    <w:tmpl w:val="69D8F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114019"/>
    <w:multiLevelType w:val="multilevel"/>
    <w:tmpl w:val="E424EFF8"/>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6">
    <w:nsid w:val="4AA85849"/>
    <w:multiLevelType w:val="hybridMultilevel"/>
    <w:tmpl w:val="247C06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D9F002F"/>
    <w:multiLevelType w:val="multilevel"/>
    <w:tmpl w:val="F4C258F8"/>
    <w:lvl w:ilvl="0">
      <w:start w:val="2"/>
      <w:numFmt w:val="decimal"/>
      <w:lvlText w:val="%1."/>
      <w:lvlJc w:val="left"/>
      <w:pPr>
        <w:ind w:left="108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nsid w:val="4F400DBE"/>
    <w:multiLevelType w:val="hybridMultilevel"/>
    <w:tmpl w:val="B1A818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52972BF7"/>
    <w:multiLevelType w:val="hybridMultilevel"/>
    <w:tmpl w:val="C86428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6EE1DFB"/>
    <w:multiLevelType w:val="multilevel"/>
    <w:tmpl w:val="9B62749C"/>
    <w:lvl w:ilvl="0">
      <w:start w:val="2"/>
      <w:numFmt w:val="decimal"/>
      <w:lvlText w:val="%1"/>
      <w:lvlJc w:val="left"/>
      <w:pPr>
        <w:ind w:left="360" w:hanging="360"/>
      </w:pPr>
      <w:rPr>
        <w:rFonts w:ascii="Calibri" w:hAnsi="Calibri" w:hint="default"/>
      </w:rPr>
    </w:lvl>
    <w:lvl w:ilvl="1">
      <w:start w:val="2"/>
      <w:numFmt w:val="decimal"/>
      <w:lvlText w:val="%1.%2"/>
      <w:lvlJc w:val="left"/>
      <w:pPr>
        <w:ind w:left="1080" w:hanging="360"/>
      </w:pPr>
      <w:rPr>
        <w:rFonts w:ascii="Calibri" w:hAnsi="Calibri" w:hint="default"/>
      </w:rPr>
    </w:lvl>
    <w:lvl w:ilvl="2">
      <w:start w:val="1"/>
      <w:numFmt w:val="decimal"/>
      <w:lvlText w:val="%1.%2.%3"/>
      <w:lvlJc w:val="left"/>
      <w:pPr>
        <w:ind w:left="2160" w:hanging="720"/>
      </w:pPr>
      <w:rPr>
        <w:rFonts w:ascii="Calibri" w:hAnsi="Calibri" w:hint="default"/>
      </w:rPr>
    </w:lvl>
    <w:lvl w:ilvl="3">
      <w:start w:val="1"/>
      <w:numFmt w:val="decimal"/>
      <w:lvlText w:val="%1.%2.%3.%4"/>
      <w:lvlJc w:val="left"/>
      <w:pPr>
        <w:ind w:left="2880" w:hanging="720"/>
      </w:pPr>
      <w:rPr>
        <w:rFonts w:ascii="Calibri" w:hAnsi="Calibri" w:hint="default"/>
      </w:rPr>
    </w:lvl>
    <w:lvl w:ilvl="4">
      <w:start w:val="1"/>
      <w:numFmt w:val="decimal"/>
      <w:lvlText w:val="%1.%2.%3.%4.%5"/>
      <w:lvlJc w:val="left"/>
      <w:pPr>
        <w:ind w:left="3960" w:hanging="1080"/>
      </w:pPr>
      <w:rPr>
        <w:rFonts w:ascii="Calibri" w:hAnsi="Calibri" w:hint="default"/>
      </w:rPr>
    </w:lvl>
    <w:lvl w:ilvl="5">
      <w:start w:val="1"/>
      <w:numFmt w:val="decimal"/>
      <w:lvlText w:val="%1.%2.%3.%4.%5.%6"/>
      <w:lvlJc w:val="left"/>
      <w:pPr>
        <w:ind w:left="4680" w:hanging="1080"/>
      </w:pPr>
      <w:rPr>
        <w:rFonts w:ascii="Calibri" w:hAnsi="Calibri" w:hint="default"/>
      </w:rPr>
    </w:lvl>
    <w:lvl w:ilvl="6">
      <w:start w:val="1"/>
      <w:numFmt w:val="decimal"/>
      <w:lvlText w:val="%1.%2.%3.%4.%5.%6.%7"/>
      <w:lvlJc w:val="left"/>
      <w:pPr>
        <w:ind w:left="5760" w:hanging="1440"/>
      </w:pPr>
      <w:rPr>
        <w:rFonts w:ascii="Calibri" w:hAnsi="Calibri" w:hint="default"/>
      </w:rPr>
    </w:lvl>
    <w:lvl w:ilvl="7">
      <w:start w:val="1"/>
      <w:numFmt w:val="decimal"/>
      <w:lvlText w:val="%1.%2.%3.%4.%5.%6.%7.%8"/>
      <w:lvlJc w:val="left"/>
      <w:pPr>
        <w:ind w:left="6480" w:hanging="1440"/>
      </w:pPr>
      <w:rPr>
        <w:rFonts w:ascii="Calibri" w:hAnsi="Calibri" w:hint="default"/>
      </w:rPr>
    </w:lvl>
    <w:lvl w:ilvl="8">
      <w:start w:val="1"/>
      <w:numFmt w:val="decimal"/>
      <w:lvlText w:val="%1.%2.%3.%4.%5.%6.%7.%8.%9"/>
      <w:lvlJc w:val="left"/>
      <w:pPr>
        <w:ind w:left="7560" w:hanging="1800"/>
      </w:pPr>
      <w:rPr>
        <w:rFonts w:ascii="Calibri" w:hAnsi="Calibri" w:hint="default"/>
      </w:rPr>
    </w:lvl>
  </w:abstractNum>
  <w:abstractNum w:abstractNumId="21">
    <w:nsid w:val="5D4158F0"/>
    <w:multiLevelType w:val="hybridMultilevel"/>
    <w:tmpl w:val="5D40F80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D7B08E8"/>
    <w:multiLevelType w:val="hybridMultilevel"/>
    <w:tmpl w:val="D39454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5DFF3942"/>
    <w:multiLevelType w:val="hybridMultilevel"/>
    <w:tmpl w:val="98B271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1FD7DB3"/>
    <w:multiLevelType w:val="hybridMultilevel"/>
    <w:tmpl w:val="0FDA85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627B4DC2"/>
    <w:multiLevelType w:val="multilevel"/>
    <w:tmpl w:val="96A25EC4"/>
    <w:lvl w:ilvl="0">
      <w:start w:val="2"/>
      <w:numFmt w:val="decimal"/>
      <w:lvlText w:val="%1"/>
      <w:lvlJc w:val="left"/>
      <w:pPr>
        <w:ind w:left="360" w:hanging="360"/>
      </w:pPr>
      <w:rPr>
        <w:rFonts w:hint="default"/>
      </w:rPr>
    </w:lvl>
    <w:lvl w:ilvl="1">
      <w:start w:val="3"/>
      <w:numFmt w:val="decimal"/>
      <w:lvlText w:val="%1.%2"/>
      <w:lvlJc w:val="left"/>
      <w:pPr>
        <w:ind w:left="1095" w:hanging="360"/>
      </w:pPr>
      <w:rPr>
        <w:rFonts w:hint="default"/>
        <w:sz w:val="20"/>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680" w:hanging="1800"/>
      </w:pPr>
      <w:rPr>
        <w:rFonts w:hint="default"/>
      </w:rPr>
    </w:lvl>
  </w:abstractNum>
  <w:abstractNum w:abstractNumId="26">
    <w:nsid w:val="64C6471B"/>
    <w:multiLevelType w:val="multilevel"/>
    <w:tmpl w:val="2368A65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64D15F96"/>
    <w:multiLevelType w:val="hybridMultilevel"/>
    <w:tmpl w:val="6FACAA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656647F2"/>
    <w:multiLevelType w:val="hybridMultilevel"/>
    <w:tmpl w:val="BC709ED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9">
    <w:nsid w:val="6A0802BC"/>
    <w:multiLevelType w:val="hybridMultilevel"/>
    <w:tmpl w:val="856C200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0">
    <w:nsid w:val="6DC573A7"/>
    <w:multiLevelType w:val="hybridMultilevel"/>
    <w:tmpl w:val="BEF2E2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703B5DFD"/>
    <w:multiLevelType w:val="multilevel"/>
    <w:tmpl w:val="0410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2">
    <w:nsid w:val="75EB13D0"/>
    <w:multiLevelType w:val="hybridMultilevel"/>
    <w:tmpl w:val="6C5EC54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7B97190C"/>
    <w:multiLevelType w:val="multilevel"/>
    <w:tmpl w:val="9DF65F4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2.2.%3"/>
      <w:lvlJc w:val="left"/>
      <w:pPr>
        <w:ind w:left="198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27"/>
  </w:num>
  <w:num w:numId="2">
    <w:abstractNumId w:val="3"/>
  </w:num>
  <w:num w:numId="3">
    <w:abstractNumId w:val="24"/>
  </w:num>
  <w:num w:numId="4">
    <w:abstractNumId w:val="10"/>
  </w:num>
  <w:num w:numId="5">
    <w:abstractNumId w:val="28"/>
  </w:num>
  <w:num w:numId="6">
    <w:abstractNumId w:val="29"/>
  </w:num>
  <w:num w:numId="7">
    <w:abstractNumId w:val="18"/>
  </w:num>
  <w:num w:numId="8">
    <w:abstractNumId w:val="15"/>
  </w:num>
  <w:num w:numId="9">
    <w:abstractNumId w:val="14"/>
  </w:num>
  <w:num w:numId="10">
    <w:abstractNumId w:val="0"/>
  </w:num>
  <w:num w:numId="11">
    <w:abstractNumId w:val="31"/>
  </w:num>
  <w:num w:numId="12">
    <w:abstractNumId w:val="11"/>
  </w:num>
  <w:num w:numId="13">
    <w:abstractNumId w:val="6"/>
  </w:num>
  <w:num w:numId="14">
    <w:abstractNumId w:val="7"/>
  </w:num>
  <w:num w:numId="15">
    <w:abstractNumId w:val="30"/>
  </w:num>
  <w:num w:numId="16">
    <w:abstractNumId w:val="22"/>
  </w:num>
  <w:num w:numId="17">
    <w:abstractNumId w:val="23"/>
  </w:num>
  <w:num w:numId="18">
    <w:abstractNumId w:val="19"/>
  </w:num>
  <w:num w:numId="19">
    <w:abstractNumId w:val="21"/>
  </w:num>
  <w:num w:numId="20">
    <w:abstractNumId w:val="5"/>
  </w:num>
  <w:num w:numId="21">
    <w:abstractNumId w:val="32"/>
  </w:num>
  <w:num w:numId="22">
    <w:abstractNumId w:val="9"/>
  </w:num>
  <w:num w:numId="23">
    <w:abstractNumId w:val="16"/>
  </w:num>
  <w:num w:numId="24">
    <w:abstractNumId w:val="17"/>
  </w:num>
  <w:num w:numId="25">
    <w:abstractNumId w:val="2"/>
  </w:num>
  <w:num w:numId="26">
    <w:abstractNumId w:val="26"/>
  </w:num>
  <w:num w:numId="27">
    <w:abstractNumId w:val="33"/>
  </w:num>
  <w:num w:numId="28">
    <w:abstractNumId w:val="13"/>
  </w:num>
  <w:num w:numId="29">
    <w:abstractNumId w:val="4"/>
  </w:num>
  <w:num w:numId="30">
    <w:abstractNumId w:val="25"/>
  </w:num>
  <w:num w:numId="31">
    <w:abstractNumId w:val="12"/>
  </w:num>
  <w:num w:numId="32">
    <w:abstractNumId w:val="20"/>
  </w:num>
  <w:num w:numId="33">
    <w:abstractNumId w:val="8"/>
  </w:num>
  <w:num w:numId="3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revisionView w:markup="0"/>
  <w:defaultTabStop w:val="720"/>
  <w:hyphenationZone w:val="283"/>
  <w:characterSpacingControl w:val="doNotCompress"/>
  <w:footnotePr>
    <w:footnote w:id="-1"/>
    <w:footnote w:id="0"/>
  </w:footnotePr>
  <w:endnotePr>
    <w:endnote w:id="-1"/>
    <w:endnote w:id="0"/>
  </w:endnotePr>
  <w:compat/>
  <w:rsids>
    <w:rsidRoot w:val="00C941EF"/>
    <w:rsid w:val="0001175B"/>
    <w:rsid w:val="00020B2D"/>
    <w:rsid w:val="00030940"/>
    <w:rsid w:val="00041C2C"/>
    <w:rsid w:val="0004289B"/>
    <w:rsid w:val="00045144"/>
    <w:rsid w:val="00053319"/>
    <w:rsid w:val="0005572B"/>
    <w:rsid w:val="00056CDF"/>
    <w:rsid w:val="000631FB"/>
    <w:rsid w:val="00064517"/>
    <w:rsid w:val="00065016"/>
    <w:rsid w:val="00067B6A"/>
    <w:rsid w:val="0007329F"/>
    <w:rsid w:val="00074189"/>
    <w:rsid w:val="00081BFB"/>
    <w:rsid w:val="0008367A"/>
    <w:rsid w:val="00097580"/>
    <w:rsid w:val="000B1462"/>
    <w:rsid w:val="000B311A"/>
    <w:rsid w:val="000B586F"/>
    <w:rsid w:val="000C00A7"/>
    <w:rsid w:val="000C37B0"/>
    <w:rsid w:val="000C6ED5"/>
    <w:rsid w:val="000D2CAA"/>
    <w:rsid w:val="000D4232"/>
    <w:rsid w:val="000D5599"/>
    <w:rsid w:val="000D7DA8"/>
    <w:rsid w:val="000E0A2B"/>
    <w:rsid w:val="000F467F"/>
    <w:rsid w:val="00101298"/>
    <w:rsid w:val="00111396"/>
    <w:rsid w:val="0011669D"/>
    <w:rsid w:val="00125E7A"/>
    <w:rsid w:val="00142AC7"/>
    <w:rsid w:val="001640D4"/>
    <w:rsid w:val="0018592C"/>
    <w:rsid w:val="0018761E"/>
    <w:rsid w:val="0019355E"/>
    <w:rsid w:val="001976FB"/>
    <w:rsid w:val="001A0956"/>
    <w:rsid w:val="001A3A9C"/>
    <w:rsid w:val="001A73B7"/>
    <w:rsid w:val="001B1983"/>
    <w:rsid w:val="001E47F8"/>
    <w:rsid w:val="001F1E3E"/>
    <w:rsid w:val="001F2A42"/>
    <w:rsid w:val="002155EC"/>
    <w:rsid w:val="002365FA"/>
    <w:rsid w:val="00237660"/>
    <w:rsid w:val="002417DA"/>
    <w:rsid w:val="00243BF7"/>
    <w:rsid w:val="00254EC2"/>
    <w:rsid w:val="00273310"/>
    <w:rsid w:val="00293D9B"/>
    <w:rsid w:val="002A3A5F"/>
    <w:rsid w:val="002B2C67"/>
    <w:rsid w:val="002B5DF0"/>
    <w:rsid w:val="002D3B8F"/>
    <w:rsid w:val="002E06BC"/>
    <w:rsid w:val="002E1839"/>
    <w:rsid w:val="002E4F9D"/>
    <w:rsid w:val="003018C0"/>
    <w:rsid w:val="003042BA"/>
    <w:rsid w:val="0033633C"/>
    <w:rsid w:val="00337B90"/>
    <w:rsid w:val="0035013F"/>
    <w:rsid w:val="00353ACB"/>
    <w:rsid w:val="00361E10"/>
    <w:rsid w:val="003638D1"/>
    <w:rsid w:val="00363992"/>
    <w:rsid w:val="00363EF6"/>
    <w:rsid w:val="00373A89"/>
    <w:rsid w:val="003746DA"/>
    <w:rsid w:val="0037592E"/>
    <w:rsid w:val="00376500"/>
    <w:rsid w:val="00386BB6"/>
    <w:rsid w:val="003A24A9"/>
    <w:rsid w:val="003A3808"/>
    <w:rsid w:val="003A4656"/>
    <w:rsid w:val="003A7ACA"/>
    <w:rsid w:val="003A7E1F"/>
    <w:rsid w:val="003B0282"/>
    <w:rsid w:val="003B77D2"/>
    <w:rsid w:val="003C2754"/>
    <w:rsid w:val="003C320E"/>
    <w:rsid w:val="003D19FD"/>
    <w:rsid w:val="003D4C68"/>
    <w:rsid w:val="003E4351"/>
    <w:rsid w:val="003E7F85"/>
    <w:rsid w:val="003F0767"/>
    <w:rsid w:val="003F198E"/>
    <w:rsid w:val="003F1ADA"/>
    <w:rsid w:val="003F41EC"/>
    <w:rsid w:val="003F6750"/>
    <w:rsid w:val="0040265C"/>
    <w:rsid w:val="00442488"/>
    <w:rsid w:val="0045404E"/>
    <w:rsid w:val="00456852"/>
    <w:rsid w:val="004571AB"/>
    <w:rsid w:val="00476910"/>
    <w:rsid w:val="00482C77"/>
    <w:rsid w:val="0048560E"/>
    <w:rsid w:val="00496265"/>
    <w:rsid w:val="004A2316"/>
    <w:rsid w:val="004A354A"/>
    <w:rsid w:val="004A36D1"/>
    <w:rsid w:val="004A6DED"/>
    <w:rsid w:val="004B34A9"/>
    <w:rsid w:val="004B5E85"/>
    <w:rsid w:val="004D0F54"/>
    <w:rsid w:val="004D3120"/>
    <w:rsid w:val="004D403B"/>
    <w:rsid w:val="004D767D"/>
    <w:rsid w:val="004F186C"/>
    <w:rsid w:val="004F6C6B"/>
    <w:rsid w:val="00503B3B"/>
    <w:rsid w:val="00504566"/>
    <w:rsid w:val="00514524"/>
    <w:rsid w:val="00523BF4"/>
    <w:rsid w:val="00536187"/>
    <w:rsid w:val="005428EB"/>
    <w:rsid w:val="005541BC"/>
    <w:rsid w:val="005626D4"/>
    <w:rsid w:val="00565339"/>
    <w:rsid w:val="00575852"/>
    <w:rsid w:val="00583E5E"/>
    <w:rsid w:val="00587DC4"/>
    <w:rsid w:val="005A2B2C"/>
    <w:rsid w:val="005B280C"/>
    <w:rsid w:val="005B3692"/>
    <w:rsid w:val="005C4D38"/>
    <w:rsid w:val="005C5B91"/>
    <w:rsid w:val="005D3695"/>
    <w:rsid w:val="005E6CB5"/>
    <w:rsid w:val="005F01F5"/>
    <w:rsid w:val="005F42BE"/>
    <w:rsid w:val="0061692F"/>
    <w:rsid w:val="00623019"/>
    <w:rsid w:val="00631B09"/>
    <w:rsid w:val="00633A38"/>
    <w:rsid w:val="0063749A"/>
    <w:rsid w:val="006448B1"/>
    <w:rsid w:val="00646072"/>
    <w:rsid w:val="006523C1"/>
    <w:rsid w:val="00653B99"/>
    <w:rsid w:val="006561DE"/>
    <w:rsid w:val="0066710F"/>
    <w:rsid w:val="00671FA8"/>
    <w:rsid w:val="00673DDA"/>
    <w:rsid w:val="00680A1D"/>
    <w:rsid w:val="00687159"/>
    <w:rsid w:val="00694E03"/>
    <w:rsid w:val="006A552D"/>
    <w:rsid w:val="006C0D9A"/>
    <w:rsid w:val="006C23AB"/>
    <w:rsid w:val="006C3488"/>
    <w:rsid w:val="006E3B80"/>
    <w:rsid w:val="006E4ED1"/>
    <w:rsid w:val="006E703A"/>
    <w:rsid w:val="00702E03"/>
    <w:rsid w:val="00720319"/>
    <w:rsid w:val="0073193A"/>
    <w:rsid w:val="00732CEE"/>
    <w:rsid w:val="00741B1E"/>
    <w:rsid w:val="00746D5B"/>
    <w:rsid w:val="007509D5"/>
    <w:rsid w:val="007532D8"/>
    <w:rsid w:val="00753BEF"/>
    <w:rsid w:val="007558F9"/>
    <w:rsid w:val="00764D7D"/>
    <w:rsid w:val="0077551E"/>
    <w:rsid w:val="00782941"/>
    <w:rsid w:val="00785CBF"/>
    <w:rsid w:val="00793EF6"/>
    <w:rsid w:val="00794972"/>
    <w:rsid w:val="00796387"/>
    <w:rsid w:val="0079788F"/>
    <w:rsid w:val="007E29AC"/>
    <w:rsid w:val="007E3B79"/>
    <w:rsid w:val="007E438E"/>
    <w:rsid w:val="007E6586"/>
    <w:rsid w:val="007E6F2A"/>
    <w:rsid w:val="008072C1"/>
    <w:rsid w:val="00816261"/>
    <w:rsid w:val="0082528F"/>
    <w:rsid w:val="00825C3A"/>
    <w:rsid w:val="00826D66"/>
    <w:rsid w:val="00826E71"/>
    <w:rsid w:val="00831D9F"/>
    <w:rsid w:val="00841DB5"/>
    <w:rsid w:val="00844C31"/>
    <w:rsid w:val="00862BA9"/>
    <w:rsid w:val="00863EC7"/>
    <w:rsid w:val="00865C2B"/>
    <w:rsid w:val="00866007"/>
    <w:rsid w:val="00871BA9"/>
    <w:rsid w:val="0087281F"/>
    <w:rsid w:val="00880130"/>
    <w:rsid w:val="008911EC"/>
    <w:rsid w:val="00892257"/>
    <w:rsid w:val="00893C60"/>
    <w:rsid w:val="008A0911"/>
    <w:rsid w:val="008B7244"/>
    <w:rsid w:val="008C3528"/>
    <w:rsid w:val="008D2DD9"/>
    <w:rsid w:val="008E0B09"/>
    <w:rsid w:val="00913DAF"/>
    <w:rsid w:val="009233C0"/>
    <w:rsid w:val="00940B69"/>
    <w:rsid w:val="00943BEE"/>
    <w:rsid w:val="0095130F"/>
    <w:rsid w:val="00962690"/>
    <w:rsid w:val="00971FED"/>
    <w:rsid w:val="00981C84"/>
    <w:rsid w:val="009825CD"/>
    <w:rsid w:val="0098424A"/>
    <w:rsid w:val="00985322"/>
    <w:rsid w:val="009A734D"/>
    <w:rsid w:val="009B1993"/>
    <w:rsid w:val="009B1BA3"/>
    <w:rsid w:val="009D0692"/>
    <w:rsid w:val="009D0C6A"/>
    <w:rsid w:val="009D5F3B"/>
    <w:rsid w:val="009D71E9"/>
    <w:rsid w:val="009F5CA5"/>
    <w:rsid w:val="00A13951"/>
    <w:rsid w:val="00A21342"/>
    <w:rsid w:val="00A321CE"/>
    <w:rsid w:val="00A3761F"/>
    <w:rsid w:val="00A42D96"/>
    <w:rsid w:val="00A469D6"/>
    <w:rsid w:val="00A50B21"/>
    <w:rsid w:val="00A65F14"/>
    <w:rsid w:val="00A74A26"/>
    <w:rsid w:val="00A7694A"/>
    <w:rsid w:val="00A80B72"/>
    <w:rsid w:val="00A80CEA"/>
    <w:rsid w:val="00A853C8"/>
    <w:rsid w:val="00A859E8"/>
    <w:rsid w:val="00A9103D"/>
    <w:rsid w:val="00A9777B"/>
    <w:rsid w:val="00AA1664"/>
    <w:rsid w:val="00AA3146"/>
    <w:rsid w:val="00AC20A5"/>
    <w:rsid w:val="00AC218C"/>
    <w:rsid w:val="00AC3FD5"/>
    <w:rsid w:val="00AD5CA2"/>
    <w:rsid w:val="00AE52FF"/>
    <w:rsid w:val="00B01A7A"/>
    <w:rsid w:val="00B14959"/>
    <w:rsid w:val="00B21F25"/>
    <w:rsid w:val="00B23DF2"/>
    <w:rsid w:val="00B30DCC"/>
    <w:rsid w:val="00B610D9"/>
    <w:rsid w:val="00B6298F"/>
    <w:rsid w:val="00B762B4"/>
    <w:rsid w:val="00B814C6"/>
    <w:rsid w:val="00B835EB"/>
    <w:rsid w:val="00B91ECF"/>
    <w:rsid w:val="00B97692"/>
    <w:rsid w:val="00BA2FDF"/>
    <w:rsid w:val="00BA6601"/>
    <w:rsid w:val="00BC1BF5"/>
    <w:rsid w:val="00BC7F07"/>
    <w:rsid w:val="00BD282A"/>
    <w:rsid w:val="00BE2886"/>
    <w:rsid w:val="00BF64A3"/>
    <w:rsid w:val="00C02E52"/>
    <w:rsid w:val="00C3458C"/>
    <w:rsid w:val="00C4164D"/>
    <w:rsid w:val="00C50F77"/>
    <w:rsid w:val="00C555A4"/>
    <w:rsid w:val="00C83F64"/>
    <w:rsid w:val="00C90B59"/>
    <w:rsid w:val="00C941EF"/>
    <w:rsid w:val="00CA5F8D"/>
    <w:rsid w:val="00CB11D0"/>
    <w:rsid w:val="00CC35F3"/>
    <w:rsid w:val="00CE5563"/>
    <w:rsid w:val="00CF78FC"/>
    <w:rsid w:val="00D01106"/>
    <w:rsid w:val="00D03DB7"/>
    <w:rsid w:val="00D20B63"/>
    <w:rsid w:val="00D23EE4"/>
    <w:rsid w:val="00D24703"/>
    <w:rsid w:val="00D32326"/>
    <w:rsid w:val="00D33696"/>
    <w:rsid w:val="00D40B4B"/>
    <w:rsid w:val="00D43CC7"/>
    <w:rsid w:val="00D446EF"/>
    <w:rsid w:val="00D54C40"/>
    <w:rsid w:val="00D62EF2"/>
    <w:rsid w:val="00D71EBD"/>
    <w:rsid w:val="00D75820"/>
    <w:rsid w:val="00DA0174"/>
    <w:rsid w:val="00DB089A"/>
    <w:rsid w:val="00DB191B"/>
    <w:rsid w:val="00DB37A3"/>
    <w:rsid w:val="00DC1A32"/>
    <w:rsid w:val="00DC1B79"/>
    <w:rsid w:val="00DD15A6"/>
    <w:rsid w:val="00DD37B3"/>
    <w:rsid w:val="00DE0442"/>
    <w:rsid w:val="00DE4BE6"/>
    <w:rsid w:val="00E03913"/>
    <w:rsid w:val="00E05CF5"/>
    <w:rsid w:val="00E2035F"/>
    <w:rsid w:val="00E224D4"/>
    <w:rsid w:val="00E22991"/>
    <w:rsid w:val="00E252A9"/>
    <w:rsid w:val="00E37AE9"/>
    <w:rsid w:val="00E520F2"/>
    <w:rsid w:val="00E5595E"/>
    <w:rsid w:val="00E6078E"/>
    <w:rsid w:val="00E754E8"/>
    <w:rsid w:val="00E923E2"/>
    <w:rsid w:val="00E930DF"/>
    <w:rsid w:val="00EA5887"/>
    <w:rsid w:val="00EA5BBE"/>
    <w:rsid w:val="00EB10DB"/>
    <w:rsid w:val="00EB2A01"/>
    <w:rsid w:val="00EC7627"/>
    <w:rsid w:val="00ED042B"/>
    <w:rsid w:val="00ED218A"/>
    <w:rsid w:val="00ED3B3F"/>
    <w:rsid w:val="00ED426D"/>
    <w:rsid w:val="00EE048A"/>
    <w:rsid w:val="00EF25C4"/>
    <w:rsid w:val="00EF71D4"/>
    <w:rsid w:val="00F04166"/>
    <w:rsid w:val="00F15F64"/>
    <w:rsid w:val="00F21215"/>
    <w:rsid w:val="00F275AA"/>
    <w:rsid w:val="00F3419C"/>
    <w:rsid w:val="00F41A22"/>
    <w:rsid w:val="00F5087C"/>
    <w:rsid w:val="00F56ECC"/>
    <w:rsid w:val="00F64B50"/>
    <w:rsid w:val="00F661B7"/>
    <w:rsid w:val="00F7067F"/>
    <w:rsid w:val="00F80DC5"/>
    <w:rsid w:val="00F8759D"/>
    <w:rsid w:val="00F90DB1"/>
    <w:rsid w:val="00FA23F8"/>
    <w:rsid w:val="00FA561B"/>
    <w:rsid w:val="00FB28F1"/>
    <w:rsid w:val="00FB627D"/>
    <w:rsid w:val="00FD3E5A"/>
    <w:rsid w:val="00FE2D8E"/>
    <w:rsid w:val="00FE5422"/>
    <w:rsid w:val="00FE5E52"/>
    <w:rsid w:val="00FF3000"/>
    <w:rsid w:val="00FF6C2F"/>
    <w:rsid w:val="00FF7F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E5E"/>
    <w:pPr>
      <w:widowControl w:val="0"/>
      <w:autoSpaceDE w:val="0"/>
      <w:autoSpaceDN w:val="0"/>
      <w:adjustRightInd w:val="0"/>
      <w:spacing w:after="0"/>
      <w:ind w:left="360" w:right="270"/>
      <w:jc w:val="both"/>
      <w:textAlignment w:val="baseline"/>
    </w:pPr>
    <w:rPr>
      <w:rFonts w:ascii="Times New Roman" w:eastAsia="Times New Roman" w:hAnsi="Times New Roman" w:cs="Times New Roman"/>
      <w:sz w:val="18"/>
      <w:szCs w:val="18"/>
      <w:lang w:val="en-GB" w:eastAsia="fr-FR"/>
    </w:rPr>
  </w:style>
  <w:style w:type="paragraph" w:styleId="Heading1">
    <w:name w:val="heading 1"/>
    <w:basedOn w:val="Normal"/>
    <w:link w:val="Heading1Char"/>
    <w:uiPriority w:val="9"/>
    <w:qFormat/>
    <w:rsid w:val="00254EC2"/>
    <w:pPr>
      <w:widowControl/>
      <w:adjustRightInd/>
      <w:spacing w:before="240" w:after="120"/>
      <w:jc w:val="left"/>
      <w:textAlignment w:val="auto"/>
      <w:outlineLvl w:val="0"/>
    </w:pPr>
    <w:rPr>
      <w:b/>
      <w:bCs/>
      <w:color w:val="000000"/>
      <w:kern w:val="36"/>
      <w:sz w:val="33"/>
      <w:szCs w:val="33"/>
      <w:lang w:val="en-US"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941EF"/>
    <w:rPr>
      <w:rFonts w:ascii="Tahoma" w:hAnsi="Tahoma" w:cs="Tahoma"/>
      <w:sz w:val="16"/>
      <w:szCs w:val="16"/>
    </w:rPr>
  </w:style>
  <w:style w:type="character" w:customStyle="1" w:styleId="BalloonTextChar">
    <w:name w:val="Balloon Text Char"/>
    <w:basedOn w:val="DefaultParagraphFont"/>
    <w:link w:val="BalloonText"/>
    <w:uiPriority w:val="99"/>
    <w:semiHidden/>
    <w:rsid w:val="00C941EF"/>
    <w:rPr>
      <w:rFonts w:ascii="Tahoma" w:eastAsia="Times New Roman" w:hAnsi="Tahoma" w:cs="Tahoma"/>
      <w:sz w:val="16"/>
      <w:szCs w:val="16"/>
      <w:lang w:val="fr-FR" w:eastAsia="fr-FR"/>
    </w:rPr>
  </w:style>
  <w:style w:type="paragraph" w:styleId="ListParagraph">
    <w:name w:val="List Paragraph"/>
    <w:basedOn w:val="Normal"/>
    <w:uiPriority w:val="34"/>
    <w:qFormat/>
    <w:rsid w:val="00C941EF"/>
    <w:pPr>
      <w:widowControl/>
      <w:adjustRightInd/>
      <w:spacing w:after="200"/>
      <w:ind w:left="720"/>
      <w:contextualSpacing/>
      <w:jc w:val="left"/>
      <w:textAlignment w:val="auto"/>
    </w:pPr>
    <w:rPr>
      <w:rFonts w:ascii="Calibri" w:eastAsia="Calibri" w:hAnsi="Calibri"/>
      <w:sz w:val="22"/>
      <w:szCs w:val="22"/>
      <w:lang w:val="it-IT" w:eastAsia="en-US"/>
    </w:rPr>
  </w:style>
  <w:style w:type="paragraph" w:customStyle="1" w:styleId="Paragrafoelenco1">
    <w:name w:val="Paragrafo elenco1"/>
    <w:basedOn w:val="Normal"/>
    <w:uiPriority w:val="34"/>
    <w:qFormat/>
    <w:rsid w:val="00C941EF"/>
    <w:pPr>
      <w:widowControl/>
      <w:adjustRightInd/>
      <w:spacing w:after="200"/>
      <w:ind w:left="720"/>
      <w:contextualSpacing/>
      <w:jc w:val="left"/>
      <w:textAlignment w:val="auto"/>
    </w:pPr>
    <w:rPr>
      <w:rFonts w:ascii="Calibri" w:eastAsia="Calibri" w:hAnsi="Calibri"/>
      <w:sz w:val="22"/>
      <w:szCs w:val="22"/>
      <w:lang w:val="it-IT" w:eastAsia="en-US"/>
    </w:rPr>
  </w:style>
  <w:style w:type="paragraph" w:customStyle="1" w:styleId="Default">
    <w:name w:val="Default"/>
    <w:rsid w:val="00C941EF"/>
    <w:pPr>
      <w:autoSpaceDE w:val="0"/>
      <w:autoSpaceDN w:val="0"/>
      <w:adjustRightInd w:val="0"/>
      <w:spacing w:after="0" w:line="240" w:lineRule="auto"/>
    </w:pPr>
    <w:rPr>
      <w:rFonts w:ascii="Times" w:eastAsia="Calibri" w:hAnsi="Times" w:cs="Times"/>
      <w:color w:val="000000"/>
      <w:sz w:val="24"/>
      <w:szCs w:val="24"/>
      <w:lang w:val="it-IT" w:eastAsia="it-IT"/>
    </w:rPr>
  </w:style>
  <w:style w:type="character" w:styleId="Hyperlink">
    <w:name w:val="Hyperlink"/>
    <w:basedOn w:val="DefaultParagraphFont"/>
    <w:uiPriority w:val="99"/>
    <w:unhideWhenUsed/>
    <w:rsid w:val="00C941EF"/>
    <w:rPr>
      <w:color w:val="0000FF"/>
      <w:u w:val="single"/>
    </w:rPr>
  </w:style>
  <w:style w:type="character" w:customStyle="1" w:styleId="highlight">
    <w:name w:val="highlight"/>
    <w:basedOn w:val="DefaultParagraphFont"/>
    <w:rsid w:val="00C941EF"/>
  </w:style>
  <w:style w:type="character" w:styleId="HTMLCite">
    <w:name w:val="HTML Cite"/>
    <w:basedOn w:val="DefaultParagraphFont"/>
    <w:rsid w:val="00C941EF"/>
    <w:rPr>
      <w:i/>
      <w:iCs/>
    </w:rPr>
  </w:style>
  <w:style w:type="character" w:customStyle="1" w:styleId="cit-pub-date">
    <w:name w:val="cit-pub-date"/>
    <w:basedOn w:val="DefaultParagraphFont"/>
    <w:rsid w:val="00C941EF"/>
  </w:style>
  <w:style w:type="paragraph" w:styleId="NormalWeb">
    <w:name w:val="Normal (Web)"/>
    <w:basedOn w:val="Normal"/>
    <w:uiPriority w:val="99"/>
    <w:unhideWhenUsed/>
    <w:rsid w:val="00C941EF"/>
    <w:pPr>
      <w:widowControl/>
      <w:adjustRightInd/>
      <w:spacing w:before="100" w:beforeAutospacing="1" w:after="100" w:afterAutospacing="1"/>
      <w:jc w:val="left"/>
      <w:textAlignment w:val="auto"/>
    </w:pPr>
    <w:rPr>
      <w:lang w:val="en-US" w:eastAsia="en-US"/>
    </w:rPr>
  </w:style>
  <w:style w:type="paragraph" w:styleId="TOC1">
    <w:name w:val="toc 1"/>
    <w:basedOn w:val="Normal"/>
    <w:next w:val="Normal"/>
    <w:autoRedefine/>
    <w:semiHidden/>
    <w:rsid w:val="00C941EF"/>
    <w:pPr>
      <w:widowControl/>
      <w:tabs>
        <w:tab w:val="right" w:leader="dot" w:pos="6794"/>
      </w:tabs>
      <w:adjustRightInd/>
      <w:spacing w:after="100"/>
      <w:jc w:val="left"/>
      <w:textAlignment w:val="auto"/>
    </w:pPr>
  </w:style>
  <w:style w:type="paragraph" w:styleId="TOC2">
    <w:name w:val="toc 2"/>
    <w:basedOn w:val="Normal"/>
    <w:next w:val="Normal"/>
    <w:autoRedefine/>
    <w:semiHidden/>
    <w:rsid w:val="00C941EF"/>
    <w:pPr>
      <w:widowControl/>
      <w:tabs>
        <w:tab w:val="left" w:pos="360"/>
        <w:tab w:val="right" w:leader="dot" w:pos="6794"/>
      </w:tabs>
      <w:adjustRightInd/>
      <w:spacing w:after="100"/>
      <w:ind w:left="540"/>
      <w:jc w:val="left"/>
      <w:textAlignment w:val="auto"/>
    </w:pPr>
  </w:style>
  <w:style w:type="paragraph" w:styleId="Header">
    <w:name w:val="header"/>
    <w:basedOn w:val="Normal"/>
    <w:link w:val="HeaderChar"/>
    <w:uiPriority w:val="99"/>
    <w:semiHidden/>
    <w:unhideWhenUsed/>
    <w:rsid w:val="00C941EF"/>
    <w:pPr>
      <w:tabs>
        <w:tab w:val="center" w:pos="4986"/>
        <w:tab w:val="right" w:pos="9972"/>
      </w:tabs>
    </w:pPr>
  </w:style>
  <w:style w:type="character" w:customStyle="1" w:styleId="HeaderChar">
    <w:name w:val="Header Char"/>
    <w:basedOn w:val="DefaultParagraphFont"/>
    <w:link w:val="Header"/>
    <w:uiPriority w:val="99"/>
    <w:semiHidden/>
    <w:rsid w:val="00C941EF"/>
    <w:rPr>
      <w:rFonts w:ascii="Times New Roman" w:eastAsia="Times New Roman" w:hAnsi="Times New Roman" w:cs="Times New Roman"/>
      <w:sz w:val="24"/>
      <w:szCs w:val="24"/>
      <w:lang w:val="fr-FR" w:eastAsia="fr-FR"/>
    </w:rPr>
  </w:style>
  <w:style w:type="paragraph" w:styleId="Footer">
    <w:name w:val="footer"/>
    <w:basedOn w:val="Normal"/>
    <w:link w:val="FooterChar"/>
    <w:uiPriority w:val="99"/>
    <w:unhideWhenUsed/>
    <w:rsid w:val="00C941EF"/>
    <w:pPr>
      <w:tabs>
        <w:tab w:val="center" w:pos="4986"/>
        <w:tab w:val="right" w:pos="9972"/>
      </w:tabs>
    </w:pPr>
  </w:style>
  <w:style w:type="character" w:customStyle="1" w:styleId="FooterChar">
    <w:name w:val="Footer Char"/>
    <w:basedOn w:val="DefaultParagraphFont"/>
    <w:link w:val="Footer"/>
    <w:uiPriority w:val="99"/>
    <w:rsid w:val="00C941EF"/>
    <w:rPr>
      <w:rFonts w:ascii="Times New Roman" w:eastAsia="Times New Roman" w:hAnsi="Times New Roman" w:cs="Times New Roman"/>
      <w:sz w:val="24"/>
      <w:szCs w:val="24"/>
      <w:lang w:val="fr-FR" w:eastAsia="fr-FR"/>
    </w:rPr>
  </w:style>
  <w:style w:type="paragraph" w:styleId="BodyText2">
    <w:name w:val="Body Text 2"/>
    <w:basedOn w:val="Normal"/>
    <w:link w:val="BodyText2Char"/>
    <w:rsid w:val="00C941EF"/>
    <w:pPr>
      <w:spacing w:after="120" w:line="480" w:lineRule="auto"/>
    </w:pPr>
  </w:style>
  <w:style w:type="character" w:customStyle="1" w:styleId="BodyText2Char">
    <w:name w:val="Body Text 2 Char"/>
    <w:basedOn w:val="DefaultParagraphFont"/>
    <w:link w:val="BodyText2"/>
    <w:rsid w:val="00C941EF"/>
    <w:rPr>
      <w:rFonts w:ascii="Times New Roman" w:eastAsia="Times New Roman" w:hAnsi="Times New Roman" w:cs="Times New Roman"/>
      <w:sz w:val="24"/>
      <w:szCs w:val="24"/>
      <w:lang w:val="fr-FR" w:eastAsia="fr-FR"/>
    </w:rPr>
  </w:style>
  <w:style w:type="table" w:customStyle="1" w:styleId="Sfondochiaro1">
    <w:name w:val="Sfondo chiaro1"/>
    <w:basedOn w:val="TableNormal"/>
    <w:uiPriority w:val="60"/>
    <w:rsid w:val="00C941E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01175B"/>
    <w:rPr>
      <w:color w:val="800080" w:themeColor="followedHyperlink"/>
      <w:u w:val="single"/>
    </w:rPr>
  </w:style>
  <w:style w:type="character" w:styleId="CommentReference">
    <w:name w:val="annotation reference"/>
    <w:basedOn w:val="DefaultParagraphFont"/>
    <w:uiPriority w:val="99"/>
    <w:semiHidden/>
    <w:unhideWhenUsed/>
    <w:rsid w:val="00B30DCC"/>
    <w:rPr>
      <w:sz w:val="16"/>
      <w:szCs w:val="16"/>
    </w:rPr>
  </w:style>
  <w:style w:type="paragraph" w:styleId="CommentText">
    <w:name w:val="annotation text"/>
    <w:basedOn w:val="Normal"/>
    <w:link w:val="CommentTextChar"/>
    <w:uiPriority w:val="99"/>
    <w:unhideWhenUsed/>
    <w:rsid w:val="00B30DCC"/>
    <w:rPr>
      <w:sz w:val="20"/>
      <w:szCs w:val="20"/>
    </w:rPr>
  </w:style>
  <w:style w:type="character" w:customStyle="1" w:styleId="CommentTextChar">
    <w:name w:val="Comment Text Char"/>
    <w:basedOn w:val="DefaultParagraphFont"/>
    <w:link w:val="CommentText"/>
    <w:uiPriority w:val="99"/>
    <w:rsid w:val="00B30DCC"/>
    <w:rPr>
      <w:rFonts w:ascii="Times New Roman" w:eastAsia="Times New Roman" w:hAnsi="Times New Roman" w:cs="Times New Roman"/>
      <w:sz w:val="20"/>
      <w:szCs w:val="20"/>
      <w:lang w:val="fr-FR" w:eastAsia="fr-FR"/>
    </w:rPr>
  </w:style>
  <w:style w:type="paragraph" w:styleId="CommentSubject">
    <w:name w:val="annotation subject"/>
    <w:basedOn w:val="CommentText"/>
    <w:next w:val="CommentText"/>
    <w:link w:val="CommentSubjectChar"/>
    <w:uiPriority w:val="99"/>
    <w:semiHidden/>
    <w:unhideWhenUsed/>
    <w:rsid w:val="00B30DCC"/>
    <w:rPr>
      <w:b/>
      <w:bCs/>
    </w:rPr>
  </w:style>
  <w:style w:type="character" w:customStyle="1" w:styleId="CommentSubjectChar">
    <w:name w:val="Comment Subject Char"/>
    <w:basedOn w:val="CommentTextChar"/>
    <w:link w:val="CommentSubject"/>
    <w:uiPriority w:val="99"/>
    <w:semiHidden/>
    <w:rsid w:val="00B30DCC"/>
    <w:rPr>
      <w:b/>
      <w:bCs/>
    </w:rPr>
  </w:style>
  <w:style w:type="character" w:customStyle="1" w:styleId="hps">
    <w:name w:val="hps"/>
    <w:basedOn w:val="DefaultParagraphFont"/>
    <w:rsid w:val="00373A89"/>
  </w:style>
  <w:style w:type="character" w:customStyle="1" w:styleId="atn">
    <w:name w:val="atn"/>
    <w:basedOn w:val="DefaultParagraphFont"/>
    <w:rsid w:val="00373A89"/>
  </w:style>
  <w:style w:type="character" w:customStyle="1" w:styleId="Heading1Char">
    <w:name w:val="Heading 1 Char"/>
    <w:basedOn w:val="DefaultParagraphFont"/>
    <w:link w:val="Heading1"/>
    <w:uiPriority w:val="9"/>
    <w:rsid w:val="00254EC2"/>
    <w:rPr>
      <w:rFonts w:ascii="Times New Roman" w:eastAsia="Times New Roman" w:hAnsi="Times New Roman" w:cs="Times New Roman"/>
      <w:b/>
      <w:bCs/>
      <w:color w:val="000000"/>
      <w:kern w:val="36"/>
      <w:sz w:val="33"/>
      <w:szCs w:val="33"/>
    </w:rPr>
  </w:style>
  <w:style w:type="character" w:customStyle="1" w:styleId="highlight1">
    <w:name w:val="highlight1"/>
    <w:basedOn w:val="DefaultParagraphFont"/>
    <w:rsid w:val="00254EC2"/>
    <w:rPr>
      <w:shd w:val="clear" w:color="auto" w:fill="F2F5F8"/>
    </w:rPr>
  </w:style>
  <w:style w:type="paragraph" w:styleId="EndnoteText">
    <w:name w:val="endnote text"/>
    <w:basedOn w:val="Normal"/>
    <w:link w:val="EndnoteTextChar"/>
    <w:uiPriority w:val="99"/>
    <w:semiHidden/>
    <w:unhideWhenUsed/>
    <w:rsid w:val="00826E71"/>
    <w:rPr>
      <w:sz w:val="20"/>
      <w:szCs w:val="20"/>
    </w:rPr>
  </w:style>
  <w:style w:type="character" w:customStyle="1" w:styleId="EndnoteTextChar">
    <w:name w:val="Endnote Text Char"/>
    <w:basedOn w:val="DefaultParagraphFont"/>
    <w:link w:val="EndnoteText"/>
    <w:uiPriority w:val="99"/>
    <w:semiHidden/>
    <w:rsid w:val="00826E71"/>
    <w:rPr>
      <w:rFonts w:ascii="Times New Roman" w:eastAsia="Times New Roman" w:hAnsi="Times New Roman" w:cs="Times New Roman"/>
      <w:sz w:val="20"/>
      <w:szCs w:val="20"/>
      <w:lang w:val="en-GB" w:eastAsia="fr-FR"/>
    </w:rPr>
  </w:style>
  <w:style w:type="character" w:styleId="EndnoteReference">
    <w:name w:val="endnote reference"/>
    <w:basedOn w:val="DefaultParagraphFont"/>
    <w:uiPriority w:val="99"/>
    <w:semiHidden/>
    <w:unhideWhenUsed/>
    <w:rsid w:val="00826E71"/>
    <w:rPr>
      <w:vertAlign w:val="superscript"/>
    </w:rPr>
  </w:style>
  <w:style w:type="paragraph" w:styleId="FootnoteText">
    <w:name w:val="footnote text"/>
    <w:basedOn w:val="Normal"/>
    <w:link w:val="FootnoteTextChar"/>
    <w:uiPriority w:val="99"/>
    <w:semiHidden/>
    <w:unhideWhenUsed/>
    <w:rsid w:val="00826E71"/>
    <w:rPr>
      <w:sz w:val="20"/>
      <w:szCs w:val="20"/>
    </w:rPr>
  </w:style>
  <w:style w:type="character" w:customStyle="1" w:styleId="FootnoteTextChar">
    <w:name w:val="Footnote Text Char"/>
    <w:basedOn w:val="DefaultParagraphFont"/>
    <w:link w:val="FootnoteText"/>
    <w:uiPriority w:val="99"/>
    <w:semiHidden/>
    <w:rsid w:val="00826E71"/>
    <w:rPr>
      <w:rFonts w:ascii="Times New Roman" w:eastAsia="Times New Roman" w:hAnsi="Times New Roman" w:cs="Times New Roman"/>
      <w:sz w:val="20"/>
      <w:szCs w:val="20"/>
      <w:lang w:val="en-GB" w:eastAsia="fr-FR"/>
    </w:rPr>
  </w:style>
  <w:style w:type="character" w:styleId="FootnoteReference">
    <w:name w:val="footnote reference"/>
    <w:basedOn w:val="DefaultParagraphFont"/>
    <w:uiPriority w:val="99"/>
    <w:semiHidden/>
    <w:unhideWhenUsed/>
    <w:rsid w:val="00826E71"/>
    <w:rPr>
      <w:vertAlign w:val="superscript"/>
    </w:rPr>
  </w:style>
  <w:style w:type="table" w:customStyle="1" w:styleId="LightShading1">
    <w:name w:val="Light Shading1"/>
    <w:basedOn w:val="TableNormal"/>
    <w:uiPriority w:val="60"/>
    <w:rsid w:val="00A80B7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neNumber">
    <w:name w:val="line number"/>
    <w:basedOn w:val="DefaultParagraphFont"/>
    <w:uiPriority w:val="99"/>
    <w:semiHidden/>
    <w:unhideWhenUsed/>
    <w:rsid w:val="00F15F64"/>
  </w:style>
  <w:style w:type="table" w:styleId="TableGrid">
    <w:name w:val="Table Grid"/>
    <w:basedOn w:val="TableNormal"/>
    <w:uiPriority w:val="59"/>
    <w:rsid w:val="006871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dex1">
    <w:name w:val="index 1"/>
    <w:basedOn w:val="Normal"/>
    <w:next w:val="Normal"/>
    <w:autoRedefine/>
    <w:uiPriority w:val="99"/>
    <w:unhideWhenUsed/>
    <w:rsid w:val="00A9103D"/>
    <w:pPr>
      <w:ind w:left="180" w:hanging="180"/>
      <w:jc w:val="left"/>
    </w:pPr>
    <w:rPr>
      <w:rFonts w:asciiTheme="minorHAnsi" w:hAnsiTheme="minorHAnsi"/>
    </w:rPr>
  </w:style>
  <w:style w:type="paragraph" w:styleId="Index2">
    <w:name w:val="index 2"/>
    <w:basedOn w:val="Normal"/>
    <w:next w:val="Normal"/>
    <w:autoRedefine/>
    <w:uiPriority w:val="99"/>
    <w:unhideWhenUsed/>
    <w:rsid w:val="00A9103D"/>
    <w:pPr>
      <w:ind w:hanging="180"/>
      <w:jc w:val="left"/>
    </w:pPr>
    <w:rPr>
      <w:rFonts w:asciiTheme="minorHAnsi" w:hAnsiTheme="minorHAnsi"/>
    </w:rPr>
  </w:style>
  <w:style w:type="paragraph" w:styleId="Index3">
    <w:name w:val="index 3"/>
    <w:basedOn w:val="Normal"/>
    <w:next w:val="Normal"/>
    <w:autoRedefine/>
    <w:uiPriority w:val="99"/>
    <w:unhideWhenUsed/>
    <w:rsid w:val="00A9103D"/>
    <w:pPr>
      <w:ind w:left="540" w:hanging="180"/>
      <w:jc w:val="left"/>
    </w:pPr>
    <w:rPr>
      <w:rFonts w:asciiTheme="minorHAnsi" w:hAnsiTheme="minorHAnsi"/>
    </w:rPr>
  </w:style>
  <w:style w:type="paragraph" w:styleId="Index4">
    <w:name w:val="index 4"/>
    <w:basedOn w:val="Normal"/>
    <w:next w:val="Normal"/>
    <w:autoRedefine/>
    <w:uiPriority w:val="99"/>
    <w:unhideWhenUsed/>
    <w:rsid w:val="00A9103D"/>
    <w:pPr>
      <w:ind w:left="720" w:hanging="180"/>
      <w:jc w:val="left"/>
    </w:pPr>
    <w:rPr>
      <w:rFonts w:asciiTheme="minorHAnsi" w:hAnsiTheme="minorHAnsi"/>
    </w:rPr>
  </w:style>
  <w:style w:type="paragraph" w:styleId="Index5">
    <w:name w:val="index 5"/>
    <w:basedOn w:val="Normal"/>
    <w:next w:val="Normal"/>
    <w:autoRedefine/>
    <w:uiPriority w:val="99"/>
    <w:unhideWhenUsed/>
    <w:rsid w:val="00A9103D"/>
    <w:pPr>
      <w:ind w:left="900" w:hanging="180"/>
      <w:jc w:val="left"/>
    </w:pPr>
    <w:rPr>
      <w:rFonts w:asciiTheme="minorHAnsi" w:hAnsiTheme="minorHAnsi"/>
    </w:rPr>
  </w:style>
  <w:style w:type="paragraph" w:styleId="Index6">
    <w:name w:val="index 6"/>
    <w:basedOn w:val="Normal"/>
    <w:next w:val="Normal"/>
    <w:autoRedefine/>
    <w:uiPriority w:val="99"/>
    <w:unhideWhenUsed/>
    <w:rsid w:val="00A9103D"/>
    <w:pPr>
      <w:ind w:left="1080" w:hanging="180"/>
      <w:jc w:val="left"/>
    </w:pPr>
    <w:rPr>
      <w:rFonts w:asciiTheme="minorHAnsi" w:hAnsiTheme="minorHAnsi"/>
    </w:rPr>
  </w:style>
  <w:style w:type="paragraph" w:styleId="Index7">
    <w:name w:val="index 7"/>
    <w:basedOn w:val="Normal"/>
    <w:next w:val="Normal"/>
    <w:autoRedefine/>
    <w:uiPriority w:val="99"/>
    <w:unhideWhenUsed/>
    <w:rsid w:val="00A9103D"/>
    <w:pPr>
      <w:ind w:left="1260" w:hanging="180"/>
      <w:jc w:val="left"/>
    </w:pPr>
    <w:rPr>
      <w:rFonts w:asciiTheme="minorHAnsi" w:hAnsiTheme="minorHAnsi"/>
    </w:rPr>
  </w:style>
  <w:style w:type="paragraph" w:styleId="Index8">
    <w:name w:val="index 8"/>
    <w:basedOn w:val="Normal"/>
    <w:next w:val="Normal"/>
    <w:autoRedefine/>
    <w:uiPriority w:val="99"/>
    <w:unhideWhenUsed/>
    <w:rsid w:val="00A9103D"/>
    <w:pPr>
      <w:ind w:left="1440" w:hanging="180"/>
      <w:jc w:val="left"/>
    </w:pPr>
    <w:rPr>
      <w:rFonts w:asciiTheme="minorHAnsi" w:hAnsiTheme="minorHAnsi"/>
    </w:rPr>
  </w:style>
  <w:style w:type="paragraph" w:styleId="Index9">
    <w:name w:val="index 9"/>
    <w:basedOn w:val="Normal"/>
    <w:next w:val="Normal"/>
    <w:autoRedefine/>
    <w:uiPriority w:val="99"/>
    <w:unhideWhenUsed/>
    <w:rsid w:val="00A9103D"/>
    <w:pPr>
      <w:ind w:left="1620" w:hanging="180"/>
      <w:jc w:val="left"/>
    </w:pPr>
    <w:rPr>
      <w:rFonts w:asciiTheme="minorHAnsi" w:hAnsiTheme="minorHAnsi"/>
    </w:rPr>
  </w:style>
  <w:style w:type="paragraph" w:styleId="IndexHeading">
    <w:name w:val="index heading"/>
    <w:basedOn w:val="Normal"/>
    <w:next w:val="Index1"/>
    <w:uiPriority w:val="99"/>
    <w:unhideWhenUsed/>
    <w:rsid w:val="00A9103D"/>
    <w:pPr>
      <w:spacing w:before="240" w:after="120"/>
      <w:jc w:val="center"/>
    </w:pPr>
    <w:rPr>
      <w:rFonts w:asciiTheme="minorHAnsi" w:hAnsiTheme="minorHAnsi"/>
      <w:b/>
      <w:bCs/>
      <w:sz w:val="26"/>
      <w:szCs w:val="26"/>
    </w:rPr>
  </w:style>
</w:styles>
</file>

<file path=word/webSettings.xml><?xml version="1.0" encoding="utf-8"?>
<w:webSettings xmlns:r="http://schemas.openxmlformats.org/officeDocument/2006/relationships" xmlns:w="http://schemas.openxmlformats.org/wordprocessingml/2006/main">
  <w:divs>
    <w:div w:id="154080118">
      <w:bodyDiv w:val="1"/>
      <w:marLeft w:val="0"/>
      <w:marRight w:val="0"/>
      <w:marTop w:val="0"/>
      <w:marBottom w:val="0"/>
      <w:divBdr>
        <w:top w:val="none" w:sz="0" w:space="0" w:color="auto"/>
        <w:left w:val="none" w:sz="0" w:space="0" w:color="auto"/>
        <w:bottom w:val="none" w:sz="0" w:space="0" w:color="auto"/>
        <w:right w:val="none" w:sz="0" w:space="0" w:color="auto"/>
      </w:divBdr>
      <w:divsChild>
        <w:div w:id="860969654">
          <w:marLeft w:val="0"/>
          <w:marRight w:val="0"/>
          <w:marTop w:val="0"/>
          <w:marBottom w:val="0"/>
          <w:divBdr>
            <w:top w:val="none" w:sz="0" w:space="0" w:color="auto"/>
            <w:left w:val="none" w:sz="0" w:space="0" w:color="auto"/>
            <w:bottom w:val="none" w:sz="0" w:space="0" w:color="auto"/>
            <w:right w:val="none" w:sz="0" w:space="0" w:color="auto"/>
          </w:divBdr>
          <w:divsChild>
            <w:div w:id="29847374">
              <w:marLeft w:val="0"/>
              <w:marRight w:val="0"/>
              <w:marTop w:val="0"/>
              <w:marBottom w:val="0"/>
              <w:divBdr>
                <w:top w:val="none" w:sz="0" w:space="0" w:color="auto"/>
                <w:left w:val="none" w:sz="0" w:space="0" w:color="auto"/>
                <w:bottom w:val="none" w:sz="0" w:space="0" w:color="auto"/>
                <w:right w:val="none" w:sz="0" w:space="0" w:color="auto"/>
              </w:divBdr>
              <w:divsChild>
                <w:div w:id="1731423283">
                  <w:marLeft w:val="0"/>
                  <w:marRight w:val="0"/>
                  <w:marTop w:val="0"/>
                  <w:marBottom w:val="0"/>
                  <w:divBdr>
                    <w:top w:val="none" w:sz="0" w:space="0" w:color="auto"/>
                    <w:left w:val="none" w:sz="0" w:space="0" w:color="auto"/>
                    <w:bottom w:val="none" w:sz="0" w:space="0" w:color="auto"/>
                    <w:right w:val="none" w:sz="0" w:space="0" w:color="auto"/>
                  </w:divBdr>
                  <w:divsChild>
                    <w:div w:id="1848980853">
                      <w:marLeft w:val="0"/>
                      <w:marRight w:val="0"/>
                      <w:marTop w:val="0"/>
                      <w:marBottom w:val="0"/>
                      <w:divBdr>
                        <w:top w:val="none" w:sz="0" w:space="0" w:color="auto"/>
                        <w:left w:val="none" w:sz="0" w:space="0" w:color="auto"/>
                        <w:bottom w:val="none" w:sz="0" w:space="0" w:color="auto"/>
                        <w:right w:val="none" w:sz="0" w:space="0" w:color="auto"/>
                      </w:divBdr>
                      <w:divsChild>
                        <w:div w:id="89131158">
                          <w:marLeft w:val="0"/>
                          <w:marRight w:val="0"/>
                          <w:marTop w:val="0"/>
                          <w:marBottom w:val="0"/>
                          <w:divBdr>
                            <w:top w:val="none" w:sz="0" w:space="0" w:color="auto"/>
                            <w:left w:val="none" w:sz="0" w:space="0" w:color="auto"/>
                            <w:bottom w:val="none" w:sz="0" w:space="0" w:color="auto"/>
                            <w:right w:val="none" w:sz="0" w:space="0" w:color="auto"/>
                          </w:divBdr>
                          <w:divsChild>
                            <w:div w:id="112218338">
                              <w:marLeft w:val="0"/>
                              <w:marRight w:val="0"/>
                              <w:marTop w:val="0"/>
                              <w:marBottom w:val="0"/>
                              <w:divBdr>
                                <w:top w:val="none" w:sz="0" w:space="0" w:color="auto"/>
                                <w:left w:val="none" w:sz="0" w:space="0" w:color="auto"/>
                                <w:bottom w:val="none" w:sz="0" w:space="0" w:color="auto"/>
                                <w:right w:val="none" w:sz="0" w:space="0" w:color="auto"/>
                              </w:divBdr>
                              <w:divsChild>
                                <w:div w:id="725686684">
                                  <w:marLeft w:val="0"/>
                                  <w:marRight w:val="0"/>
                                  <w:marTop w:val="0"/>
                                  <w:marBottom w:val="0"/>
                                  <w:divBdr>
                                    <w:top w:val="none" w:sz="0" w:space="0" w:color="auto"/>
                                    <w:left w:val="none" w:sz="0" w:space="0" w:color="auto"/>
                                    <w:bottom w:val="none" w:sz="0" w:space="0" w:color="auto"/>
                                    <w:right w:val="none" w:sz="0" w:space="0" w:color="auto"/>
                                  </w:divBdr>
                                  <w:divsChild>
                                    <w:div w:id="299847920">
                                      <w:marLeft w:val="0"/>
                                      <w:marRight w:val="0"/>
                                      <w:marTop w:val="0"/>
                                      <w:marBottom w:val="0"/>
                                      <w:divBdr>
                                        <w:top w:val="none" w:sz="0" w:space="0" w:color="auto"/>
                                        <w:left w:val="none" w:sz="0" w:space="0" w:color="auto"/>
                                        <w:bottom w:val="none" w:sz="0" w:space="0" w:color="auto"/>
                                        <w:right w:val="none" w:sz="0" w:space="0" w:color="auto"/>
                                      </w:divBdr>
                                      <w:divsChild>
                                        <w:div w:id="1753547533">
                                          <w:marLeft w:val="0"/>
                                          <w:marRight w:val="0"/>
                                          <w:marTop w:val="0"/>
                                          <w:marBottom w:val="0"/>
                                          <w:divBdr>
                                            <w:top w:val="none" w:sz="0" w:space="0" w:color="auto"/>
                                            <w:left w:val="none" w:sz="0" w:space="0" w:color="auto"/>
                                            <w:bottom w:val="none" w:sz="0" w:space="0" w:color="auto"/>
                                            <w:right w:val="none" w:sz="0" w:space="0" w:color="auto"/>
                                          </w:divBdr>
                                          <w:divsChild>
                                            <w:div w:id="583419778">
                                              <w:marLeft w:val="0"/>
                                              <w:marRight w:val="0"/>
                                              <w:marTop w:val="0"/>
                                              <w:marBottom w:val="0"/>
                                              <w:divBdr>
                                                <w:top w:val="none" w:sz="0" w:space="0" w:color="auto"/>
                                                <w:left w:val="none" w:sz="0" w:space="0" w:color="auto"/>
                                                <w:bottom w:val="none" w:sz="0" w:space="0" w:color="auto"/>
                                                <w:right w:val="none" w:sz="0" w:space="0" w:color="auto"/>
                                              </w:divBdr>
                                              <w:divsChild>
                                                <w:div w:id="2042395017">
                                                  <w:marLeft w:val="0"/>
                                                  <w:marRight w:val="0"/>
                                                  <w:marTop w:val="0"/>
                                                  <w:marBottom w:val="0"/>
                                                  <w:divBdr>
                                                    <w:top w:val="none" w:sz="0" w:space="0" w:color="auto"/>
                                                    <w:left w:val="none" w:sz="0" w:space="0" w:color="auto"/>
                                                    <w:bottom w:val="none" w:sz="0" w:space="0" w:color="auto"/>
                                                    <w:right w:val="none" w:sz="0" w:space="0" w:color="auto"/>
                                                  </w:divBdr>
                                                  <w:divsChild>
                                                    <w:div w:id="1013580239">
                                                      <w:marLeft w:val="0"/>
                                                      <w:marRight w:val="0"/>
                                                      <w:marTop w:val="0"/>
                                                      <w:marBottom w:val="0"/>
                                                      <w:divBdr>
                                                        <w:top w:val="none" w:sz="0" w:space="0" w:color="auto"/>
                                                        <w:left w:val="none" w:sz="0" w:space="0" w:color="auto"/>
                                                        <w:bottom w:val="none" w:sz="0" w:space="0" w:color="auto"/>
                                                        <w:right w:val="none" w:sz="0" w:space="0" w:color="auto"/>
                                                      </w:divBdr>
                                                      <w:divsChild>
                                                        <w:div w:id="1484354036">
                                                          <w:marLeft w:val="0"/>
                                                          <w:marRight w:val="0"/>
                                                          <w:marTop w:val="0"/>
                                                          <w:marBottom w:val="0"/>
                                                          <w:divBdr>
                                                            <w:top w:val="none" w:sz="0" w:space="0" w:color="auto"/>
                                                            <w:left w:val="none" w:sz="0" w:space="0" w:color="auto"/>
                                                            <w:bottom w:val="none" w:sz="0" w:space="0" w:color="auto"/>
                                                            <w:right w:val="none" w:sz="0" w:space="0" w:color="auto"/>
                                                          </w:divBdr>
                                                          <w:divsChild>
                                                            <w:div w:id="780223401">
                                                              <w:marLeft w:val="0"/>
                                                              <w:marRight w:val="0"/>
                                                              <w:marTop w:val="0"/>
                                                              <w:marBottom w:val="0"/>
                                                              <w:divBdr>
                                                                <w:top w:val="none" w:sz="0" w:space="0" w:color="auto"/>
                                                                <w:left w:val="none" w:sz="0" w:space="0" w:color="auto"/>
                                                                <w:bottom w:val="none" w:sz="0" w:space="0" w:color="auto"/>
                                                                <w:right w:val="none" w:sz="0" w:space="0" w:color="auto"/>
                                                              </w:divBdr>
                                                              <w:divsChild>
                                                                <w:div w:id="162209824">
                                                                  <w:marLeft w:val="0"/>
                                                                  <w:marRight w:val="0"/>
                                                                  <w:marTop w:val="0"/>
                                                                  <w:marBottom w:val="0"/>
                                                                  <w:divBdr>
                                                                    <w:top w:val="none" w:sz="0" w:space="0" w:color="auto"/>
                                                                    <w:left w:val="none" w:sz="0" w:space="0" w:color="auto"/>
                                                                    <w:bottom w:val="none" w:sz="0" w:space="0" w:color="auto"/>
                                                                    <w:right w:val="none" w:sz="0" w:space="0" w:color="auto"/>
                                                                  </w:divBdr>
                                                                </w:div>
                                                                <w:div w:id="224798816">
                                                                  <w:marLeft w:val="0"/>
                                                                  <w:marRight w:val="0"/>
                                                                  <w:marTop w:val="0"/>
                                                                  <w:marBottom w:val="0"/>
                                                                  <w:divBdr>
                                                                    <w:top w:val="none" w:sz="0" w:space="0" w:color="auto"/>
                                                                    <w:left w:val="none" w:sz="0" w:space="0" w:color="auto"/>
                                                                    <w:bottom w:val="none" w:sz="0" w:space="0" w:color="auto"/>
                                                                    <w:right w:val="none" w:sz="0" w:space="0" w:color="auto"/>
                                                                  </w:divBdr>
                                                                </w:div>
                                                                <w:div w:id="1071272440">
                                                                  <w:marLeft w:val="240"/>
                                                                  <w:marRight w:val="0"/>
                                                                  <w:marTop w:val="0"/>
                                                                  <w:marBottom w:val="0"/>
                                                                  <w:divBdr>
                                                                    <w:top w:val="none" w:sz="0" w:space="0" w:color="auto"/>
                                                                    <w:left w:val="none" w:sz="0" w:space="0" w:color="auto"/>
                                                                    <w:bottom w:val="none" w:sz="0" w:space="0" w:color="auto"/>
                                                                    <w:right w:val="none" w:sz="0" w:space="0" w:color="auto"/>
                                                                  </w:divBdr>
                                                                  <w:divsChild>
                                                                    <w:div w:id="187226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860085">
                                                              <w:marLeft w:val="0"/>
                                                              <w:marRight w:val="0"/>
                                                              <w:marTop w:val="0"/>
                                                              <w:marBottom w:val="0"/>
                                                              <w:divBdr>
                                                                <w:top w:val="none" w:sz="0" w:space="0" w:color="auto"/>
                                                                <w:left w:val="none" w:sz="0" w:space="0" w:color="auto"/>
                                                                <w:bottom w:val="none" w:sz="0" w:space="0" w:color="auto"/>
                                                                <w:right w:val="none" w:sz="0" w:space="0" w:color="auto"/>
                                                              </w:divBdr>
                                                              <w:divsChild>
                                                                <w:div w:id="1686051500">
                                                                  <w:marLeft w:val="0"/>
                                                                  <w:marRight w:val="0"/>
                                                                  <w:marTop w:val="0"/>
                                                                  <w:marBottom w:val="0"/>
                                                                  <w:divBdr>
                                                                    <w:top w:val="none" w:sz="0" w:space="0" w:color="auto"/>
                                                                    <w:left w:val="none" w:sz="0" w:space="0" w:color="auto"/>
                                                                    <w:bottom w:val="none" w:sz="0" w:space="0" w:color="auto"/>
                                                                    <w:right w:val="none" w:sz="0" w:space="0" w:color="auto"/>
                                                                  </w:divBdr>
                                                                  <w:divsChild>
                                                                    <w:div w:id="1182552661">
                                                                      <w:marLeft w:val="0"/>
                                                                      <w:marRight w:val="0"/>
                                                                      <w:marTop w:val="0"/>
                                                                      <w:marBottom w:val="0"/>
                                                                      <w:divBdr>
                                                                        <w:top w:val="none" w:sz="0" w:space="0" w:color="auto"/>
                                                                        <w:left w:val="none" w:sz="0" w:space="0" w:color="auto"/>
                                                                        <w:bottom w:val="none" w:sz="0" w:space="0" w:color="auto"/>
                                                                        <w:right w:val="none" w:sz="0" w:space="0" w:color="auto"/>
                                                                      </w:divBdr>
                                                                    </w:div>
                                                                    <w:div w:id="58407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900118">
                                                      <w:marLeft w:val="0"/>
                                                      <w:marRight w:val="0"/>
                                                      <w:marTop w:val="0"/>
                                                      <w:marBottom w:val="0"/>
                                                      <w:divBdr>
                                                        <w:top w:val="none" w:sz="0" w:space="0" w:color="auto"/>
                                                        <w:left w:val="none" w:sz="0" w:space="0" w:color="auto"/>
                                                        <w:bottom w:val="none" w:sz="0" w:space="0" w:color="auto"/>
                                                        <w:right w:val="none" w:sz="0" w:space="0" w:color="auto"/>
                                                      </w:divBdr>
                                                      <w:divsChild>
                                                        <w:div w:id="199459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0111992">
      <w:bodyDiv w:val="1"/>
      <w:marLeft w:val="0"/>
      <w:marRight w:val="0"/>
      <w:marTop w:val="0"/>
      <w:marBottom w:val="0"/>
      <w:divBdr>
        <w:top w:val="none" w:sz="0" w:space="0" w:color="auto"/>
        <w:left w:val="none" w:sz="0" w:space="0" w:color="auto"/>
        <w:bottom w:val="none" w:sz="0" w:space="0" w:color="auto"/>
        <w:right w:val="none" w:sz="0" w:space="0" w:color="auto"/>
      </w:divBdr>
    </w:div>
    <w:div w:id="399525065">
      <w:bodyDiv w:val="1"/>
      <w:marLeft w:val="0"/>
      <w:marRight w:val="0"/>
      <w:marTop w:val="0"/>
      <w:marBottom w:val="0"/>
      <w:divBdr>
        <w:top w:val="none" w:sz="0" w:space="0" w:color="auto"/>
        <w:left w:val="none" w:sz="0" w:space="0" w:color="auto"/>
        <w:bottom w:val="none" w:sz="0" w:space="0" w:color="auto"/>
        <w:right w:val="none" w:sz="0" w:space="0" w:color="auto"/>
      </w:divBdr>
      <w:divsChild>
        <w:div w:id="1021280165">
          <w:marLeft w:val="0"/>
          <w:marRight w:val="0"/>
          <w:marTop w:val="0"/>
          <w:marBottom w:val="0"/>
          <w:divBdr>
            <w:top w:val="none" w:sz="0" w:space="0" w:color="auto"/>
            <w:left w:val="none" w:sz="0" w:space="0" w:color="auto"/>
            <w:bottom w:val="none" w:sz="0" w:space="0" w:color="auto"/>
            <w:right w:val="none" w:sz="0" w:space="0" w:color="auto"/>
          </w:divBdr>
          <w:divsChild>
            <w:div w:id="1070881453">
              <w:marLeft w:val="0"/>
              <w:marRight w:val="0"/>
              <w:marTop w:val="0"/>
              <w:marBottom w:val="0"/>
              <w:divBdr>
                <w:top w:val="none" w:sz="0" w:space="0" w:color="auto"/>
                <w:left w:val="none" w:sz="0" w:space="0" w:color="auto"/>
                <w:bottom w:val="none" w:sz="0" w:space="0" w:color="auto"/>
                <w:right w:val="none" w:sz="0" w:space="0" w:color="auto"/>
              </w:divBdr>
              <w:divsChild>
                <w:div w:id="1844977798">
                  <w:marLeft w:val="0"/>
                  <w:marRight w:val="0"/>
                  <w:marTop w:val="0"/>
                  <w:marBottom w:val="0"/>
                  <w:divBdr>
                    <w:top w:val="none" w:sz="0" w:space="0" w:color="auto"/>
                    <w:left w:val="none" w:sz="0" w:space="0" w:color="auto"/>
                    <w:bottom w:val="none" w:sz="0" w:space="0" w:color="auto"/>
                    <w:right w:val="none" w:sz="0" w:space="0" w:color="auto"/>
                  </w:divBdr>
                  <w:divsChild>
                    <w:div w:id="1106971161">
                      <w:marLeft w:val="0"/>
                      <w:marRight w:val="0"/>
                      <w:marTop w:val="0"/>
                      <w:marBottom w:val="0"/>
                      <w:divBdr>
                        <w:top w:val="none" w:sz="0" w:space="0" w:color="auto"/>
                        <w:left w:val="none" w:sz="0" w:space="0" w:color="auto"/>
                        <w:bottom w:val="none" w:sz="0" w:space="0" w:color="auto"/>
                        <w:right w:val="none" w:sz="0" w:space="0" w:color="auto"/>
                      </w:divBdr>
                      <w:divsChild>
                        <w:div w:id="1733581455">
                          <w:marLeft w:val="0"/>
                          <w:marRight w:val="0"/>
                          <w:marTop w:val="0"/>
                          <w:marBottom w:val="0"/>
                          <w:divBdr>
                            <w:top w:val="none" w:sz="0" w:space="0" w:color="auto"/>
                            <w:left w:val="none" w:sz="0" w:space="0" w:color="auto"/>
                            <w:bottom w:val="none" w:sz="0" w:space="0" w:color="auto"/>
                            <w:right w:val="none" w:sz="0" w:space="0" w:color="auto"/>
                          </w:divBdr>
                          <w:divsChild>
                            <w:div w:id="1246451000">
                              <w:marLeft w:val="0"/>
                              <w:marRight w:val="0"/>
                              <w:marTop w:val="0"/>
                              <w:marBottom w:val="0"/>
                              <w:divBdr>
                                <w:top w:val="none" w:sz="0" w:space="0" w:color="auto"/>
                                <w:left w:val="none" w:sz="0" w:space="0" w:color="auto"/>
                                <w:bottom w:val="none" w:sz="0" w:space="0" w:color="auto"/>
                                <w:right w:val="none" w:sz="0" w:space="0" w:color="auto"/>
                              </w:divBdr>
                              <w:divsChild>
                                <w:div w:id="1359552429">
                                  <w:marLeft w:val="0"/>
                                  <w:marRight w:val="0"/>
                                  <w:marTop w:val="0"/>
                                  <w:marBottom w:val="0"/>
                                  <w:divBdr>
                                    <w:top w:val="none" w:sz="0" w:space="0" w:color="auto"/>
                                    <w:left w:val="none" w:sz="0" w:space="0" w:color="auto"/>
                                    <w:bottom w:val="none" w:sz="0" w:space="0" w:color="auto"/>
                                    <w:right w:val="none" w:sz="0" w:space="0" w:color="auto"/>
                                  </w:divBdr>
                                  <w:divsChild>
                                    <w:div w:id="1633898117">
                                      <w:marLeft w:val="54"/>
                                      <w:marRight w:val="0"/>
                                      <w:marTop w:val="0"/>
                                      <w:marBottom w:val="0"/>
                                      <w:divBdr>
                                        <w:top w:val="none" w:sz="0" w:space="0" w:color="auto"/>
                                        <w:left w:val="none" w:sz="0" w:space="0" w:color="auto"/>
                                        <w:bottom w:val="none" w:sz="0" w:space="0" w:color="auto"/>
                                        <w:right w:val="none" w:sz="0" w:space="0" w:color="auto"/>
                                      </w:divBdr>
                                      <w:divsChild>
                                        <w:div w:id="452676319">
                                          <w:marLeft w:val="0"/>
                                          <w:marRight w:val="0"/>
                                          <w:marTop w:val="0"/>
                                          <w:marBottom w:val="0"/>
                                          <w:divBdr>
                                            <w:top w:val="none" w:sz="0" w:space="0" w:color="auto"/>
                                            <w:left w:val="none" w:sz="0" w:space="0" w:color="auto"/>
                                            <w:bottom w:val="none" w:sz="0" w:space="0" w:color="auto"/>
                                            <w:right w:val="none" w:sz="0" w:space="0" w:color="auto"/>
                                          </w:divBdr>
                                          <w:divsChild>
                                            <w:div w:id="53626682">
                                              <w:marLeft w:val="0"/>
                                              <w:marRight w:val="0"/>
                                              <w:marTop w:val="0"/>
                                              <w:marBottom w:val="109"/>
                                              <w:divBdr>
                                                <w:top w:val="single" w:sz="6" w:space="0" w:color="F5F5F5"/>
                                                <w:left w:val="single" w:sz="6" w:space="0" w:color="F5F5F5"/>
                                                <w:bottom w:val="single" w:sz="6" w:space="0" w:color="F5F5F5"/>
                                                <w:right w:val="single" w:sz="6" w:space="0" w:color="F5F5F5"/>
                                              </w:divBdr>
                                              <w:divsChild>
                                                <w:div w:id="1220359058">
                                                  <w:marLeft w:val="0"/>
                                                  <w:marRight w:val="0"/>
                                                  <w:marTop w:val="0"/>
                                                  <w:marBottom w:val="0"/>
                                                  <w:divBdr>
                                                    <w:top w:val="none" w:sz="0" w:space="0" w:color="auto"/>
                                                    <w:left w:val="none" w:sz="0" w:space="0" w:color="auto"/>
                                                    <w:bottom w:val="none" w:sz="0" w:space="0" w:color="auto"/>
                                                    <w:right w:val="none" w:sz="0" w:space="0" w:color="auto"/>
                                                  </w:divBdr>
                                                  <w:divsChild>
                                                    <w:div w:id="174964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1847994">
      <w:bodyDiv w:val="1"/>
      <w:marLeft w:val="0"/>
      <w:marRight w:val="0"/>
      <w:marTop w:val="0"/>
      <w:marBottom w:val="0"/>
      <w:divBdr>
        <w:top w:val="none" w:sz="0" w:space="0" w:color="auto"/>
        <w:left w:val="none" w:sz="0" w:space="0" w:color="auto"/>
        <w:bottom w:val="none" w:sz="0" w:space="0" w:color="auto"/>
        <w:right w:val="none" w:sz="0" w:space="0" w:color="auto"/>
      </w:divBdr>
      <w:divsChild>
        <w:div w:id="1344433010">
          <w:marLeft w:val="0"/>
          <w:marRight w:val="0"/>
          <w:marTop w:val="0"/>
          <w:marBottom w:val="0"/>
          <w:divBdr>
            <w:top w:val="none" w:sz="0" w:space="0" w:color="auto"/>
            <w:left w:val="none" w:sz="0" w:space="0" w:color="auto"/>
            <w:bottom w:val="none" w:sz="0" w:space="0" w:color="auto"/>
            <w:right w:val="none" w:sz="0" w:space="0" w:color="auto"/>
          </w:divBdr>
          <w:divsChild>
            <w:div w:id="1092434239">
              <w:marLeft w:val="0"/>
              <w:marRight w:val="0"/>
              <w:marTop w:val="0"/>
              <w:marBottom w:val="0"/>
              <w:divBdr>
                <w:top w:val="none" w:sz="0" w:space="0" w:color="auto"/>
                <w:left w:val="none" w:sz="0" w:space="0" w:color="auto"/>
                <w:bottom w:val="none" w:sz="0" w:space="0" w:color="auto"/>
                <w:right w:val="none" w:sz="0" w:space="0" w:color="auto"/>
              </w:divBdr>
              <w:divsChild>
                <w:div w:id="1481538163">
                  <w:marLeft w:val="0"/>
                  <w:marRight w:val="0"/>
                  <w:marTop w:val="0"/>
                  <w:marBottom w:val="0"/>
                  <w:divBdr>
                    <w:top w:val="none" w:sz="0" w:space="0" w:color="auto"/>
                    <w:left w:val="none" w:sz="0" w:space="0" w:color="auto"/>
                    <w:bottom w:val="none" w:sz="0" w:space="0" w:color="auto"/>
                    <w:right w:val="none" w:sz="0" w:space="0" w:color="auto"/>
                  </w:divBdr>
                  <w:divsChild>
                    <w:div w:id="1883439490">
                      <w:marLeft w:val="0"/>
                      <w:marRight w:val="0"/>
                      <w:marTop w:val="0"/>
                      <w:marBottom w:val="0"/>
                      <w:divBdr>
                        <w:top w:val="none" w:sz="0" w:space="0" w:color="auto"/>
                        <w:left w:val="none" w:sz="0" w:space="0" w:color="auto"/>
                        <w:bottom w:val="none" w:sz="0" w:space="0" w:color="auto"/>
                        <w:right w:val="none" w:sz="0" w:space="0" w:color="auto"/>
                      </w:divBdr>
                      <w:divsChild>
                        <w:div w:id="500855755">
                          <w:marLeft w:val="0"/>
                          <w:marRight w:val="0"/>
                          <w:marTop w:val="0"/>
                          <w:marBottom w:val="0"/>
                          <w:divBdr>
                            <w:top w:val="none" w:sz="0" w:space="0" w:color="auto"/>
                            <w:left w:val="none" w:sz="0" w:space="0" w:color="auto"/>
                            <w:bottom w:val="none" w:sz="0" w:space="0" w:color="auto"/>
                            <w:right w:val="none" w:sz="0" w:space="0" w:color="auto"/>
                          </w:divBdr>
                          <w:divsChild>
                            <w:div w:id="163784324">
                              <w:marLeft w:val="0"/>
                              <w:marRight w:val="0"/>
                              <w:marTop w:val="0"/>
                              <w:marBottom w:val="0"/>
                              <w:divBdr>
                                <w:top w:val="none" w:sz="0" w:space="0" w:color="auto"/>
                                <w:left w:val="none" w:sz="0" w:space="0" w:color="auto"/>
                                <w:bottom w:val="none" w:sz="0" w:space="0" w:color="auto"/>
                                <w:right w:val="none" w:sz="0" w:space="0" w:color="auto"/>
                              </w:divBdr>
                              <w:divsChild>
                                <w:div w:id="740981222">
                                  <w:marLeft w:val="0"/>
                                  <w:marRight w:val="0"/>
                                  <w:marTop w:val="0"/>
                                  <w:marBottom w:val="0"/>
                                  <w:divBdr>
                                    <w:top w:val="none" w:sz="0" w:space="0" w:color="auto"/>
                                    <w:left w:val="none" w:sz="0" w:space="0" w:color="auto"/>
                                    <w:bottom w:val="none" w:sz="0" w:space="0" w:color="auto"/>
                                    <w:right w:val="none" w:sz="0" w:space="0" w:color="auto"/>
                                  </w:divBdr>
                                  <w:divsChild>
                                    <w:div w:id="2064254494">
                                      <w:marLeft w:val="54"/>
                                      <w:marRight w:val="0"/>
                                      <w:marTop w:val="0"/>
                                      <w:marBottom w:val="0"/>
                                      <w:divBdr>
                                        <w:top w:val="none" w:sz="0" w:space="0" w:color="auto"/>
                                        <w:left w:val="none" w:sz="0" w:space="0" w:color="auto"/>
                                        <w:bottom w:val="none" w:sz="0" w:space="0" w:color="auto"/>
                                        <w:right w:val="none" w:sz="0" w:space="0" w:color="auto"/>
                                      </w:divBdr>
                                      <w:divsChild>
                                        <w:div w:id="1619024035">
                                          <w:marLeft w:val="0"/>
                                          <w:marRight w:val="0"/>
                                          <w:marTop w:val="0"/>
                                          <w:marBottom w:val="0"/>
                                          <w:divBdr>
                                            <w:top w:val="none" w:sz="0" w:space="0" w:color="auto"/>
                                            <w:left w:val="none" w:sz="0" w:space="0" w:color="auto"/>
                                            <w:bottom w:val="none" w:sz="0" w:space="0" w:color="auto"/>
                                            <w:right w:val="none" w:sz="0" w:space="0" w:color="auto"/>
                                          </w:divBdr>
                                          <w:divsChild>
                                            <w:div w:id="1169373237">
                                              <w:marLeft w:val="0"/>
                                              <w:marRight w:val="0"/>
                                              <w:marTop w:val="0"/>
                                              <w:marBottom w:val="109"/>
                                              <w:divBdr>
                                                <w:top w:val="single" w:sz="6" w:space="0" w:color="F5F5F5"/>
                                                <w:left w:val="single" w:sz="6" w:space="0" w:color="F5F5F5"/>
                                                <w:bottom w:val="single" w:sz="6" w:space="0" w:color="F5F5F5"/>
                                                <w:right w:val="single" w:sz="6" w:space="0" w:color="F5F5F5"/>
                                              </w:divBdr>
                                              <w:divsChild>
                                                <w:div w:id="1976985179">
                                                  <w:marLeft w:val="0"/>
                                                  <w:marRight w:val="0"/>
                                                  <w:marTop w:val="0"/>
                                                  <w:marBottom w:val="0"/>
                                                  <w:divBdr>
                                                    <w:top w:val="none" w:sz="0" w:space="0" w:color="auto"/>
                                                    <w:left w:val="none" w:sz="0" w:space="0" w:color="auto"/>
                                                    <w:bottom w:val="none" w:sz="0" w:space="0" w:color="auto"/>
                                                    <w:right w:val="none" w:sz="0" w:space="0" w:color="auto"/>
                                                  </w:divBdr>
                                                  <w:divsChild>
                                                    <w:div w:id="24827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42146581">
      <w:bodyDiv w:val="1"/>
      <w:marLeft w:val="0"/>
      <w:marRight w:val="0"/>
      <w:marTop w:val="0"/>
      <w:marBottom w:val="0"/>
      <w:divBdr>
        <w:top w:val="none" w:sz="0" w:space="0" w:color="auto"/>
        <w:left w:val="none" w:sz="0" w:space="0" w:color="auto"/>
        <w:bottom w:val="none" w:sz="0" w:space="0" w:color="auto"/>
        <w:right w:val="none" w:sz="0" w:space="0" w:color="auto"/>
      </w:divBdr>
    </w:div>
    <w:div w:id="793332318">
      <w:bodyDiv w:val="1"/>
      <w:marLeft w:val="0"/>
      <w:marRight w:val="0"/>
      <w:marTop w:val="0"/>
      <w:marBottom w:val="0"/>
      <w:divBdr>
        <w:top w:val="none" w:sz="0" w:space="0" w:color="auto"/>
        <w:left w:val="none" w:sz="0" w:space="0" w:color="auto"/>
        <w:bottom w:val="none" w:sz="0" w:space="0" w:color="auto"/>
        <w:right w:val="none" w:sz="0" w:space="0" w:color="auto"/>
      </w:divBdr>
      <w:divsChild>
        <w:div w:id="925650046">
          <w:marLeft w:val="0"/>
          <w:marRight w:val="0"/>
          <w:marTop w:val="0"/>
          <w:marBottom w:val="0"/>
          <w:divBdr>
            <w:top w:val="none" w:sz="0" w:space="0" w:color="auto"/>
            <w:left w:val="none" w:sz="0" w:space="0" w:color="auto"/>
            <w:bottom w:val="none" w:sz="0" w:space="0" w:color="auto"/>
            <w:right w:val="none" w:sz="0" w:space="0" w:color="auto"/>
          </w:divBdr>
          <w:divsChild>
            <w:div w:id="1804425924">
              <w:marLeft w:val="0"/>
              <w:marRight w:val="0"/>
              <w:marTop w:val="0"/>
              <w:marBottom w:val="0"/>
              <w:divBdr>
                <w:top w:val="none" w:sz="0" w:space="0" w:color="auto"/>
                <w:left w:val="none" w:sz="0" w:space="0" w:color="auto"/>
                <w:bottom w:val="none" w:sz="0" w:space="0" w:color="auto"/>
                <w:right w:val="none" w:sz="0" w:space="0" w:color="auto"/>
              </w:divBdr>
              <w:divsChild>
                <w:div w:id="1251892580">
                  <w:marLeft w:val="0"/>
                  <w:marRight w:val="0"/>
                  <w:marTop w:val="0"/>
                  <w:marBottom w:val="0"/>
                  <w:divBdr>
                    <w:top w:val="none" w:sz="0" w:space="0" w:color="auto"/>
                    <w:left w:val="none" w:sz="0" w:space="0" w:color="auto"/>
                    <w:bottom w:val="none" w:sz="0" w:space="0" w:color="auto"/>
                    <w:right w:val="none" w:sz="0" w:space="0" w:color="auto"/>
                  </w:divBdr>
                  <w:divsChild>
                    <w:div w:id="197934326">
                      <w:marLeft w:val="0"/>
                      <w:marRight w:val="0"/>
                      <w:marTop w:val="0"/>
                      <w:marBottom w:val="0"/>
                      <w:divBdr>
                        <w:top w:val="none" w:sz="0" w:space="0" w:color="auto"/>
                        <w:left w:val="none" w:sz="0" w:space="0" w:color="auto"/>
                        <w:bottom w:val="none" w:sz="0" w:space="0" w:color="auto"/>
                        <w:right w:val="none" w:sz="0" w:space="0" w:color="auto"/>
                      </w:divBdr>
                      <w:divsChild>
                        <w:div w:id="465977799">
                          <w:marLeft w:val="0"/>
                          <w:marRight w:val="0"/>
                          <w:marTop w:val="0"/>
                          <w:marBottom w:val="0"/>
                          <w:divBdr>
                            <w:top w:val="none" w:sz="0" w:space="0" w:color="auto"/>
                            <w:left w:val="none" w:sz="0" w:space="0" w:color="auto"/>
                            <w:bottom w:val="none" w:sz="0" w:space="0" w:color="auto"/>
                            <w:right w:val="none" w:sz="0" w:space="0" w:color="auto"/>
                          </w:divBdr>
                          <w:divsChild>
                            <w:div w:id="395054759">
                              <w:marLeft w:val="0"/>
                              <w:marRight w:val="0"/>
                              <w:marTop w:val="0"/>
                              <w:marBottom w:val="0"/>
                              <w:divBdr>
                                <w:top w:val="none" w:sz="0" w:space="0" w:color="auto"/>
                                <w:left w:val="none" w:sz="0" w:space="0" w:color="auto"/>
                                <w:bottom w:val="none" w:sz="0" w:space="0" w:color="auto"/>
                                <w:right w:val="none" w:sz="0" w:space="0" w:color="auto"/>
                              </w:divBdr>
                              <w:divsChild>
                                <w:div w:id="496072659">
                                  <w:marLeft w:val="0"/>
                                  <w:marRight w:val="0"/>
                                  <w:marTop w:val="0"/>
                                  <w:marBottom w:val="0"/>
                                  <w:divBdr>
                                    <w:top w:val="none" w:sz="0" w:space="0" w:color="auto"/>
                                    <w:left w:val="none" w:sz="0" w:space="0" w:color="auto"/>
                                    <w:bottom w:val="none" w:sz="0" w:space="0" w:color="auto"/>
                                    <w:right w:val="none" w:sz="0" w:space="0" w:color="auto"/>
                                  </w:divBdr>
                                  <w:divsChild>
                                    <w:div w:id="2113894192">
                                      <w:marLeft w:val="54"/>
                                      <w:marRight w:val="0"/>
                                      <w:marTop w:val="0"/>
                                      <w:marBottom w:val="0"/>
                                      <w:divBdr>
                                        <w:top w:val="none" w:sz="0" w:space="0" w:color="auto"/>
                                        <w:left w:val="none" w:sz="0" w:space="0" w:color="auto"/>
                                        <w:bottom w:val="none" w:sz="0" w:space="0" w:color="auto"/>
                                        <w:right w:val="none" w:sz="0" w:space="0" w:color="auto"/>
                                      </w:divBdr>
                                      <w:divsChild>
                                        <w:div w:id="605307498">
                                          <w:marLeft w:val="0"/>
                                          <w:marRight w:val="0"/>
                                          <w:marTop w:val="0"/>
                                          <w:marBottom w:val="0"/>
                                          <w:divBdr>
                                            <w:top w:val="none" w:sz="0" w:space="0" w:color="auto"/>
                                            <w:left w:val="none" w:sz="0" w:space="0" w:color="auto"/>
                                            <w:bottom w:val="none" w:sz="0" w:space="0" w:color="auto"/>
                                            <w:right w:val="none" w:sz="0" w:space="0" w:color="auto"/>
                                          </w:divBdr>
                                          <w:divsChild>
                                            <w:div w:id="1489708959">
                                              <w:marLeft w:val="0"/>
                                              <w:marRight w:val="0"/>
                                              <w:marTop w:val="0"/>
                                              <w:marBottom w:val="109"/>
                                              <w:divBdr>
                                                <w:top w:val="single" w:sz="6" w:space="0" w:color="F5F5F5"/>
                                                <w:left w:val="single" w:sz="6" w:space="0" w:color="F5F5F5"/>
                                                <w:bottom w:val="single" w:sz="6" w:space="0" w:color="F5F5F5"/>
                                                <w:right w:val="single" w:sz="6" w:space="0" w:color="F5F5F5"/>
                                              </w:divBdr>
                                              <w:divsChild>
                                                <w:div w:id="644244446">
                                                  <w:marLeft w:val="0"/>
                                                  <w:marRight w:val="0"/>
                                                  <w:marTop w:val="0"/>
                                                  <w:marBottom w:val="0"/>
                                                  <w:divBdr>
                                                    <w:top w:val="none" w:sz="0" w:space="0" w:color="auto"/>
                                                    <w:left w:val="none" w:sz="0" w:space="0" w:color="auto"/>
                                                    <w:bottom w:val="none" w:sz="0" w:space="0" w:color="auto"/>
                                                    <w:right w:val="none" w:sz="0" w:space="0" w:color="auto"/>
                                                  </w:divBdr>
                                                  <w:divsChild>
                                                    <w:div w:id="123643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5551135">
      <w:bodyDiv w:val="1"/>
      <w:marLeft w:val="0"/>
      <w:marRight w:val="0"/>
      <w:marTop w:val="0"/>
      <w:marBottom w:val="0"/>
      <w:divBdr>
        <w:top w:val="none" w:sz="0" w:space="0" w:color="auto"/>
        <w:left w:val="none" w:sz="0" w:space="0" w:color="auto"/>
        <w:bottom w:val="none" w:sz="0" w:space="0" w:color="auto"/>
        <w:right w:val="none" w:sz="0" w:space="0" w:color="auto"/>
      </w:divBdr>
      <w:divsChild>
        <w:div w:id="1738942131">
          <w:marLeft w:val="0"/>
          <w:marRight w:val="1"/>
          <w:marTop w:val="0"/>
          <w:marBottom w:val="0"/>
          <w:divBdr>
            <w:top w:val="none" w:sz="0" w:space="0" w:color="auto"/>
            <w:left w:val="none" w:sz="0" w:space="0" w:color="auto"/>
            <w:bottom w:val="none" w:sz="0" w:space="0" w:color="auto"/>
            <w:right w:val="none" w:sz="0" w:space="0" w:color="auto"/>
          </w:divBdr>
          <w:divsChild>
            <w:div w:id="1777021858">
              <w:marLeft w:val="0"/>
              <w:marRight w:val="0"/>
              <w:marTop w:val="0"/>
              <w:marBottom w:val="0"/>
              <w:divBdr>
                <w:top w:val="none" w:sz="0" w:space="0" w:color="auto"/>
                <w:left w:val="none" w:sz="0" w:space="0" w:color="auto"/>
                <w:bottom w:val="none" w:sz="0" w:space="0" w:color="auto"/>
                <w:right w:val="none" w:sz="0" w:space="0" w:color="auto"/>
              </w:divBdr>
              <w:divsChild>
                <w:div w:id="1588687112">
                  <w:marLeft w:val="0"/>
                  <w:marRight w:val="1"/>
                  <w:marTop w:val="0"/>
                  <w:marBottom w:val="0"/>
                  <w:divBdr>
                    <w:top w:val="none" w:sz="0" w:space="0" w:color="auto"/>
                    <w:left w:val="none" w:sz="0" w:space="0" w:color="auto"/>
                    <w:bottom w:val="none" w:sz="0" w:space="0" w:color="auto"/>
                    <w:right w:val="none" w:sz="0" w:space="0" w:color="auto"/>
                  </w:divBdr>
                  <w:divsChild>
                    <w:div w:id="1440643223">
                      <w:marLeft w:val="0"/>
                      <w:marRight w:val="0"/>
                      <w:marTop w:val="0"/>
                      <w:marBottom w:val="0"/>
                      <w:divBdr>
                        <w:top w:val="none" w:sz="0" w:space="0" w:color="auto"/>
                        <w:left w:val="none" w:sz="0" w:space="0" w:color="auto"/>
                        <w:bottom w:val="none" w:sz="0" w:space="0" w:color="auto"/>
                        <w:right w:val="none" w:sz="0" w:space="0" w:color="auto"/>
                      </w:divBdr>
                      <w:divsChild>
                        <w:div w:id="1480878453">
                          <w:marLeft w:val="0"/>
                          <w:marRight w:val="0"/>
                          <w:marTop w:val="0"/>
                          <w:marBottom w:val="0"/>
                          <w:divBdr>
                            <w:top w:val="none" w:sz="0" w:space="0" w:color="auto"/>
                            <w:left w:val="none" w:sz="0" w:space="0" w:color="auto"/>
                            <w:bottom w:val="none" w:sz="0" w:space="0" w:color="auto"/>
                            <w:right w:val="none" w:sz="0" w:space="0" w:color="auto"/>
                          </w:divBdr>
                          <w:divsChild>
                            <w:div w:id="903835735">
                              <w:marLeft w:val="0"/>
                              <w:marRight w:val="0"/>
                              <w:marTop w:val="120"/>
                              <w:marBottom w:val="360"/>
                              <w:divBdr>
                                <w:top w:val="none" w:sz="0" w:space="0" w:color="auto"/>
                                <w:left w:val="none" w:sz="0" w:space="0" w:color="auto"/>
                                <w:bottom w:val="none" w:sz="0" w:space="0" w:color="auto"/>
                                <w:right w:val="none" w:sz="0" w:space="0" w:color="auto"/>
                              </w:divBdr>
                              <w:divsChild>
                                <w:div w:id="1549294803">
                                  <w:marLeft w:val="0"/>
                                  <w:marRight w:val="0"/>
                                  <w:marTop w:val="0"/>
                                  <w:marBottom w:val="0"/>
                                  <w:divBdr>
                                    <w:top w:val="none" w:sz="0" w:space="0" w:color="auto"/>
                                    <w:left w:val="none" w:sz="0" w:space="0" w:color="auto"/>
                                    <w:bottom w:val="none" w:sz="0" w:space="0" w:color="auto"/>
                                    <w:right w:val="none" w:sz="0" w:space="0" w:color="auto"/>
                                  </w:divBdr>
                                </w:div>
                                <w:div w:id="81252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337120">
      <w:bodyDiv w:val="1"/>
      <w:marLeft w:val="0"/>
      <w:marRight w:val="0"/>
      <w:marTop w:val="0"/>
      <w:marBottom w:val="0"/>
      <w:divBdr>
        <w:top w:val="none" w:sz="0" w:space="0" w:color="auto"/>
        <w:left w:val="none" w:sz="0" w:space="0" w:color="auto"/>
        <w:bottom w:val="none" w:sz="0" w:space="0" w:color="auto"/>
        <w:right w:val="none" w:sz="0" w:space="0" w:color="auto"/>
      </w:divBdr>
    </w:div>
    <w:div w:id="1078861548">
      <w:bodyDiv w:val="1"/>
      <w:marLeft w:val="0"/>
      <w:marRight w:val="0"/>
      <w:marTop w:val="0"/>
      <w:marBottom w:val="0"/>
      <w:divBdr>
        <w:top w:val="none" w:sz="0" w:space="0" w:color="auto"/>
        <w:left w:val="none" w:sz="0" w:space="0" w:color="auto"/>
        <w:bottom w:val="none" w:sz="0" w:space="0" w:color="auto"/>
        <w:right w:val="none" w:sz="0" w:space="0" w:color="auto"/>
      </w:divBdr>
      <w:divsChild>
        <w:div w:id="53820502">
          <w:marLeft w:val="0"/>
          <w:marRight w:val="0"/>
          <w:marTop w:val="0"/>
          <w:marBottom w:val="0"/>
          <w:divBdr>
            <w:top w:val="none" w:sz="0" w:space="0" w:color="auto"/>
            <w:left w:val="none" w:sz="0" w:space="0" w:color="auto"/>
            <w:bottom w:val="none" w:sz="0" w:space="0" w:color="auto"/>
            <w:right w:val="none" w:sz="0" w:space="0" w:color="auto"/>
          </w:divBdr>
          <w:divsChild>
            <w:div w:id="2102946150">
              <w:marLeft w:val="0"/>
              <w:marRight w:val="0"/>
              <w:marTop w:val="0"/>
              <w:marBottom w:val="0"/>
              <w:divBdr>
                <w:top w:val="none" w:sz="0" w:space="0" w:color="auto"/>
                <w:left w:val="none" w:sz="0" w:space="0" w:color="auto"/>
                <w:bottom w:val="none" w:sz="0" w:space="0" w:color="auto"/>
                <w:right w:val="none" w:sz="0" w:space="0" w:color="auto"/>
              </w:divBdr>
              <w:divsChild>
                <w:div w:id="1844540674">
                  <w:marLeft w:val="0"/>
                  <w:marRight w:val="0"/>
                  <w:marTop w:val="0"/>
                  <w:marBottom w:val="0"/>
                  <w:divBdr>
                    <w:top w:val="none" w:sz="0" w:space="0" w:color="auto"/>
                    <w:left w:val="none" w:sz="0" w:space="0" w:color="auto"/>
                    <w:bottom w:val="none" w:sz="0" w:space="0" w:color="auto"/>
                    <w:right w:val="none" w:sz="0" w:space="0" w:color="auto"/>
                  </w:divBdr>
                  <w:divsChild>
                    <w:div w:id="2124224153">
                      <w:marLeft w:val="0"/>
                      <w:marRight w:val="0"/>
                      <w:marTop w:val="0"/>
                      <w:marBottom w:val="0"/>
                      <w:divBdr>
                        <w:top w:val="none" w:sz="0" w:space="0" w:color="auto"/>
                        <w:left w:val="none" w:sz="0" w:space="0" w:color="auto"/>
                        <w:bottom w:val="none" w:sz="0" w:space="0" w:color="auto"/>
                        <w:right w:val="none" w:sz="0" w:space="0" w:color="auto"/>
                      </w:divBdr>
                      <w:divsChild>
                        <w:div w:id="2050185622">
                          <w:marLeft w:val="0"/>
                          <w:marRight w:val="0"/>
                          <w:marTop w:val="0"/>
                          <w:marBottom w:val="0"/>
                          <w:divBdr>
                            <w:top w:val="none" w:sz="0" w:space="0" w:color="auto"/>
                            <w:left w:val="none" w:sz="0" w:space="0" w:color="auto"/>
                            <w:bottom w:val="none" w:sz="0" w:space="0" w:color="auto"/>
                            <w:right w:val="none" w:sz="0" w:space="0" w:color="auto"/>
                          </w:divBdr>
                          <w:divsChild>
                            <w:div w:id="1267423738">
                              <w:marLeft w:val="0"/>
                              <w:marRight w:val="0"/>
                              <w:marTop w:val="0"/>
                              <w:marBottom w:val="0"/>
                              <w:divBdr>
                                <w:top w:val="none" w:sz="0" w:space="0" w:color="auto"/>
                                <w:left w:val="none" w:sz="0" w:space="0" w:color="auto"/>
                                <w:bottom w:val="none" w:sz="0" w:space="0" w:color="auto"/>
                                <w:right w:val="none" w:sz="0" w:space="0" w:color="auto"/>
                              </w:divBdr>
                              <w:divsChild>
                                <w:div w:id="1458332551">
                                  <w:marLeft w:val="0"/>
                                  <w:marRight w:val="0"/>
                                  <w:marTop w:val="0"/>
                                  <w:marBottom w:val="0"/>
                                  <w:divBdr>
                                    <w:top w:val="none" w:sz="0" w:space="0" w:color="auto"/>
                                    <w:left w:val="none" w:sz="0" w:space="0" w:color="auto"/>
                                    <w:bottom w:val="none" w:sz="0" w:space="0" w:color="auto"/>
                                    <w:right w:val="none" w:sz="0" w:space="0" w:color="auto"/>
                                  </w:divBdr>
                                  <w:divsChild>
                                    <w:div w:id="923226587">
                                      <w:marLeft w:val="0"/>
                                      <w:marRight w:val="0"/>
                                      <w:marTop w:val="0"/>
                                      <w:marBottom w:val="0"/>
                                      <w:divBdr>
                                        <w:top w:val="none" w:sz="0" w:space="0" w:color="auto"/>
                                        <w:left w:val="none" w:sz="0" w:space="0" w:color="auto"/>
                                        <w:bottom w:val="none" w:sz="0" w:space="0" w:color="auto"/>
                                        <w:right w:val="none" w:sz="0" w:space="0" w:color="auto"/>
                                      </w:divBdr>
                                      <w:divsChild>
                                        <w:div w:id="1673099274">
                                          <w:marLeft w:val="0"/>
                                          <w:marRight w:val="0"/>
                                          <w:marTop w:val="0"/>
                                          <w:marBottom w:val="0"/>
                                          <w:divBdr>
                                            <w:top w:val="none" w:sz="0" w:space="0" w:color="auto"/>
                                            <w:left w:val="none" w:sz="0" w:space="0" w:color="auto"/>
                                            <w:bottom w:val="none" w:sz="0" w:space="0" w:color="auto"/>
                                            <w:right w:val="none" w:sz="0" w:space="0" w:color="auto"/>
                                          </w:divBdr>
                                          <w:divsChild>
                                            <w:div w:id="1948460944">
                                              <w:marLeft w:val="0"/>
                                              <w:marRight w:val="0"/>
                                              <w:marTop w:val="0"/>
                                              <w:marBottom w:val="0"/>
                                              <w:divBdr>
                                                <w:top w:val="none" w:sz="0" w:space="0" w:color="auto"/>
                                                <w:left w:val="none" w:sz="0" w:space="0" w:color="auto"/>
                                                <w:bottom w:val="none" w:sz="0" w:space="0" w:color="auto"/>
                                                <w:right w:val="none" w:sz="0" w:space="0" w:color="auto"/>
                                              </w:divBdr>
                                              <w:divsChild>
                                                <w:div w:id="446702280">
                                                  <w:marLeft w:val="0"/>
                                                  <w:marRight w:val="0"/>
                                                  <w:marTop w:val="0"/>
                                                  <w:marBottom w:val="0"/>
                                                  <w:divBdr>
                                                    <w:top w:val="none" w:sz="0" w:space="0" w:color="auto"/>
                                                    <w:left w:val="none" w:sz="0" w:space="0" w:color="auto"/>
                                                    <w:bottom w:val="none" w:sz="0" w:space="0" w:color="auto"/>
                                                    <w:right w:val="none" w:sz="0" w:space="0" w:color="auto"/>
                                                  </w:divBdr>
                                                  <w:divsChild>
                                                    <w:div w:id="31804222">
                                                      <w:marLeft w:val="0"/>
                                                      <w:marRight w:val="0"/>
                                                      <w:marTop w:val="0"/>
                                                      <w:marBottom w:val="0"/>
                                                      <w:divBdr>
                                                        <w:top w:val="none" w:sz="0" w:space="0" w:color="auto"/>
                                                        <w:left w:val="none" w:sz="0" w:space="0" w:color="auto"/>
                                                        <w:bottom w:val="none" w:sz="0" w:space="0" w:color="auto"/>
                                                        <w:right w:val="none" w:sz="0" w:space="0" w:color="auto"/>
                                                      </w:divBdr>
                                                      <w:divsChild>
                                                        <w:div w:id="622882277">
                                                          <w:marLeft w:val="0"/>
                                                          <w:marRight w:val="0"/>
                                                          <w:marTop w:val="0"/>
                                                          <w:marBottom w:val="0"/>
                                                          <w:divBdr>
                                                            <w:top w:val="none" w:sz="0" w:space="0" w:color="auto"/>
                                                            <w:left w:val="none" w:sz="0" w:space="0" w:color="auto"/>
                                                            <w:bottom w:val="none" w:sz="0" w:space="0" w:color="auto"/>
                                                            <w:right w:val="none" w:sz="0" w:space="0" w:color="auto"/>
                                                          </w:divBdr>
                                                          <w:divsChild>
                                                            <w:div w:id="1564638264">
                                                              <w:marLeft w:val="0"/>
                                                              <w:marRight w:val="0"/>
                                                              <w:marTop w:val="0"/>
                                                              <w:marBottom w:val="0"/>
                                                              <w:divBdr>
                                                                <w:top w:val="none" w:sz="0" w:space="0" w:color="auto"/>
                                                                <w:left w:val="none" w:sz="0" w:space="0" w:color="auto"/>
                                                                <w:bottom w:val="none" w:sz="0" w:space="0" w:color="auto"/>
                                                                <w:right w:val="none" w:sz="0" w:space="0" w:color="auto"/>
                                                              </w:divBdr>
                                                              <w:divsChild>
                                                                <w:div w:id="347757725">
                                                                  <w:marLeft w:val="0"/>
                                                                  <w:marRight w:val="0"/>
                                                                  <w:marTop w:val="0"/>
                                                                  <w:marBottom w:val="0"/>
                                                                  <w:divBdr>
                                                                    <w:top w:val="none" w:sz="0" w:space="0" w:color="auto"/>
                                                                    <w:left w:val="none" w:sz="0" w:space="0" w:color="auto"/>
                                                                    <w:bottom w:val="none" w:sz="0" w:space="0" w:color="auto"/>
                                                                    <w:right w:val="none" w:sz="0" w:space="0" w:color="auto"/>
                                                                  </w:divBdr>
                                                                </w:div>
                                                                <w:div w:id="181483505">
                                                                  <w:marLeft w:val="0"/>
                                                                  <w:marRight w:val="0"/>
                                                                  <w:marTop w:val="0"/>
                                                                  <w:marBottom w:val="0"/>
                                                                  <w:divBdr>
                                                                    <w:top w:val="none" w:sz="0" w:space="0" w:color="auto"/>
                                                                    <w:left w:val="none" w:sz="0" w:space="0" w:color="auto"/>
                                                                    <w:bottom w:val="none" w:sz="0" w:space="0" w:color="auto"/>
                                                                    <w:right w:val="none" w:sz="0" w:space="0" w:color="auto"/>
                                                                  </w:divBdr>
                                                                </w:div>
                                                                <w:div w:id="1686050413">
                                                                  <w:marLeft w:val="240"/>
                                                                  <w:marRight w:val="0"/>
                                                                  <w:marTop w:val="0"/>
                                                                  <w:marBottom w:val="0"/>
                                                                  <w:divBdr>
                                                                    <w:top w:val="none" w:sz="0" w:space="0" w:color="auto"/>
                                                                    <w:left w:val="none" w:sz="0" w:space="0" w:color="auto"/>
                                                                    <w:bottom w:val="none" w:sz="0" w:space="0" w:color="auto"/>
                                                                    <w:right w:val="none" w:sz="0" w:space="0" w:color="auto"/>
                                                                  </w:divBdr>
                                                                  <w:divsChild>
                                                                    <w:div w:id="57798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552137">
                                                              <w:marLeft w:val="0"/>
                                                              <w:marRight w:val="0"/>
                                                              <w:marTop w:val="0"/>
                                                              <w:marBottom w:val="0"/>
                                                              <w:divBdr>
                                                                <w:top w:val="none" w:sz="0" w:space="0" w:color="auto"/>
                                                                <w:left w:val="none" w:sz="0" w:space="0" w:color="auto"/>
                                                                <w:bottom w:val="none" w:sz="0" w:space="0" w:color="auto"/>
                                                                <w:right w:val="none" w:sz="0" w:space="0" w:color="auto"/>
                                                              </w:divBdr>
                                                              <w:divsChild>
                                                                <w:div w:id="345795377">
                                                                  <w:marLeft w:val="0"/>
                                                                  <w:marRight w:val="0"/>
                                                                  <w:marTop w:val="0"/>
                                                                  <w:marBottom w:val="0"/>
                                                                  <w:divBdr>
                                                                    <w:top w:val="none" w:sz="0" w:space="0" w:color="auto"/>
                                                                    <w:left w:val="none" w:sz="0" w:space="0" w:color="auto"/>
                                                                    <w:bottom w:val="none" w:sz="0" w:space="0" w:color="auto"/>
                                                                    <w:right w:val="none" w:sz="0" w:space="0" w:color="auto"/>
                                                                  </w:divBdr>
                                                                  <w:divsChild>
                                                                    <w:div w:id="687218059">
                                                                      <w:marLeft w:val="0"/>
                                                                      <w:marRight w:val="0"/>
                                                                      <w:marTop w:val="0"/>
                                                                      <w:marBottom w:val="0"/>
                                                                      <w:divBdr>
                                                                        <w:top w:val="none" w:sz="0" w:space="0" w:color="auto"/>
                                                                        <w:left w:val="none" w:sz="0" w:space="0" w:color="auto"/>
                                                                        <w:bottom w:val="none" w:sz="0" w:space="0" w:color="auto"/>
                                                                        <w:right w:val="none" w:sz="0" w:space="0" w:color="auto"/>
                                                                      </w:divBdr>
                                                                    </w:div>
                                                                    <w:div w:id="161664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137084">
                                                      <w:marLeft w:val="0"/>
                                                      <w:marRight w:val="0"/>
                                                      <w:marTop w:val="0"/>
                                                      <w:marBottom w:val="0"/>
                                                      <w:divBdr>
                                                        <w:top w:val="none" w:sz="0" w:space="0" w:color="auto"/>
                                                        <w:left w:val="none" w:sz="0" w:space="0" w:color="auto"/>
                                                        <w:bottom w:val="none" w:sz="0" w:space="0" w:color="auto"/>
                                                        <w:right w:val="none" w:sz="0" w:space="0" w:color="auto"/>
                                                      </w:divBdr>
                                                      <w:divsChild>
                                                        <w:div w:id="66239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17681063">
      <w:bodyDiv w:val="1"/>
      <w:marLeft w:val="0"/>
      <w:marRight w:val="0"/>
      <w:marTop w:val="0"/>
      <w:marBottom w:val="0"/>
      <w:divBdr>
        <w:top w:val="none" w:sz="0" w:space="0" w:color="auto"/>
        <w:left w:val="none" w:sz="0" w:space="0" w:color="auto"/>
        <w:bottom w:val="none" w:sz="0" w:space="0" w:color="auto"/>
        <w:right w:val="none" w:sz="0" w:space="0" w:color="auto"/>
      </w:divBdr>
      <w:divsChild>
        <w:div w:id="116149986">
          <w:marLeft w:val="0"/>
          <w:marRight w:val="0"/>
          <w:marTop w:val="0"/>
          <w:marBottom w:val="0"/>
          <w:divBdr>
            <w:top w:val="none" w:sz="0" w:space="0" w:color="auto"/>
            <w:left w:val="none" w:sz="0" w:space="0" w:color="auto"/>
            <w:bottom w:val="none" w:sz="0" w:space="0" w:color="auto"/>
            <w:right w:val="none" w:sz="0" w:space="0" w:color="auto"/>
          </w:divBdr>
          <w:divsChild>
            <w:div w:id="599416375">
              <w:marLeft w:val="0"/>
              <w:marRight w:val="0"/>
              <w:marTop w:val="0"/>
              <w:marBottom w:val="0"/>
              <w:divBdr>
                <w:top w:val="none" w:sz="0" w:space="0" w:color="auto"/>
                <w:left w:val="none" w:sz="0" w:space="0" w:color="auto"/>
                <w:bottom w:val="none" w:sz="0" w:space="0" w:color="auto"/>
                <w:right w:val="none" w:sz="0" w:space="0" w:color="auto"/>
              </w:divBdr>
              <w:divsChild>
                <w:div w:id="723337788">
                  <w:marLeft w:val="0"/>
                  <w:marRight w:val="0"/>
                  <w:marTop w:val="0"/>
                  <w:marBottom w:val="0"/>
                  <w:divBdr>
                    <w:top w:val="none" w:sz="0" w:space="0" w:color="auto"/>
                    <w:left w:val="none" w:sz="0" w:space="0" w:color="auto"/>
                    <w:bottom w:val="none" w:sz="0" w:space="0" w:color="auto"/>
                    <w:right w:val="none" w:sz="0" w:space="0" w:color="auto"/>
                  </w:divBdr>
                  <w:divsChild>
                    <w:div w:id="378631864">
                      <w:marLeft w:val="0"/>
                      <w:marRight w:val="0"/>
                      <w:marTop w:val="0"/>
                      <w:marBottom w:val="0"/>
                      <w:divBdr>
                        <w:top w:val="none" w:sz="0" w:space="0" w:color="auto"/>
                        <w:left w:val="none" w:sz="0" w:space="0" w:color="auto"/>
                        <w:bottom w:val="none" w:sz="0" w:space="0" w:color="auto"/>
                        <w:right w:val="none" w:sz="0" w:space="0" w:color="auto"/>
                      </w:divBdr>
                      <w:divsChild>
                        <w:div w:id="1037048981">
                          <w:marLeft w:val="0"/>
                          <w:marRight w:val="0"/>
                          <w:marTop w:val="0"/>
                          <w:marBottom w:val="0"/>
                          <w:divBdr>
                            <w:top w:val="none" w:sz="0" w:space="0" w:color="auto"/>
                            <w:left w:val="none" w:sz="0" w:space="0" w:color="auto"/>
                            <w:bottom w:val="none" w:sz="0" w:space="0" w:color="auto"/>
                            <w:right w:val="none" w:sz="0" w:space="0" w:color="auto"/>
                          </w:divBdr>
                          <w:divsChild>
                            <w:div w:id="1336346853">
                              <w:marLeft w:val="0"/>
                              <w:marRight w:val="0"/>
                              <w:marTop w:val="0"/>
                              <w:marBottom w:val="0"/>
                              <w:divBdr>
                                <w:top w:val="none" w:sz="0" w:space="0" w:color="auto"/>
                                <w:left w:val="none" w:sz="0" w:space="0" w:color="auto"/>
                                <w:bottom w:val="none" w:sz="0" w:space="0" w:color="auto"/>
                                <w:right w:val="none" w:sz="0" w:space="0" w:color="auto"/>
                              </w:divBdr>
                              <w:divsChild>
                                <w:div w:id="1861353841">
                                  <w:marLeft w:val="0"/>
                                  <w:marRight w:val="0"/>
                                  <w:marTop w:val="0"/>
                                  <w:marBottom w:val="0"/>
                                  <w:divBdr>
                                    <w:top w:val="none" w:sz="0" w:space="0" w:color="auto"/>
                                    <w:left w:val="none" w:sz="0" w:space="0" w:color="auto"/>
                                    <w:bottom w:val="none" w:sz="0" w:space="0" w:color="auto"/>
                                    <w:right w:val="none" w:sz="0" w:space="0" w:color="auto"/>
                                  </w:divBdr>
                                  <w:divsChild>
                                    <w:div w:id="1827355151">
                                      <w:marLeft w:val="54"/>
                                      <w:marRight w:val="0"/>
                                      <w:marTop w:val="0"/>
                                      <w:marBottom w:val="0"/>
                                      <w:divBdr>
                                        <w:top w:val="none" w:sz="0" w:space="0" w:color="auto"/>
                                        <w:left w:val="none" w:sz="0" w:space="0" w:color="auto"/>
                                        <w:bottom w:val="none" w:sz="0" w:space="0" w:color="auto"/>
                                        <w:right w:val="none" w:sz="0" w:space="0" w:color="auto"/>
                                      </w:divBdr>
                                      <w:divsChild>
                                        <w:div w:id="642975951">
                                          <w:marLeft w:val="0"/>
                                          <w:marRight w:val="0"/>
                                          <w:marTop w:val="0"/>
                                          <w:marBottom w:val="0"/>
                                          <w:divBdr>
                                            <w:top w:val="none" w:sz="0" w:space="0" w:color="auto"/>
                                            <w:left w:val="none" w:sz="0" w:space="0" w:color="auto"/>
                                            <w:bottom w:val="none" w:sz="0" w:space="0" w:color="auto"/>
                                            <w:right w:val="none" w:sz="0" w:space="0" w:color="auto"/>
                                          </w:divBdr>
                                          <w:divsChild>
                                            <w:div w:id="967779175">
                                              <w:marLeft w:val="0"/>
                                              <w:marRight w:val="0"/>
                                              <w:marTop w:val="0"/>
                                              <w:marBottom w:val="109"/>
                                              <w:divBdr>
                                                <w:top w:val="single" w:sz="6" w:space="0" w:color="F5F5F5"/>
                                                <w:left w:val="single" w:sz="6" w:space="0" w:color="F5F5F5"/>
                                                <w:bottom w:val="single" w:sz="6" w:space="0" w:color="F5F5F5"/>
                                                <w:right w:val="single" w:sz="6" w:space="0" w:color="F5F5F5"/>
                                              </w:divBdr>
                                              <w:divsChild>
                                                <w:div w:id="402804026">
                                                  <w:marLeft w:val="0"/>
                                                  <w:marRight w:val="0"/>
                                                  <w:marTop w:val="0"/>
                                                  <w:marBottom w:val="0"/>
                                                  <w:divBdr>
                                                    <w:top w:val="none" w:sz="0" w:space="0" w:color="auto"/>
                                                    <w:left w:val="none" w:sz="0" w:space="0" w:color="auto"/>
                                                    <w:bottom w:val="none" w:sz="0" w:space="0" w:color="auto"/>
                                                    <w:right w:val="none" w:sz="0" w:space="0" w:color="auto"/>
                                                  </w:divBdr>
                                                  <w:divsChild>
                                                    <w:div w:id="79668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34445640">
      <w:bodyDiv w:val="1"/>
      <w:marLeft w:val="0"/>
      <w:marRight w:val="0"/>
      <w:marTop w:val="0"/>
      <w:marBottom w:val="0"/>
      <w:divBdr>
        <w:top w:val="none" w:sz="0" w:space="0" w:color="auto"/>
        <w:left w:val="none" w:sz="0" w:space="0" w:color="auto"/>
        <w:bottom w:val="none" w:sz="0" w:space="0" w:color="auto"/>
        <w:right w:val="none" w:sz="0" w:space="0" w:color="auto"/>
      </w:divBdr>
      <w:divsChild>
        <w:div w:id="2025939633">
          <w:marLeft w:val="0"/>
          <w:marRight w:val="0"/>
          <w:marTop w:val="0"/>
          <w:marBottom w:val="0"/>
          <w:divBdr>
            <w:top w:val="none" w:sz="0" w:space="0" w:color="auto"/>
            <w:left w:val="none" w:sz="0" w:space="0" w:color="auto"/>
            <w:bottom w:val="none" w:sz="0" w:space="0" w:color="auto"/>
            <w:right w:val="none" w:sz="0" w:space="0" w:color="auto"/>
          </w:divBdr>
          <w:divsChild>
            <w:div w:id="1565945200">
              <w:marLeft w:val="0"/>
              <w:marRight w:val="0"/>
              <w:marTop w:val="0"/>
              <w:marBottom w:val="0"/>
              <w:divBdr>
                <w:top w:val="none" w:sz="0" w:space="0" w:color="auto"/>
                <w:left w:val="none" w:sz="0" w:space="0" w:color="auto"/>
                <w:bottom w:val="none" w:sz="0" w:space="0" w:color="auto"/>
                <w:right w:val="none" w:sz="0" w:space="0" w:color="auto"/>
              </w:divBdr>
              <w:divsChild>
                <w:div w:id="20131849">
                  <w:marLeft w:val="0"/>
                  <w:marRight w:val="0"/>
                  <w:marTop w:val="0"/>
                  <w:marBottom w:val="0"/>
                  <w:divBdr>
                    <w:top w:val="none" w:sz="0" w:space="0" w:color="auto"/>
                    <w:left w:val="none" w:sz="0" w:space="0" w:color="auto"/>
                    <w:bottom w:val="none" w:sz="0" w:space="0" w:color="auto"/>
                    <w:right w:val="none" w:sz="0" w:space="0" w:color="auto"/>
                  </w:divBdr>
                  <w:divsChild>
                    <w:div w:id="651830358">
                      <w:marLeft w:val="0"/>
                      <w:marRight w:val="0"/>
                      <w:marTop w:val="0"/>
                      <w:marBottom w:val="0"/>
                      <w:divBdr>
                        <w:top w:val="none" w:sz="0" w:space="0" w:color="auto"/>
                        <w:left w:val="none" w:sz="0" w:space="0" w:color="auto"/>
                        <w:bottom w:val="none" w:sz="0" w:space="0" w:color="auto"/>
                        <w:right w:val="none" w:sz="0" w:space="0" w:color="auto"/>
                      </w:divBdr>
                      <w:divsChild>
                        <w:div w:id="1382559148">
                          <w:marLeft w:val="0"/>
                          <w:marRight w:val="0"/>
                          <w:marTop w:val="0"/>
                          <w:marBottom w:val="0"/>
                          <w:divBdr>
                            <w:top w:val="none" w:sz="0" w:space="0" w:color="auto"/>
                            <w:left w:val="none" w:sz="0" w:space="0" w:color="auto"/>
                            <w:bottom w:val="none" w:sz="0" w:space="0" w:color="auto"/>
                            <w:right w:val="none" w:sz="0" w:space="0" w:color="auto"/>
                          </w:divBdr>
                          <w:divsChild>
                            <w:div w:id="887374718">
                              <w:marLeft w:val="0"/>
                              <w:marRight w:val="0"/>
                              <w:marTop w:val="0"/>
                              <w:marBottom w:val="0"/>
                              <w:divBdr>
                                <w:top w:val="none" w:sz="0" w:space="0" w:color="auto"/>
                                <w:left w:val="none" w:sz="0" w:space="0" w:color="auto"/>
                                <w:bottom w:val="none" w:sz="0" w:space="0" w:color="auto"/>
                                <w:right w:val="none" w:sz="0" w:space="0" w:color="auto"/>
                              </w:divBdr>
                              <w:divsChild>
                                <w:div w:id="541136845">
                                  <w:marLeft w:val="0"/>
                                  <w:marRight w:val="0"/>
                                  <w:marTop w:val="0"/>
                                  <w:marBottom w:val="0"/>
                                  <w:divBdr>
                                    <w:top w:val="none" w:sz="0" w:space="0" w:color="auto"/>
                                    <w:left w:val="none" w:sz="0" w:space="0" w:color="auto"/>
                                    <w:bottom w:val="none" w:sz="0" w:space="0" w:color="auto"/>
                                    <w:right w:val="none" w:sz="0" w:space="0" w:color="auto"/>
                                  </w:divBdr>
                                  <w:divsChild>
                                    <w:div w:id="1598247836">
                                      <w:marLeft w:val="54"/>
                                      <w:marRight w:val="0"/>
                                      <w:marTop w:val="0"/>
                                      <w:marBottom w:val="0"/>
                                      <w:divBdr>
                                        <w:top w:val="none" w:sz="0" w:space="0" w:color="auto"/>
                                        <w:left w:val="none" w:sz="0" w:space="0" w:color="auto"/>
                                        <w:bottom w:val="none" w:sz="0" w:space="0" w:color="auto"/>
                                        <w:right w:val="none" w:sz="0" w:space="0" w:color="auto"/>
                                      </w:divBdr>
                                      <w:divsChild>
                                        <w:div w:id="56899584">
                                          <w:marLeft w:val="0"/>
                                          <w:marRight w:val="0"/>
                                          <w:marTop w:val="0"/>
                                          <w:marBottom w:val="0"/>
                                          <w:divBdr>
                                            <w:top w:val="none" w:sz="0" w:space="0" w:color="auto"/>
                                            <w:left w:val="none" w:sz="0" w:space="0" w:color="auto"/>
                                            <w:bottom w:val="none" w:sz="0" w:space="0" w:color="auto"/>
                                            <w:right w:val="none" w:sz="0" w:space="0" w:color="auto"/>
                                          </w:divBdr>
                                          <w:divsChild>
                                            <w:div w:id="426074002">
                                              <w:marLeft w:val="0"/>
                                              <w:marRight w:val="0"/>
                                              <w:marTop w:val="0"/>
                                              <w:marBottom w:val="109"/>
                                              <w:divBdr>
                                                <w:top w:val="single" w:sz="6" w:space="0" w:color="F5F5F5"/>
                                                <w:left w:val="single" w:sz="6" w:space="0" w:color="F5F5F5"/>
                                                <w:bottom w:val="single" w:sz="6" w:space="0" w:color="F5F5F5"/>
                                                <w:right w:val="single" w:sz="6" w:space="0" w:color="F5F5F5"/>
                                              </w:divBdr>
                                              <w:divsChild>
                                                <w:div w:id="2122677501">
                                                  <w:marLeft w:val="0"/>
                                                  <w:marRight w:val="0"/>
                                                  <w:marTop w:val="0"/>
                                                  <w:marBottom w:val="0"/>
                                                  <w:divBdr>
                                                    <w:top w:val="none" w:sz="0" w:space="0" w:color="auto"/>
                                                    <w:left w:val="none" w:sz="0" w:space="0" w:color="auto"/>
                                                    <w:bottom w:val="none" w:sz="0" w:space="0" w:color="auto"/>
                                                    <w:right w:val="none" w:sz="0" w:space="0" w:color="auto"/>
                                                  </w:divBdr>
                                                  <w:divsChild>
                                                    <w:div w:id="140321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47285301">
      <w:bodyDiv w:val="1"/>
      <w:marLeft w:val="0"/>
      <w:marRight w:val="0"/>
      <w:marTop w:val="0"/>
      <w:marBottom w:val="0"/>
      <w:divBdr>
        <w:top w:val="none" w:sz="0" w:space="0" w:color="auto"/>
        <w:left w:val="none" w:sz="0" w:space="0" w:color="auto"/>
        <w:bottom w:val="none" w:sz="0" w:space="0" w:color="auto"/>
        <w:right w:val="none" w:sz="0" w:space="0" w:color="auto"/>
      </w:divBdr>
      <w:divsChild>
        <w:div w:id="1060595587">
          <w:marLeft w:val="0"/>
          <w:marRight w:val="0"/>
          <w:marTop w:val="0"/>
          <w:marBottom w:val="0"/>
          <w:divBdr>
            <w:top w:val="none" w:sz="0" w:space="0" w:color="auto"/>
            <w:left w:val="none" w:sz="0" w:space="0" w:color="auto"/>
            <w:bottom w:val="none" w:sz="0" w:space="0" w:color="auto"/>
            <w:right w:val="none" w:sz="0" w:space="0" w:color="auto"/>
          </w:divBdr>
          <w:divsChild>
            <w:div w:id="1635326776">
              <w:marLeft w:val="0"/>
              <w:marRight w:val="0"/>
              <w:marTop w:val="0"/>
              <w:marBottom w:val="0"/>
              <w:divBdr>
                <w:top w:val="none" w:sz="0" w:space="0" w:color="auto"/>
                <w:left w:val="none" w:sz="0" w:space="0" w:color="auto"/>
                <w:bottom w:val="none" w:sz="0" w:space="0" w:color="auto"/>
                <w:right w:val="none" w:sz="0" w:space="0" w:color="auto"/>
              </w:divBdr>
              <w:divsChild>
                <w:div w:id="192692064">
                  <w:marLeft w:val="0"/>
                  <w:marRight w:val="0"/>
                  <w:marTop w:val="0"/>
                  <w:marBottom w:val="0"/>
                  <w:divBdr>
                    <w:top w:val="none" w:sz="0" w:space="0" w:color="auto"/>
                    <w:left w:val="none" w:sz="0" w:space="0" w:color="auto"/>
                    <w:bottom w:val="none" w:sz="0" w:space="0" w:color="auto"/>
                    <w:right w:val="none" w:sz="0" w:space="0" w:color="auto"/>
                  </w:divBdr>
                  <w:divsChild>
                    <w:div w:id="1016925222">
                      <w:marLeft w:val="0"/>
                      <w:marRight w:val="0"/>
                      <w:marTop w:val="0"/>
                      <w:marBottom w:val="0"/>
                      <w:divBdr>
                        <w:top w:val="none" w:sz="0" w:space="0" w:color="auto"/>
                        <w:left w:val="none" w:sz="0" w:space="0" w:color="auto"/>
                        <w:bottom w:val="none" w:sz="0" w:space="0" w:color="auto"/>
                        <w:right w:val="none" w:sz="0" w:space="0" w:color="auto"/>
                      </w:divBdr>
                      <w:divsChild>
                        <w:div w:id="1635138252">
                          <w:marLeft w:val="0"/>
                          <w:marRight w:val="0"/>
                          <w:marTop w:val="0"/>
                          <w:marBottom w:val="0"/>
                          <w:divBdr>
                            <w:top w:val="none" w:sz="0" w:space="0" w:color="auto"/>
                            <w:left w:val="none" w:sz="0" w:space="0" w:color="auto"/>
                            <w:bottom w:val="none" w:sz="0" w:space="0" w:color="auto"/>
                            <w:right w:val="none" w:sz="0" w:space="0" w:color="auto"/>
                          </w:divBdr>
                          <w:divsChild>
                            <w:div w:id="634792855">
                              <w:marLeft w:val="0"/>
                              <w:marRight w:val="0"/>
                              <w:marTop w:val="0"/>
                              <w:marBottom w:val="0"/>
                              <w:divBdr>
                                <w:top w:val="none" w:sz="0" w:space="0" w:color="auto"/>
                                <w:left w:val="none" w:sz="0" w:space="0" w:color="auto"/>
                                <w:bottom w:val="none" w:sz="0" w:space="0" w:color="auto"/>
                                <w:right w:val="none" w:sz="0" w:space="0" w:color="auto"/>
                              </w:divBdr>
                              <w:divsChild>
                                <w:div w:id="66851425">
                                  <w:marLeft w:val="0"/>
                                  <w:marRight w:val="0"/>
                                  <w:marTop w:val="0"/>
                                  <w:marBottom w:val="0"/>
                                  <w:divBdr>
                                    <w:top w:val="none" w:sz="0" w:space="0" w:color="auto"/>
                                    <w:left w:val="none" w:sz="0" w:space="0" w:color="auto"/>
                                    <w:bottom w:val="none" w:sz="0" w:space="0" w:color="auto"/>
                                    <w:right w:val="none" w:sz="0" w:space="0" w:color="auto"/>
                                  </w:divBdr>
                                  <w:divsChild>
                                    <w:div w:id="1276211605">
                                      <w:marLeft w:val="54"/>
                                      <w:marRight w:val="0"/>
                                      <w:marTop w:val="0"/>
                                      <w:marBottom w:val="0"/>
                                      <w:divBdr>
                                        <w:top w:val="none" w:sz="0" w:space="0" w:color="auto"/>
                                        <w:left w:val="none" w:sz="0" w:space="0" w:color="auto"/>
                                        <w:bottom w:val="none" w:sz="0" w:space="0" w:color="auto"/>
                                        <w:right w:val="none" w:sz="0" w:space="0" w:color="auto"/>
                                      </w:divBdr>
                                      <w:divsChild>
                                        <w:div w:id="85271480">
                                          <w:marLeft w:val="0"/>
                                          <w:marRight w:val="0"/>
                                          <w:marTop w:val="0"/>
                                          <w:marBottom w:val="0"/>
                                          <w:divBdr>
                                            <w:top w:val="none" w:sz="0" w:space="0" w:color="auto"/>
                                            <w:left w:val="none" w:sz="0" w:space="0" w:color="auto"/>
                                            <w:bottom w:val="none" w:sz="0" w:space="0" w:color="auto"/>
                                            <w:right w:val="none" w:sz="0" w:space="0" w:color="auto"/>
                                          </w:divBdr>
                                          <w:divsChild>
                                            <w:div w:id="1258706647">
                                              <w:marLeft w:val="0"/>
                                              <w:marRight w:val="0"/>
                                              <w:marTop w:val="0"/>
                                              <w:marBottom w:val="109"/>
                                              <w:divBdr>
                                                <w:top w:val="single" w:sz="6" w:space="0" w:color="F5F5F5"/>
                                                <w:left w:val="single" w:sz="6" w:space="0" w:color="F5F5F5"/>
                                                <w:bottom w:val="single" w:sz="6" w:space="0" w:color="F5F5F5"/>
                                                <w:right w:val="single" w:sz="6" w:space="0" w:color="F5F5F5"/>
                                              </w:divBdr>
                                              <w:divsChild>
                                                <w:div w:id="1515266983">
                                                  <w:marLeft w:val="0"/>
                                                  <w:marRight w:val="0"/>
                                                  <w:marTop w:val="0"/>
                                                  <w:marBottom w:val="0"/>
                                                  <w:divBdr>
                                                    <w:top w:val="none" w:sz="0" w:space="0" w:color="auto"/>
                                                    <w:left w:val="none" w:sz="0" w:space="0" w:color="auto"/>
                                                    <w:bottom w:val="none" w:sz="0" w:space="0" w:color="auto"/>
                                                    <w:right w:val="none" w:sz="0" w:space="0" w:color="auto"/>
                                                  </w:divBdr>
                                                  <w:divsChild>
                                                    <w:div w:id="101207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68402431">
      <w:bodyDiv w:val="1"/>
      <w:marLeft w:val="0"/>
      <w:marRight w:val="0"/>
      <w:marTop w:val="0"/>
      <w:marBottom w:val="0"/>
      <w:divBdr>
        <w:top w:val="none" w:sz="0" w:space="0" w:color="auto"/>
        <w:left w:val="none" w:sz="0" w:space="0" w:color="auto"/>
        <w:bottom w:val="none" w:sz="0" w:space="0" w:color="auto"/>
        <w:right w:val="none" w:sz="0" w:space="0" w:color="auto"/>
      </w:divBdr>
    </w:div>
    <w:div w:id="1174492796">
      <w:bodyDiv w:val="1"/>
      <w:marLeft w:val="0"/>
      <w:marRight w:val="0"/>
      <w:marTop w:val="0"/>
      <w:marBottom w:val="0"/>
      <w:divBdr>
        <w:top w:val="none" w:sz="0" w:space="0" w:color="auto"/>
        <w:left w:val="none" w:sz="0" w:space="0" w:color="auto"/>
        <w:bottom w:val="none" w:sz="0" w:space="0" w:color="auto"/>
        <w:right w:val="none" w:sz="0" w:space="0" w:color="auto"/>
      </w:divBdr>
      <w:divsChild>
        <w:div w:id="331227710">
          <w:marLeft w:val="0"/>
          <w:marRight w:val="0"/>
          <w:marTop w:val="0"/>
          <w:marBottom w:val="0"/>
          <w:divBdr>
            <w:top w:val="none" w:sz="0" w:space="0" w:color="auto"/>
            <w:left w:val="none" w:sz="0" w:space="0" w:color="auto"/>
            <w:bottom w:val="none" w:sz="0" w:space="0" w:color="auto"/>
            <w:right w:val="none" w:sz="0" w:space="0" w:color="auto"/>
          </w:divBdr>
          <w:divsChild>
            <w:div w:id="332925763">
              <w:marLeft w:val="0"/>
              <w:marRight w:val="0"/>
              <w:marTop w:val="0"/>
              <w:marBottom w:val="0"/>
              <w:divBdr>
                <w:top w:val="none" w:sz="0" w:space="0" w:color="auto"/>
                <w:left w:val="none" w:sz="0" w:space="0" w:color="auto"/>
                <w:bottom w:val="none" w:sz="0" w:space="0" w:color="auto"/>
                <w:right w:val="none" w:sz="0" w:space="0" w:color="auto"/>
              </w:divBdr>
              <w:divsChild>
                <w:div w:id="1625498407">
                  <w:marLeft w:val="0"/>
                  <w:marRight w:val="0"/>
                  <w:marTop w:val="0"/>
                  <w:marBottom w:val="0"/>
                  <w:divBdr>
                    <w:top w:val="none" w:sz="0" w:space="0" w:color="auto"/>
                    <w:left w:val="none" w:sz="0" w:space="0" w:color="auto"/>
                    <w:bottom w:val="none" w:sz="0" w:space="0" w:color="auto"/>
                    <w:right w:val="none" w:sz="0" w:space="0" w:color="auto"/>
                  </w:divBdr>
                  <w:divsChild>
                    <w:div w:id="532767210">
                      <w:marLeft w:val="0"/>
                      <w:marRight w:val="0"/>
                      <w:marTop w:val="0"/>
                      <w:marBottom w:val="0"/>
                      <w:divBdr>
                        <w:top w:val="none" w:sz="0" w:space="0" w:color="auto"/>
                        <w:left w:val="none" w:sz="0" w:space="0" w:color="auto"/>
                        <w:bottom w:val="none" w:sz="0" w:space="0" w:color="auto"/>
                        <w:right w:val="none" w:sz="0" w:space="0" w:color="auto"/>
                      </w:divBdr>
                      <w:divsChild>
                        <w:div w:id="1414232764">
                          <w:marLeft w:val="0"/>
                          <w:marRight w:val="0"/>
                          <w:marTop w:val="0"/>
                          <w:marBottom w:val="0"/>
                          <w:divBdr>
                            <w:top w:val="none" w:sz="0" w:space="0" w:color="auto"/>
                            <w:left w:val="none" w:sz="0" w:space="0" w:color="auto"/>
                            <w:bottom w:val="none" w:sz="0" w:space="0" w:color="auto"/>
                            <w:right w:val="none" w:sz="0" w:space="0" w:color="auto"/>
                          </w:divBdr>
                          <w:divsChild>
                            <w:div w:id="1938320701">
                              <w:marLeft w:val="0"/>
                              <w:marRight w:val="0"/>
                              <w:marTop w:val="0"/>
                              <w:marBottom w:val="0"/>
                              <w:divBdr>
                                <w:top w:val="none" w:sz="0" w:space="0" w:color="auto"/>
                                <w:left w:val="none" w:sz="0" w:space="0" w:color="auto"/>
                                <w:bottom w:val="none" w:sz="0" w:space="0" w:color="auto"/>
                                <w:right w:val="none" w:sz="0" w:space="0" w:color="auto"/>
                              </w:divBdr>
                              <w:divsChild>
                                <w:div w:id="780761223">
                                  <w:marLeft w:val="0"/>
                                  <w:marRight w:val="0"/>
                                  <w:marTop w:val="0"/>
                                  <w:marBottom w:val="0"/>
                                  <w:divBdr>
                                    <w:top w:val="none" w:sz="0" w:space="0" w:color="auto"/>
                                    <w:left w:val="none" w:sz="0" w:space="0" w:color="auto"/>
                                    <w:bottom w:val="none" w:sz="0" w:space="0" w:color="auto"/>
                                    <w:right w:val="none" w:sz="0" w:space="0" w:color="auto"/>
                                  </w:divBdr>
                                  <w:divsChild>
                                    <w:div w:id="341250958">
                                      <w:marLeft w:val="54"/>
                                      <w:marRight w:val="0"/>
                                      <w:marTop w:val="0"/>
                                      <w:marBottom w:val="0"/>
                                      <w:divBdr>
                                        <w:top w:val="none" w:sz="0" w:space="0" w:color="auto"/>
                                        <w:left w:val="none" w:sz="0" w:space="0" w:color="auto"/>
                                        <w:bottom w:val="none" w:sz="0" w:space="0" w:color="auto"/>
                                        <w:right w:val="none" w:sz="0" w:space="0" w:color="auto"/>
                                      </w:divBdr>
                                      <w:divsChild>
                                        <w:div w:id="1483037743">
                                          <w:marLeft w:val="0"/>
                                          <w:marRight w:val="0"/>
                                          <w:marTop w:val="0"/>
                                          <w:marBottom w:val="0"/>
                                          <w:divBdr>
                                            <w:top w:val="none" w:sz="0" w:space="0" w:color="auto"/>
                                            <w:left w:val="none" w:sz="0" w:space="0" w:color="auto"/>
                                            <w:bottom w:val="none" w:sz="0" w:space="0" w:color="auto"/>
                                            <w:right w:val="none" w:sz="0" w:space="0" w:color="auto"/>
                                          </w:divBdr>
                                          <w:divsChild>
                                            <w:div w:id="1780028927">
                                              <w:marLeft w:val="0"/>
                                              <w:marRight w:val="0"/>
                                              <w:marTop w:val="0"/>
                                              <w:marBottom w:val="109"/>
                                              <w:divBdr>
                                                <w:top w:val="single" w:sz="6" w:space="0" w:color="F5F5F5"/>
                                                <w:left w:val="single" w:sz="6" w:space="0" w:color="F5F5F5"/>
                                                <w:bottom w:val="single" w:sz="6" w:space="0" w:color="F5F5F5"/>
                                                <w:right w:val="single" w:sz="6" w:space="0" w:color="F5F5F5"/>
                                              </w:divBdr>
                                              <w:divsChild>
                                                <w:div w:id="1313213680">
                                                  <w:marLeft w:val="0"/>
                                                  <w:marRight w:val="0"/>
                                                  <w:marTop w:val="0"/>
                                                  <w:marBottom w:val="0"/>
                                                  <w:divBdr>
                                                    <w:top w:val="none" w:sz="0" w:space="0" w:color="auto"/>
                                                    <w:left w:val="none" w:sz="0" w:space="0" w:color="auto"/>
                                                    <w:bottom w:val="none" w:sz="0" w:space="0" w:color="auto"/>
                                                    <w:right w:val="none" w:sz="0" w:space="0" w:color="auto"/>
                                                  </w:divBdr>
                                                  <w:divsChild>
                                                    <w:div w:id="108645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61875821">
      <w:bodyDiv w:val="1"/>
      <w:marLeft w:val="0"/>
      <w:marRight w:val="0"/>
      <w:marTop w:val="0"/>
      <w:marBottom w:val="0"/>
      <w:divBdr>
        <w:top w:val="none" w:sz="0" w:space="0" w:color="auto"/>
        <w:left w:val="none" w:sz="0" w:space="0" w:color="auto"/>
        <w:bottom w:val="none" w:sz="0" w:space="0" w:color="auto"/>
        <w:right w:val="none" w:sz="0" w:space="0" w:color="auto"/>
      </w:divBdr>
      <w:divsChild>
        <w:div w:id="1508058300">
          <w:marLeft w:val="0"/>
          <w:marRight w:val="1"/>
          <w:marTop w:val="0"/>
          <w:marBottom w:val="0"/>
          <w:divBdr>
            <w:top w:val="none" w:sz="0" w:space="0" w:color="auto"/>
            <w:left w:val="none" w:sz="0" w:space="0" w:color="auto"/>
            <w:bottom w:val="none" w:sz="0" w:space="0" w:color="auto"/>
            <w:right w:val="none" w:sz="0" w:space="0" w:color="auto"/>
          </w:divBdr>
          <w:divsChild>
            <w:div w:id="1703749974">
              <w:marLeft w:val="0"/>
              <w:marRight w:val="0"/>
              <w:marTop w:val="0"/>
              <w:marBottom w:val="0"/>
              <w:divBdr>
                <w:top w:val="none" w:sz="0" w:space="0" w:color="auto"/>
                <w:left w:val="none" w:sz="0" w:space="0" w:color="auto"/>
                <w:bottom w:val="none" w:sz="0" w:space="0" w:color="auto"/>
                <w:right w:val="none" w:sz="0" w:space="0" w:color="auto"/>
              </w:divBdr>
              <w:divsChild>
                <w:div w:id="1281572584">
                  <w:marLeft w:val="0"/>
                  <w:marRight w:val="1"/>
                  <w:marTop w:val="0"/>
                  <w:marBottom w:val="0"/>
                  <w:divBdr>
                    <w:top w:val="none" w:sz="0" w:space="0" w:color="auto"/>
                    <w:left w:val="none" w:sz="0" w:space="0" w:color="auto"/>
                    <w:bottom w:val="none" w:sz="0" w:space="0" w:color="auto"/>
                    <w:right w:val="none" w:sz="0" w:space="0" w:color="auto"/>
                  </w:divBdr>
                  <w:divsChild>
                    <w:div w:id="249386953">
                      <w:marLeft w:val="0"/>
                      <w:marRight w:val="0"/>
                      <w:marTop w:val="0"/>
                      <w:marBottom w:val="0"/>
                      <w:divBdr>
                        <w:top w:val="none" w:sz="0" w:space="0" w:color="auto"/>
                        <w:left w:val="none" w:sz="0" w:space="0" w:color="auto"/>
                        <w:bottom w:val="none" w:sz="0" w:space="0" w:color="auto"/>
                        <w:right w:val="none" w:sz="0" w:space="0" w:color="auto"/>
                      </w:divBdr>
                      <w:divsChild>
                        <w:div w:id="1790850883">
                          <w:marLeft w:val="0"/>
                          <w:marRight w:val="0"/>
                          <w:marTop w:val="0"/>
                          <w:marBottom w:val="0"/>
                          <w:divBdr>
                            <w:top w:val="none" w:sz="0" w:space="0" w:color="auto"/>
                            <w:left w:val="none" w:sz="0" w:space="0" w:color="auto"/>
                            <w:bottom w:val="none" w:sz="0" w:space="0" w:color="auto"/>
                            <w:right w:val="none" w:sz="0" w:space="0" w:color="auto"/>
                          </w:divBdr>
                          <w:divsChild>
                            <w:div w:id="467017626">
                              <w:marLeft w:val="0"/>
                              <w:marRight w:val="0"/>
                              <w:marTop w:val="120"/>
                              <w:marBottom w:val="360"/>
                              <w:divBdr>
                                <w:top w:val="none" w:sz="0" w:space="0" w:color="auto"/>
                                <w:left w:val="none" w:sz="0" w:space="0" w:color="auto"/>
                                <w:bottom w:val="none" w:sz="0" w:space="0" w:color="auto"/>
                                <w:right w:val="none" w:sz="0" w:space="0" w:color="auto"/>
                              </w:divBdr>
                              <w:divsChild>
                                <w:div w:id="542719004">
                                  <w:marLeft w:val="0"/>
                                  <w:marRight w:val="0"/>
                                  <w:marTop w:val="0"/>
                                  <w:marBottom w:val="0"/>
                                  <w:divBdr>
                                    <w:top w:val="none" w:sz="0" w:space="0" w:color="auto"/>
                                    <w:left w:val="none" w:sz="0" w:space="0" w:color="auto"/>
                                    <w:bottom w:val="none" w:sz="0" w:space="0" w:color="auto"/>
                                    <w:right w:val="none" w:sz="0" w:space="0" w:color="auto"/>
                                  </w:divBdr>
                                  <w:divsChild>
                                    <w:div w:id="64404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5001984">
      <w:bodyDiv w:val="1"/>
      <w:marLeft w:val="0"/>
      <w:marRight w:val="0"/>
      <w:marTop w:val="0"/>
      <w:marBottom w:val="0"/>
      <w:divBdr>
        <w:top w:val="none" w:sz="0" w:space="0" w:color="auto"/>
        <w:left w:val="none" w:sz="0" w:space="0" w:color="auto"/>
        <w:bottom w:val="none" w:sz="0" w:space="0" w:color="auto"/>
        <w:right w:val="none" w:sz="0" w:space="0" w:color="auto"/>
      </w:divBdr>
      <w:divsChild>
        <w:div w:id="1818376178">
          <w:marLeft w:val="0"/>
          <w:marRight w:val="0"/>
          <w:marTop w:val="0"/>
          <w:marBottom w:val="0"/>
          <w:divBdr>
            <w:top w:val="none" w:sz="0" w:space="0" w:color="auto"/>
            <w:left w:val="none" w:sz="0" w:space="0" w:color="auto"/>
            <w:bottom w:val="none" w:sz="0" w:space="0" w:color="auto"/>
            <w:right w:val="none" w:sz="0" w:space="0" w:color="auto"/>
          </w:divBdr>
          <w:divsChild>
            <w:div w:id="515652752">
              <w:marLeft w:val="0"/>
              <w:marRight w:val="0"/>
              <w:marTop w:val="0"/>
              <w:marBottom w:val="0"/>
              <w:divBdr>
                <w:top w:val="none" w:sz="0" w:space="0" w:color="auto"/>
                <w:left w:val="none" w:sz="0" w:space="0" w:color="auto"/>
                <w:bottom w:val="none" w:sz="0" w:space="0" w:color="auto"/>
                <w:right w:val="none" w:sz="0" w:space="0" w:color="auto"/>
              </w:divBdr>
              <w:divsChild>
                <w:div w:id="512572344">
                  <w:marLeft w:val="0"/>
                  <w:marRight w:val="0"/>
                  <w:marTop w:val="0"/>
                  <w:marBottom w:val="0"/>
                  <w:divBdr>
                    <w:top w:val="none" w:sz="0" w:space="0" w:color="auto"/>
                    <w:left w:val="none" w:sz="0" w:space="0" w:color="auto"/>
                    <w:bottom w:val="none" w:sz="0" w:space="0" w:color="auto"/>
                    <w:right w:val="none" w:sz="0" w:space="0" w:color="auto"/>
                  </w:divBdr>
                  <w:divsChild>
                    <w:div w:id="576980416">
                      <w:marLeft w:val="0"/>
                      <w:marRight w:val="0"/>
                      <w:marTop w:val="0"/>
                      <w:marBottom w:val="0"/>
                      <w:divBdr>
                        <w:top w:val="none" w:sz="0" w:space="0" w:color="auto"/>
                        <w:left w:val="none" w:sz="0" w:space="0" w:color="auto"/>
                        <w:bottom w:val="none" w:sz="0" w:space="0" w:color="auto"/>
                        <w:right w:val="none" w:sz="0" w:space="0" w:color="auto"/>
                      </w:divBdr>
                      <w:divsChild>
                        <w:div w:id="260526046">
                          <w:marLeft w:val="0"/>
                          <w:marRight w:val="0"/>
                          <w:marTop w:val="0"/>
                          <w:marBottom w:val="0"/>
                          <w:divBdr>
                            <w:top w:val="none" w:sz="0" w:space="0" w:color="auto"/>
                            <w:left w:val="none" w:sz="0" w:space="0" w:color="auto"/>
                            <w:bottom w:val="none" w:sz="0" w:space="0" w:color="auto"/>
                            <w:right w:val="none" w:sz="0" w:space="0" w:color="auto"/>
                          </w:divBdr>
                          <w:divsChild>
                            <w:div w:id="1990359659">
                              <w:marLeft w:val="0"/>
                              <w:marRight w:val="0"/>
                              <w:marTop w:val="0"/>
                              <w:marBottom w:val="0"/>
                              <w:divBdr>
                                <w:top w:val="none" w:sz="0" w:space="0" w:color="auto"/>
                                <w:left w:val="none" w:sz="0" w:space="0" w:color="auto"/>
                                <w:bottom w:val="none" w:sz="0" w:space="0" w:color="auto"/>
                                <w:right w:val="none" w:sz="0" w:space="0" w:color="auto"/>
                              </w:divBdr>
                              <w:divsChild>
                                <w:div w:id="1956985493">
                                  <w:marLeft w:val="0"/>
                                  <w:marRight w:val="0"/>
                                  <w:marTop w:val="0"/>
                                  <w:marBottom w:val="0"/>
                                  <w:divBdr>
                                    <w:top w:val="none" w:sz="0" w:space="0" w:color="auto"/>
                                    <w:left w:val="none" w:sz="0" w:space="0" w:color="auto"/>
                                    <w:bottom w:val="none" w:sz="0" w:space="0" w:color="auto"/>
                                    <w:right w:val="none" w:sz="0" w:space="0" w:color="auto"/>
                                  </w:divBdr>
                                  <w:divsChild>
                                    <w:div w:id="2067874623">
                                      <w:marLeft w:val="54"/>
                                      <w:marRight w:val="0"/>
                                      <w:marTop w:val="0"/>
                                      <w:marBottom w:val="0"/>
                                      <w:divBdr>
                                        <w:top w:val="none" w:sz="0" w:space="0" w:color="auto"/>
                                        <w:left w:val="none" w:sz="0" w:space="0" w:color="auto"/>
                                        <w:bottom w:val="none" w:sz="0" w:space="0" w:color="auto"/>
                                        <w:right w:val="none" w:sz="0" w:space="0" w:color="auto"/>
                                      </w:divBdr>
                                      <w:divsChild>
                                        <w:div w:id="1380086568">
                                          <w:marLeft w:val="0"/>
                                          <w:marRight w:val="0"/>
                                          <w:marTop w:val="0"/>
                                          <w:marBottom w:val="0"/>
                                          <w:divBdr>
                                            <w:top w:val="none" w:sz="0" w:space="0" w:color="auto"/>
                                            <w:left w:val="none" w:sz="0" w:space="0" w:color="auto"/>
                                            <w:bottom w:val="none" w:sz="0" w:space="0" w:color="auto"/>
                                            <w:right w:val="none" w:sz="0" w:space="0" w:color="auto"/>
                                          </w:divBdr>
                                          <w:divsChild>
                                            <w:div w:id="1093354463">
                                              <w:marLeft w:val="0"/>
                                              <w:marRight w:val="0"/>
                                              <w:marTop w:val="0"/>
                                              <w:marBottom w:val="109"/>
                                              <w:divBdr>
                                                <w:top w:val="single" w:sz="6" w:space="0" w:color="F5F5F5"/>
                                                <w:left w:val="single" w:sz="6" w:space="0" w:color="F5F5F5"/>
                                                <w:bottom w:val="single" w:sz="6" w:space="0" w:color="F5F5F5"/>
                                                <w:right w:val="single" w:sz="6" w:space="0" w:color="F5F5F5"/>
                                              </w:divBdr>
                                              <w:divsChild>
                                                <w:div w:id="745424475">
                                                  <w:marLeft w:val="0"/>
                                                  <w:marRight w:val="0"/>
                                                  <w:marTop w:val="0"/>
                                                  <w:marBottom w:val="0"/>
                                                  <w:divBdr>
                                                    <w:top w:val="none" w:sz="0" w:space="0" w:color="auto"/>
                                                    <w:left w:val="none" w:sz="0" w:space="0" w:color="auto"/>
                                                    <w:bottom w:val="none" w:sz="0" w:space="0" w:color="auto"/>
                                                    <w:right w:val="none" w:sz="0" w:space="0" w:color="auto"/>
                                                  </w:divBdr>
                                                  <w:divsChild>
                                                    <w:div w:id="131448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3329173">
      <w:bodyDiv w:val="1"/>
      <w:marLeft w:val="0"/>
      <w:marRight w:val="0"/>
      <w:marTop w:val="0"/>
      <w:marBottom w:val="0"/>
      <w:divBdr>
        <w:top w:val="none" w:sz="0" w:space="0" w:color="auto"/>
        <w:left w:val="none" w:sz="0" w:space="0" w:color="auto"/>
        <w:bottom w:val="none" w:sz="0" w:space="0" w:color="auto"/>
        <w:right w:val="none" w:sz="0" w:space="0" w:color="auto"/>
      </w:divBdr>
    </w:div>
    <w:div w:id="1640768486">
      <w:bodyDiv w:val="1"/>
      <w:marLeft w:val="0"/>
      <w:marRight w:val="0"/>
      <w:marTop w:val="0"/>
      <w:marBottom w:val="0"/>
      <w:divBdr>
        <w:top w:val="none" w:sz="0" w:space="0" w:color="auto"/>
        <w:left w:val="none" w:sz="0" w:space="0" w:color="auto"/>
        <w:bottom w:val="none" w:sz="0" w:space="0" w:color="auto"/>
        <w:right w:val="none" w:sz="0" w:space="0" w:color="auto"/>
      </w:divBdr>
      <w:divsChild>
        <w:div w:id="757480798">
          <w:marLeft w:val="0"/>
          <w:marRight w:val="1"/>
          <w:marTop w:val="0"/>
          <w:marBottom w:val="0"/>
          <w:divBdr>
            <w:top w:val="none" w:sz="0" w:space="0" w:color="auto"/>
            <w:left w:val="none" w:sz="0" w:space="0" w:color="auto"/>
            <w:bottom w:val="none" w:sz="0" w:space="0" w:color="auto"/>
            <w:right w:val="none" w:sz="0" w:space="0" w:color="auto"/>
          </w:divBdr>
          <w:divsChild>
            <w:div w:id="1905950610">
              <w:marLeft w:val="0"/>
              <w:marRight w:val="0"/>
              <w:marTop w:val="0"/>
              <w:marBottom w:val="0"/>
              <w:divBdr>
                <w:top w:val="none" w:sz="0" w:space="0" w:color="auto"/>
                <w:left w:val="none" w:sz="0" w:space="0" w:color="auto"/>
                <w:bottom w:val="none" w:sz="0" w:space="0" w:color="auto"/>
                <w:right w:val="none" w:sz="0" w:space="0" w:color="auto"/>
              </w:divBdr>
              <w:divsChild>
                <w:div w:id="1652564724">
                  <w:marLeft w:val="0"/>
                  <w:marRight w:val="1"/>
                  <w:marTop w:val="0"/>
                  <w:marBottom w:val="0"/>
                  <w:divBdr>
                    <w:top w:val="none" w:sz="0" w:space="0" w:color="auto"/>
                    <w:left w:val="none" w:sz="0" w:space="0" w:color="auto"/>
                    <w:bottom w:val="none" w:sz="0" w:space="0" w:color="auto"/>
                    <w:right w:val="none" w:sz="0" w:space="0" w:color="auto"/>
                  </w:divBdr>
                  <w:divsChild>
                    <w:div w:id="252202832">
                      <w:marLeft w:val="0"/>
                      <w:marRight w:val="0"/>
                      <w:marTop w:val="0"/>
                      <w:marBottom w:val="0"/>
                      <w:divBdr>
                        <w:top w:val="none" w:sz="0" w:space="0" w:color="auto"/>
                        <w:left w:val="none" w:sz="0" w:space="0" w:color="auto"/>
                        <w:bottom w:val="none" w:sz="0" w:space="0" w:color="auto"/>
                        <w:right w:val="none" w:sz="0" w:space="0" w:color="auto"/>
                      </w:divBdr>
                      <w:divsChild>
                        <w:div w:id="2075538986">
                          <w:marLeft w:val="0"/>
                          <w:marRight w:val="0"/>
                          <w:marTop w:val="0"/>
                          <w:marBottom w:val="0"/>
                          <w:divBdr>
                            <w:top w:val="none" w:sz="0" w:space="0" w:color="auto"/>
                            <w:left w:val="none" w:sz="0" w:space="0" w:color="auto"/>
                            <w:bottom w:val="none" w:sz="0" w:space="0" w:color="auto"/>
                            <w:right w:val="none" w:sz="0" w:space="0" w:color="auto"/>
                          </w:divBdr>
                          <w:divsChild>
                            <w:div w:id="1563175692">
                              <w:marLeft w:val="0"/>
                              <w:marRight w:val="0"/>
                              <w:marTop w:val="120"/>
                              <w:marBottom w:val="360"/>
                              <w:divBdr>
                                <w:top w:val="none" w:sz="0" w:space="0" w:color="auto"/>
                                <w:left w:val="none" w:sz="0" w:space="0" w:color="auto"/>
                                <w:bottom w:val="none" w:sz="0" w:space="0" w:color="auto"/>
                                <w:right w:val="none" w:sz="0" w:space="0" w:color="auto"/>
                              </w:divBdr>
                              <w:divsChild>
                                <w:div w:id="163167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7001460">
      <w:bodyDiv w:val="1"/>
      <w:marLeft w:val="0"/>
      <w:marRight w:val="0"/>
      <w:marTop w:val="0"/>
      <w:marBottom w:val="0"/>
      <w:divBdr>
        <w:top w:val="none" w:sz="0" w:space="0" w:color="auto"/>
        <w:left w:val="none" w:sz="0" w:space="0" w:color="auto"/>
        <w:bottom w:val="none" w:sz="0" w:space="0" w:color="auto"/>
        <w:right w:val="none" w:sz="0" w:space="0" w:color="auto"/>
      </w:divBdr>
      <w:divsChild>
        <w:div w:id="936013491">
          <w:marLeft w:val="0"/>
          <w:marRight w:val="1"/>
          <w:marTop w:val="0"/>
          <w:marBottom w:val="0"/>
          <w:divBdr>
            <w:top w:val="none" w:sz="0" w:space="0" w:color="auto"/>
            <w:left w:val="none" w:sz="0" w:space="0" w:color="auto"/>
            <w:bottom w:val="none" w:sz="0" w:space="0" w:color="auto"/>
            <w:right w:val="none" w:sz="0" w:space="0" w:color="auto"/>
          </w:divBdr>
          <w:divsChild>
            <w:div w:id="381028414">
              <w:marLeft w:val="0"/>
              <w:marRight w:val="0"/>
              <w:marTop w:val="0"/>
              <w:marBottom w:val="0"/>
              <w:divBdr>
                <w:top w:val="none" w:sz="0" w:space="0" w:color="auto"/>
                <w:left w:val="none" w:sz="0" w:space="0" w:color="auto"/>
                <w:bottom w:val="none" w:sz="0" w:space="0" w:color="auto"/>
                <w:right w:val="none" w:sz="0" w:space="0" w:color="auto"/>
              </w:divBdr>
              <w:divsChild>
                <w:div w:id="1632444712">
                  <w:marLeft w:val="0"/>
                  <w:marRight w:val="1"/>
                  <w:marTop w:val="0"/>
                  <w:marBottom w:val="0"/>
                  <w:divBdr>
                    <w:top w:val="none" w:sz="0" w:space="0" w:color="auto"/>
                    <w:left w:val="none" w:sz="0" w:space="0" w:color="auto"/>
                    <w:bottom w:val="none" w:sz="0" w:space="0" w:color="auto"/>
                    <w:right w:val="none" w:sz="0" w:space="0" w:color="auto"/>
                  </w:divBdr>
                  <w:divsChild>
                    <w:div w:id="44373092">
                      <w:marLeft w:val="0"/>
                      <w:marRight w:val="0"/>
                      <w:marTop w:val="0"/>
                      <w:marBottom w:val="0"/>
                      <w:divBdr>
                        <w:top w:val="none" w:sz="0" w:space="0" w:color="auto"/>
                        <w:left w:val="none" w:sz="0" w:space="0" w:color="auto"/>
                        <w:bottom w:val="none" w:sz="0" w:space="0" w:color="auto"/>
                        <w:right w:val="none" w:sz="0" w:space="0" w:color="auto"/>
                      </w:divBdr>
                      <w:divsChild>
                        <w:div w:id="1537813921">
                          <w:marLeft w:val="0"/>
                          <w:marRight w:val="0"/>
                          <w:marTop w:val="0"/>
                          <w:marBottom w:val="0"/>
                          <w:divBdr>
                            <w:top w:val="none" w:sz="0" w:space="0" w:color="auto"/>
                            <w:left w:val="none" w:sz="0" w:space="0" w:color="auto"/>
                            <w:bottom w:val="none" w:sz="0" w:space="0" w:color="auto"/>
                            <w:right w:val="none" w:sz="0" w:space="0" w:color="auto"/>
                          </w:divBdr>
                          <w:divsChild>
                            <w:div w:id="881013869">
                              <w:marLeft w:val="0"/>
                              <w:marRight w:val="0"/>
                              <w:marTop w:val="120"/>
                              <w:marBottom w:val="360"/>
                              <w:divBdr>
                                <w:top w:val="none" w:sz="0" w:space="0" w:color="auto"/>
                                <w:left w:val="none" w:sz="0" w:space="0" w:color="auto"/>
                                <w:bottom w:val="none" w:sz="0" w:space="0" w:color="auto"/>
                                <w:right w:val="none" w:sz="0" w:space="0" w:color="auto"/>
                              </w:divBdr>
                              <w:divsChild>
                                <w:div w:id="1435398151">
                                  <w:marLeft w:val="0"/>
                                  <w:marRight w:val="0"/>
                                  <w:marTop w:val="0"/>
                                  <w:marBottom w:val="0"/>
                                  <w:divBdr>
                                    <w:top w:val="none" w:sz="0" w:space="0" w:color="auto"/>
                                    <w:left w:val="none" w:sz="0" w:space="0" w:color="auto"/>
                                    <w:bottom w:val="none" w:sz="0" w:space="0" w:color="auto"/>
                                    <w:right w:val="none" w:sz="0" w:space="0" w:color="auto"/>
                                  </w:divBdr>
                                </w:div>
                                <w:div w:id="199440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1678585">
      <w:bodyDiv w:val="1"/>
      <w:marLeft w:val="0"/>
      <w:marRight w:val="0"/>
      <w:marTop w:val="0"/>
      <w:marBottom w:val="0"/>
      <w:divBdr>
        <w:top w:val="none" w:sz="0" w:space="0" w:color="auto"/>
        <w:left w:val="none" w:sz="0" w:space="0" w:color="auto"/>
        <w:bottom w:val="none" w:sz="0" w:space="0" w:color="auto"/>
        <w:right w:val="none" w:sz="0" w:space="0" w:color="auto"/>
      </w:divBdr>
      <w:divsChild>
        <w:div w:id="1392146463">
          <w:marLeft w:val="0"/>
          <w:marRight w:val="0"/>
          <w:marTop w:val="0"/>
          <w:marBottom w:val="0"/>
          <w:divBdr>
            <w:top w:val="none" w:sz="0" w:space="0" w:color="auto"/>
            <w:left w:val="none" w:sz="0" w:space="0" w:color="auto"/>
            <w:bottom w:val="none" w:sz="0" w:space="0" w:color="auto"/>
            <w:right w:val="none" w:sz="0" w:space="0" w:color="auto"/>
          </w:divBdr>
          <w:divsChild>
            <w:div w:id="1118260912">
              <w:marLeft w:val="0"/>
              <w:marRight w:val="0"/>
              <w:marTop w:val="0"/>
              <w:marBottom w:val="0"/>
              <w:divBdr>
                <w:top w:val="none" w:sz="0" w:space="0" w:color="auto"/>
                <w:left w:val="none" w:sz="0" w:space="0" w:color="auto"/>
                <w:bottom w:val="none" w:sz="0" w:space="0" w:color="auto"/>
                <w:right w:val="none" w:sz="0" w:space="0" w:color="auto"/>
              </w:divBdr>
              <w:divsChild>
                <w:div w:id="441850056">
                  <w:marLeft w:val="0"/>
                  <w:marRight w:val="0"/>
                  <w:marTop w:val="0"/>
                  <w:marBottom w:val="0"/>
                  <w:divBdr>
                    <w:top w:val="none" w:sz="0" w:space="0" w:color="auto"/>
                    <w:left w:val="none" w:sz="0" w:space="0" w:color="auto"/>
                    <w:bottom w:val="none" w:sz="0" w:space="0" w:color="auto"/>
                    <w:right w:val="none" w:sz="0" w:space="0" w:color="auto"/>
                  </w:divBdr>
                  <w:divsChild>
                    <w:div w:id="825361536">
                      <w:marLeft w:val="0"/>
                      <w:marRight w:val="0"/>
                      <w:marTop w:val="0"/>
                      <w:marBottom w:val="0"/>
                      <w:divBdr>
                        <w:top w:val="none" w:sz="0" w:space="0" w:color="auto"/>
                        <w:left w:val="none" w:sz="0" w:space="0" w:color="auto"/>
                        <w:bottom w:val="none" w:sz="0" w:space="0" w:color="auto"/>
                        <w:right w:val="none" w:sz="0" w:space="0" w:color="auto"/>
                      </w:divBdr>
                      <w:divsChild>
                        <w:div w:id="2039770568">
                          <w:marLeft w:val="0"/>
                          <w:marRight w:val="0"/>
                          <w:marTop w:val="0"/>
                          <w:marBottom w:val="0"/>
                          <w:divBdr>
                            <w:top w:val="none" w:sz="0" w:space="0" w:color="auto"/>
                            <w:left w:val="none" w:sz="0" w:space="0" w:color="auto"/>
                            <w:bottom w:val="none" w:sz="0" w:space="0" w:color="auto"/>
                            <w:right w:val="none" w:sz="0" w:space="0" w:color="auto"/>
                          </w:divBdr>
                          <w:divsChild>
                            <w:div w:id="2096316907">
                              <w:marLeft w:val="0"/>
                              <w:marRight w:val="0"/>
                              <w:marTop w:val="0"/>
                              <w:marBottom w:val="0"/>
                              <w:divBdr>
                                <w:top w:val="none" w:sz="0" w:space="0" w:color="auto"/>
                                <w:left w:val="none" w:sz="0" w:space="0" w:color="auto"/>
                                <w:bottom w:val="none" w:sz="0" w:space="0" w:color="auto"/>
                                <w:right w:val="none" w:sz="0" w:space="0" w:color="auto"/>
                              </w:divBdr>
                              <w:divsChild>
                                <w:div w:id="1053775014">
                                  <w:marLeft w:val="0"/>
                                  <w:marRight w:val="0"/>
                                  <w:marTop w:val="0"/>
                                  <w:marBottom w:val="0"/>
                                  <w:divBdr>
                                    <w:top w:val="none" w:sz="0" w:space="0" w:color="auto"/>
                                    <w:left w:val="none" w:sz="0" w:space="0" w:color="auto"/>
                                    <w:bottom w:val="none" w:sz="0" w:space="0" w:color="auto"/>
                                    <w:right w:val="none" w:sz="0" w:space="0" w:color="auto"/>
                                  </w:divBdr>
                                  <w:divsChild>
                                    <w:div w:id="141427193">
                                      <w:marLeft w:val="54"/>
                                      <w:marRight w:val="0"/>
                                      <w:marTop w:val="0"/>
                                      <w:marBottom w:val="0"/>
                                      <w:divBdr>
                                        <w:top w:val="none" w:sz="0" w:space="0" w:color="auto"/>
                                        <w:left w:val="none" w:sz="0" w:space="0" w:color="auto"/>
                                        <w:bottom w:val="none" w:sz="0" w:space="0" w:color="auto"/>
                                        <w:right w:val="none" w:sz="0" w:space="0" w:color="auto"/>
                                      </w:divBdr>
                                      <w:divsChild>
                                        <w:div w:id="676200885">
                                          <w:marLeft w:val="0"/>
                                          <w:marRight w:val="0"/>
                                          <w:marTop w:val="0"/>
                                          <w:marBottom w:val="0"/>
                                          <w:divBdr>
                                            <w:top w:val="none" w:sz="0" w:space="0" w:color="auto"/>
                                            <w:left w:val="none" w:sz="0" w:space="0" w:color="auto"/>
                                            <w:bottom w:val="none" w:sz="0" w:space="0" w:color="auto"/>
                                            <w:right w:val="none" w:sz="0" w:space="0" w:color="auto"/>
                                          </w:divBdr>
                                          <w:divsChild>
                                            <w:div w:id="1794590999">
                                              <w:marLeft w:val="0"/>
                                              <w:marRight w:val="0"/>
                                              <w:marTop w:val="0"/>
                                              <w:marBottom w:val="109"/>
                                              <w:divBdr>
                                                <w:top w:val="single" w:sz="6" w:space="0" w:color="F5F5F5"/>
                                                <w:left w:val="single" w:sz="6" w:space="0" w:color="F5F5F5"/>
                                                <w:bottom w:val="single" w:sz="6" w:space="0" w:color="F5F5F5"/>
                                                <w:right w:val="single" w:sz="6" w:space="0" w:color="F5F5F5"/>
                                              </w:divBdr>
                                              <w:divsChild>
                                                <w:div w:id="65734062">
                                                  <w:marLeft w:val="0"/>
                                                  <w:marRight w:val="0"/>
                                                  <w:marTop w:val="0"/>
                                                  <w:marBottom w:val="0"/>
                                                  <w:divBdr>
                                                    <w:top w:val="none" w:sz="0" w:space="0" w:color="auto"/>
                                                    <w:left w:val="none" w:sz="0" w:space="0" w:color="auto"/>
                                                    <w:bottom w:val="none" w:sz="0" w:space="0" w:color="auto"/>
                                                    <w:right w:val="none" w:sz="0" w:space="0" w:color="auto"/>
                                                  </w:divBdr>
                                                  <w:divsChild>
                                                    <w:div w:id="95297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92750622">
      <w:bodyDiv w:val="1"/>
      <w:marLeft w:val="0"/>
      <w:marRight w:val="0"/>
      <w:marTop w:val="0"/>
      <w:marBottom w:val="0"/>
      <w:divBdr>
        <w:top w:val="none" w:sz="0" w:space="0" w:color="auto"/>
        <w:left w:val="none" w:sz="0" w:space="0" w:color="auto"/>
        <w:bottom w:val="none" w:sz="0" w:space="0" w:color="auto"/>
        <w:right w:val="none" w:sz="0" w:space="0" w:color="auto"/>
      </w:divBdr>
    </w:div>
    <w:div w:id="1886863963">
      <w:bodyDiv w:val="1"/>
      <w:marLeft w:val="0"/>
      <w:marRight w:val="0"/>
      <w:marTop w:val="0"/>
      <w:marBottom w:val="0"/>
      <w:divBdr>
        <w:top w:val="none" w:sz="0" w:space="0" w:color="auto"/>
        <w:left w:val="none" w:sz="0" w:space="0" w:color="auto"/>
        <w:bottom w:val="none" w:sz="0" w:space="0" w:color="auto"/>
        <w:right w:val="none" w:sz="0" w:space="0" w:color="auto"/>
      </w:divBdr>
      <w:divsChild>
        <w:div w:id="1574656516">
          <w:marLeft w:val="0"/>
          <w:marRight w:val="1"/>
          <w:marTop w:val="0"/>
          <w:marBottom w:val="0"/>
          <w:divBdr>
            <w:top w:val="none" w:sz="0" w:space="0" w:color="auto"/>
            <w:left w:val="none" w:sz="0" w:space="0" w:color="auto"/>
            <w:bottom w:val="none" w:sz="0" w:space="0" w:color="auto"/>
            <w:right w:val="none" w:sz="0" w:space="0" w:color="auto"/>
          </w:divBdr>
          <w:divsChild>
            <w:div w:id="1036807572">
              <w:marLeft w:val="0"/>
              <w:marRight w:val="0"/>
              <w:marTop w:val="0"/>
              <w:marBottom w:val="0"/>
              <w:divBdr>
                <w:top w:val="none" w:sz="0" w:space="0" w:color="auto"/>
                <w:left w:val="none" w:sz="0" w:space="0" w:color="auto"/>
                <w:bottom w:val="none" w:sz="0" w:space="0" w:color="auto"/>
                <w:right w:val="none" w:sz="0" w:space="0" w:color="auto"/>
              </w:divBdr>
              <w:divsChild>
                <w:div w:id="924074217">
                  <w:marLeft w:val="0"/>
                  <w:marRight w:val="1"/>
                  <w:marTop w:val="0"/>
                  <w:marBottom w:val="0"/>
                  <w:divBdr>
                    <w:top w:val="none" w:sz="0" w:space="0" w:color="auto"/>
                    <w:left w:val="none" w:sz="0" w:space="0" w:color="auto"/>
                    <w:bottom w:val="none" w:sz="0" w:space="0" w:color="auto"/>
                    <w:right w:val="none" w:sz="0" w:space="0" w:color="auto"/>
                  </w:divBdr>
                  <w:divsChild>
                    <w:div w:id="1113524950">
                      <w:marLeft w:val="0"/>
                      <w:marRight w:val="0"/>
                      <w:marTop w:val="0"/>
                      <w:marBottom w:val="0"/>
                      <w:divBdr>
                        <w:top w:val="none" w:sz="0" w:space="0" w:color="auto"/>
                        <w:left w:val="none" w:sz="0" w:space="0" w:color="auto"/>
                        <w:bottom w:val="none" w:sz="0" w:space="0" w:color="auto"/>
                        <w:right w:val="none" w:sz="0" w:space="0" w:color="auto"/>
                      </w:divBdr>
                      <w:divsChild>
                        <w:div w:id="1402172389">
                          <w:marLeft w:val="0"/>
                          <w:marRight w:val="0"/>
                          <w:marTop w:val="0"/>
                          <w:marBottom w:val="0"/>
                          <w:divBdr>
                            <w:top w:val="none" w:sz="0" w:space="0" w:color="auto"/>
                            <w:left w:val="none" w:sz="0" w:space="0" w:color="auto"/>
                            <w:bottom w:val="none" w:sz="0" w:space="0" w:color="auto"/>
                            <w:right w:val="none" w:sz="0" w:space="0" w:color="auto"/>
                          </w:divBdr>
                          <w:divsChild>
                            <w:div w:id="519468206">
                              <w:marLeft w:val="0"/>
                              <w:marRight w:val="0"/>
                              <w:marTop w:val="120"/>
                              <w:marBottom w:val="360"/>
                              <w:divBdr>
                                <w:top w:val="none" w:sz="0" w:space="0" w:color="auto"/>
                                <w:left w:val="none" w:sz="0" w:space="0" w:color="auto"/>
                                <w:bottom w:val="none" w:sz="0" w:space="0" w:color="auto"/>
                                <w:right w:val="none" w:sz="0" w:space="0" w:color="auto"/>
                              </w:divBdr>
                              <w:divsChild>
                                <w:div w:id="81951890">
                                  <w:marLeft w:val="0"/>
                                  <w:marRight w:val="0"/>
                                  <w:marTop w:val="0"/>
                                  <w:marBottom w:val="0"/>
                                  <w:divBdr>
                                    <w:top w:val="none" w:sz="0" w:space="0" w:color="auto"/>
                                    <w:left w:val="none" w:sz="0" w:space="0" w:color="auto"/>
                                    <w:bottom w:val="none" w:sz="0" w:space="0" w:color="auto"/>
                                    <w:right w:val="none" w:sz="0" w:space="0" w:color="auto"/>
                                  </w:divBdr>
                                  <w:divsChild>
                                    <w:div w:id="158580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3827632">
      <w:bodyDiv w:val="1"/>
      <w:marLeft w:val="0"/>
      <w:marRight w:val="0"/>
      <w:marTop w:val="0"/>
      <w:marBottom w:val="0"/>
      <w:divBdr>
        <w:top w:val="none" w:sz="0" w:space="0" w:color="auto"/>
        <w:left w:val="none" w:sz="0" w:space="0" w:color="auto"/>
        <w:bottom w:val="none" w:sz="0" w:space="0" w:color="auto"/>
        <w:right w:val="none" w:sz="0" w:space="0" w:color="auto"/>
      </w:divBdr>
    </w:div>
    <w:div w:id="1930889785">
      <w:bodyDiv w:val="1"/>
      <w:marLeft w:val="0"/>
      <w:marRight w:val="0"/>
      <w:marTop w:val="0"/>
      <w:marBottom w:val="0"/>
      <w:divBdr>
        <w:top w:val="none" w:sz="0" w:space="0" w:color="auto"/>
        <w:left w:val="none" w:sz="0" w:space="0" w:color="auto"/>
        <w:bottom w:val="none" w:sz="0" w:space="0" w:color="auto"/>
        <w:right w:val="none" w:sz="0" w:space="0" w:color="auto"/>
      </w:divBdr>
      <w:divsChild>
        <w:div w:id="936136486">
          <w:marLeft w:val="0"/>
          <w:marRight w:val="1"/>
          <w:marTop w:val="0"/>
          <w:marBottom w:val="0"/>
          <w:divBdr>
            <w:top w:val="none" w:sz="0" w:space="0" w:color="auto"/>
            <w:left w:val="none" w:sz="0" w:space="0" w:color="auto"/>
            <w:bottom w:val="none" w:sz="0" w:space="0" w:color="auto"/>
            <w:right w:val="none" w:sz="0" w:space="0" w:color="auto"/>
          </w:divBdr>
          <w:divsChild>
            <w:div w:id="1482427157">
              <w:marLeft w:val="0"/>
              <w:marRight w:val="0"/>
              <w:marTop w:val="0"/>
              <w:marBottom w:val="0"/>
              <w:divBdr>
                <w:top w:val="none" w:sz="0" w:space="0" w:color="auto"/>
                <w:left w:val="none" w:sz="0" w:space="0" w:color="auto"/>
                <w:bottom w:val="none" w:sz="0" w:space="0" w:color="auto"/>
                <w:right w:val="none" w:sz="0" w:space="0" w:color="auto"/>
              </w:divBdr>
              <w:divsChild>
                <w:div w:id="2140487526">
                  <w:marLeft w:val="0"/>
                  <w:marRight w:val="1"/>
                  <w:marTop w:val="0"/>
                  <w:marBottom w:val="0"/>
                  <w:divBdr>
                    <w:top w:val="none" w:sz="0" w:space="0" w:color="auto"/>
                    <w:left w:val="none" w:sz="0" w:space="0" w:color="auto"/>
                    <w:bottom w:val="none" w:sz="0" w:space="0" w:color="auto"/>
                    <w:right w:val="none" w:sz="0" w:space="0" w:color="auto"/>
                  </w:divBdr>
                  <w:divsChild>
                    <w:div w:id="1410154634">
                      <w:marLeft w:val="0"/>
                      <w:marRight w:val="0"/>
                      <w:marTop w:val="0"/>
                      <w:marBottom w:val="0"/>
                      <w:divBdr>
                        <w:top w:val="none" w:sz="0" w:space="0" w:color="auto"/>
                        <w:left w:val="none" w:sz="0" w:space="0" w:color="auto"/>
                        <w:bottom w:val="none" w:sz="0" w:space="0" w:color="auto"/>
                        <w:right w:val="none" w:sz="0" w:space="0" w:color="auto"/>
                      </w:divBdr>
                      <w:divsChild>
                        <w:div w:id="191915711">
                          <w:marLeft w:val="0"/>
                          <w:marRight w:val="0"/>
                          <w:marTop w:val="0"/>
                          <w:marBottom w:val="0"/>
                          <w:divBdr>
                            <w:top w:val="none" w:sz="0" w:space="0" w:color="auto"/>
                            <w:left w:val="none" w:sz="0" w:space="0" w:color="auto"/>
                            <w:bottom w:val="none" w:sz="0" w:space="0" w:color="auto"/>
                            <w:right w:val="none" w:sz="0" w:space="0" w:color="auto"/>
                          </w:divBdr>
                          <w:divsChild>
                            <w:div w:id="279604072">
                              <w:marLeft w:val="0"/>
                              <w:marRight w:val="0"/>
                              <w:marTop w:val="120"/>
                              <w:marBottom w:val="360"/>
                              <w:divBdr>
                                <w:top w:val="none" w:sz="0" w:space="0" w:color="auto"/>
                                <w:left w:val="none" w:sz="0" w:space="0" w:color="auto"/>
                                <w:bottom w:val="none" w:sz="0" w:space="0" w:color="auto"/>
                                <w:right w:val="none" w:sz="0" w:space="0" w:color="auto"/>
                              </w:divBdr>
                              <w:divsChild>
                                <w:div w:id="1498426506">
                                  <w:marLeft w:val="0"/>
                                  <w:marRight w:val="0"/>
                                  <w:marTop w:val="0"/>
                                  <w:marBottom w:val="0"/>
                                  <w:divBdr>
                                    <w:top w:val="none" w:sz="0" w:space="0" w:color="auto"/>
                                    <w:left w:val="none" w:sz="0" w:space="0" w:color="auto"/>
                                    <w:bottom w:val="none" w:sz="0" w:space="0" w:color="auto"/>
                                    <w:right w:val="none" w:sz="0" w:space="0" w:color="auto"/>
                                  </w:divBdr>
                                </w:div>
                                <w:div w:id="76673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cancer.gov/Common/PopUps/popDefinition.aspx?id=CDR0000046678&amp;version=Patient&amp;language=English" TargetMode="External"/><Relationship Id="rId117" Type="http://schemas.openxmlformats.org/officeDocument/2006/relationships/image" Target="media/image34.emf"/><Relationship Id="rId21" Type="http://schemas.openxmlformats.org/officeDocument/2006/relationships/hyperlink" Target="http://www.cancer.gov/Common/PopUps/popDefinition.aspx?id=CDR0000046226&amp;version=Patient&amp;language=English" TargetMode="External"/><Relationship Id="rId42" Type="http://schemas.openxmlformats.org/officeDocument/2006/relationships/image" Target="media/image10.emf"/><Relationship Id="rId47" Type="http://schemas.openxmlformats.org/officeDocument/2006/relationships/hyperlink" Target="http://www.pantherdb.org/" TargetMode="External"/><Relationship Id="rId63" Type="http://schemas.openxmlformats.org/officeDocument/2006/relationships/hyperlink" Target="http://www.ncbi.nlm.nih.gov/pubmed?term=Kinzler%20KW%5BAuthor%5D&amp;cauthor=true&amp;cauthor_uid=11691795" TargetMode="External"/><Relationship Id="rId68" Type="http://schemas.openxmlformats.org/officeDocument/2006/relationships/hyperlink" Target="http://www.ncbi.nlm.nih.gov/pubmed/?term=Liu+T+2001+hPMS1+and+hPMS2" TargetMode="External"/><Relationship Id="rId84" Type="http://schemas.openxmlformats.org/officeDocument/2006/relationships/hyperlink" Target="http://www.ncbi.nlm.nih.gov/pubmed/?term=PANTHER%3A+A+Library+of+Protein+Families+and+Subfamilies+Indexed+by+Function" TargetMode="External"/><Relationship Id="rId89" Type="http://schemas.openxmlformats.org/officeDocument/2006/relationships/hyperlink" Target="http://www.ncbi.nlm.nih.gov/pubmed?term=%22Caruso%20S%22%5BAuthor%5D" TargetMode="External"/><Relationship Id="rId112" Type="http://schemas.openxmlformats.org/officeDocument/2006/relationships/image" Target="media/image29.emf"/><Relationship Id="rId133" Type="http://schemas.openxmlformats.org/officeDocument/2006/relationships/image" Target="media/image50.emf"/><Relationship Id="rId138" Type="http://schemas.openxmlformats.org/officeDocument/2006/relationships/image" Target="media/image55.emf"/><Relationship Id="rId16" Type="http://schemas.openxmlformats.org/officeDocument/2006/relationships/hyperlink" Target="http://www.cancer.gov/Common/PopUps/popDefinition.aspx?id=CDR0000559456&amp;version=Patient&amp;language=English" TargetMode="External"/><Relationship Id="rId107" Type="http://schemas.openxmlformats.org/officeDocument/2006/relationships/image" Target="media/image24.emf"/><Relationship Id="rId11" Type="http://schemas.openxmlformats.org/officeDocument/2006/relationships/hyperlink" Target="http://www.cancer.gov/cancertopics/pdq/genetics/breast-and-ovarian" TargetMode="External"/><Relationship Id="rId32" Type="http://schemas.openxmlformats.org/officeDocument/2006/relationships/image" Target="media/image7.png"/><Relationship Id="rId37" Type="http://schemas.openxmlformats.org/officeDocument/2006/relationships/hyperlink" Target="http://research.nhgri.nih.gov/bic/" TargetMode="External"/><Relationship Id="rId53" Type="http://schemas.openxmlformats.org/officeDocument/2006/relationships/image" Target="media/image13.png"/><Relationship Id="rId58" Type="http://schemas.openxmlformats.org/officeDocument/2006/relationships/hyperlink" Target="http://www.ncbi.nlm.nih.gov/pubmed?term=Kuismanen%20S%5BAuthor%5D&amp;cauthor=true&amp;cauthor_uid=11691795" TargetMode="External"/><Relationship Id="rId74" Type="http://schemas.openxmlformats.org/officeDocument/2006/relationships/hyperlink" Target="http://www.ncbi.nlm.nih.gov/pubmed/?term=Ng+P.C.+%26+Henikoff+2003" TargetMode="External"/><Relationship Id="rId79" Type="http://schemas.openxmlformats.org/officeDocument/2006/relationships/hyperlink" Target="http://www.ncbi.nlm.nih.gov/pubmed?term=Karlak%20B%5BAuthor%5D&amp;cauthor=true&amp;cauthor_uid=12952881" TargetMode="External"/><Relationship Id="rId102" Type="http://schemas.openxmlformats.org/officeDocument/2006/relationships/image" Target="media/image19.emf"/><Relationship Id="rId123" Type="http://schemas.openxmlformats.org/officeDocument/2006/relationships/image" Target="media/image40.emf"/><Relationship Id="rId128" Type="http://schemas.openxmlformats.org/officeDocument/2006/relationships/image" Target="media/image45.emf"/><Relationship Id="rId5" Type="http://schemas.openxmlformats.org/officeDocument/2006/relationships/webSettings" Target="webSettings.xml"/><Relationship Id="rId90" Type="http://schemas.openxmlformats.org/officeDocument/2006/relationships/hyperlink" Target="http://www.ncbi.nlm.nih.gov/pubmed?term=%22Corsini%20LR%22%5BAuthor%5D" TargetMode="External"/><Relationship Id="rId95" Type="http://schemas.openxmlformats.org/officeDocument/2006/relationships/hyperlink" Target="http://www.ncbi.nlm.nih.gov/pubmed?term=%22Russo%20A%22%5BAuthor%5D" TargetMode="External"/><Relationship Id="rId22" Type="http://schemas.openxmlformats.org/officeDocument/2006/relationships/hyperlink" Target="http://www.cancer.gov/Common/PopUps/popDefinition.aspx?id=CDR0000641941&amp;version=Patient&amp;language=English" TargetMode="External"/><Relationship Id="rId27" Type="http://schemas.openxmlformats.org/officeDocument/2006/relationships/hyperlink" Target="http://www.cancer.gov/cancertopics/pdq/genetics/breast-and-ovarian/HealthProfessional/page2" TargetMode="External"/><Relationship Id="rId43" Type="http://schemas.openxmlformats.org/officeDocument/2006/relationships/hyperlink" Target="http://www.ncbi.nlm.nih.gov/pubmed?term=%22Sarkar%20M%22%5BAuthor%5D" TargetMode="External"/><Relationship Id="rId48" Type="http://schemas.openxmlformats.org/officeDocument/2006/relationships/hyperlink" Target="http://snpanalyzer.utmem.edu/" TargetMode="External"/><Relationship Id="rId64" Type="http://schemas.openxmlformats.org/officeDocument/2006/relationships/hyperlink" Target="http://www.ncbi.nlm.nih.gov/pubmed?term=Vogelstein%20B%5BAuthor%5D&amp;cauthor=true&amp;cauthor_uid=11691795" TargetMode="External"/><Relationship Id="rId69" Type="http://schemas.openxmlformats.org/officeDocument/2006/relationships/hyperlink" Target="http://www.ncbi.nlm.nih.gov/pubmed?term=Lynch%20HT%5BAuthor%5D&amp;cauthor=true&amp;cauthor_uid=12621137" TargetMode="External"/><Relationship Id="rId113" Type="http://schemas.openxmlformats.org/officeDocument/2006/relationships/image" Target="media/image30.emf"/><Relationship Id="rId118" Type="http://schemas.openxmlformats.org/officeDocument/2006/relationships/image" Target="media/image35.emf"/><Relationship Id="rId134" Type="http://schemas.openxmlformats.org/officeDocument/2006/relationships/image" Target="media/image51.emf"/><Relationship Id="rId13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11.png"/><Relationship Id="rId72" Type="http://schemas.openxmlformats.org/officeDocument/2006/relationships/hyperlink" Target="http://www.ncbi.nlm.nih.gov/pubmed?term=Ng%20PC%5BAuthor%5D&amp;cauthor=true&amp;cauthor_uid=12824425" TargetMode="External"/><Relationship Id="rId80" Type="http://schemas.openxmlformats.org/officeDocument/2006/relationships/hyperlink" Target="http://www.ncbi.nlm.nih.gov/pubmed?term=Daverman%20R%5BAuthor%5D&amp;cauthor=true&amp;cauthor_uid=12952881" TargetMode="External"/><Relationship Id="rId85" Type="http://schemas.openxmlformats.org/officeDocument/2006/relationships/hyperlink" Target="http://www.ncbi.nlm.nih.gov/pubmed?term=%22Insalaco%20L%22%5BAuthor%5D" TargetMode="External"/><Relationship Id="rId93" Type="http://schemas.openxmlformats.org/officeDocument/2006/relationships/hyperlink" Target="http://www.ncbi.nlm.nih.gov/pubmed?term=%22Santini%20D%22%5BAuthor%5D" TargetMode="External"/><Relationship Id="rId98" Type="http://schemas.openxmlformats.org/officeDocument/2006/relationships/image" Target="media/image15.emf"/><Relationship Id="rId12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hyperlink" Target="http://www.cancer.gov/Common/PopUps/popDefinition.aspx?id=CDR0000046322&amp;version=Patient&amp;language=English" TargetMode="External"/><Relationship Id="rId17" Type="http://schemas.openxmlformats.org/officeDocument/2006/relationships/hyperlink" Target="http://www.cancer.gov/Common/PopUps/popDefinition.aspx?id=CDR0000045100&amp;version=Patient&amp;language=English" TargetMode="External"/><Relationship Id="rId25" Type="http://schemas.openxmlformats.org/officeDocument/2006/relationships/hyperlink" Target="http://www.cancer.gov/Common/PopUps/popDefinition.aspx?id=CDR0000322877&amp;version=Patient&amp;language=English" TargetMode="External"/><Relationship Id="rId33" Type="http://schemas.openxmlformats.org/officeDocument/2006/relationships/hyperlink" Target="http://www.nccn.org" TargetMode="External"/><Relationship Id="rId38" Type="http://schemas.openxmlformats.org/officeDocument/2006/relationships/hyperlink" Target="http://chromium.liacs.nl/LOVD2/cancer/home.php" TargetMode="External"/><Relationship Id="rId46" Type="http://schemas.openxmlformats.org/officeDocument/2006/relationships/hyperlink" Target="http://www.ncbi.nlm.nih.gov/pubmed?term=%22Magliery%20TJ%22%5BAuthor%5D" TargetMode="External"/><Relationship Id="rId59" Type="http://schemas.openxmlformats.org/officeDocument/2006/relationships/hyperlink" Target="http://www.ncbi.nlm.nih.gov/pubmed?term=Percesepe%20A%5BAuthor%5D&amp;cauthor=true&amp;cauthor_uid=11691795" TargetMode="External"/><Relationship Id="rId67" Type="http://schemas.openxmlformats.org/officeDocument/2006/relationships/hyperlink" Target="http://www.ncbi.nlm.nih.gov/pubmed?term=Lindblom%20A%5BAuthor%5D&amp;cauthor=true&amp;cauthor_uid=11691795" TargetMode="External"/><Relationship Id="rId103" Type="http://schemas.openxmlformats.org/officeDocument/2006/relationships/image" Target="media/image20.emf"/><Relationship Id="rId108" Type="http://schemas.openxmlformats.org/officeDocument/2006/relationships/image" Target="media/image25.emf"/><Relationship Id="rId116" Type="http://schemas.openxmlformats.org/officeDocument/2006/relationships/image" Target="media/image33.emf"/><Relationship Id="rId124" Type="http://schemas.openxmlformats.org/officeDocument/2006/relationships/image" Target="media/image41.emf"/><Relationship Id="rId129" Type="http://schemas.openxmlformats.org/officeDocument/2006/relationships/image" Target="media/image46.emf"/><Relationship Id="rId137" Type="http://schemas.openxmlformats.org/officeDocument/2006/relationships/image" Target="media/image54.emf"/><Relationship Id="rId20" Type="http://schemas.openxmlformats.org/officeDocument/2006/relationships/hyperlink" Target="http://www.cancer.gov/Common/PopUps/popDefinition.aspx?id=CDR0000744631&amp;version=Patient&amp;language=English" TargetMode="External"/><Relationship Id="rId41" Type="http://schemas.openxmlformats.org/officeDocument/2006/relationships/image" Target="media/image9.emf"/><Relationship Id="rId54" Type="http://schemas.openxmlformats.org/officeDocument/2006/relationships/image" Target="media/image14.png"/><Relationship Id="rId62" Type="http://schemas.openxmlformats.org/officeDocument/2006/relationships/hyperlink" Target="http://www.ncbi.nlm.nih.gov/pubmed?term=Benatti%20P%5BAuthor%5D&amp;cauthor=true&amp;cauthor_uid=11691795" TargetMode="External"/><Relationship Id="rId70" Type="http://schemas.openxmlformats.org/officeDocument/2006/relationships/hyperlink" Target="http://www.ncbi.nlm.nih.gov/pubmed?term=de%20la%20Chapelle%20A%5BAuthor%5D&amp;cauthor=true&amp;cauthor_uid=12621137" TargetMode="External"/><Relationship Id="rId75" Type="http://schemas.openxmlformats.org/officeDocument/2006/relationships/hyperlink" Target="http://www.ncbi.nlm.nih.gov/pubmed?term=Thomas%20PD%5BAuthor%5D&amp;cauthor=true&amp;cauthor_uid=12952881" TargetMode="External"/><Relationship Id="rId83" Type="http://schemas.openxmlformats.org/officeDocument/2006/relationships/hyperlink" Target="http://www.ncbi.nlm.nih.gov/pubmed?term=Narechania%20A%5BAuthor%5D&amp;cauthor=true&amp;cauthor_uid=12952881" TargetMode="External"/><Relationship Id="rId88" Type="http://schemas.openxmlformats.org/officeDocument/2006/relationships/hyperlink" Target="http://www.ncbi.nlm.nih.gov/pubmed?term=%22Amodeo%20V%22%5BAuthor%5D" TargetMode="External"/><Relationship Id="rId91" Type="http://schemas.openxmlformats.org/officeDocument/2006/relationships/hyperlink" Target="http://www.ncbi.nlm.nih.gov/pubmed?term=%22Fanale%20D%22%5BAuthor%5D" TargetMode="External"/><Relationship Id="rId96" Type="http://schemas.openxmlformats.org/officeDocument/2006/relationships/hyperlink" Target="http://www.ncbi.nlm.nih.gov/pubmed/22260151" TargetMode="External"/><Relationship Id="rId111" Type="http://schemas.openxmlformats.org/officeDocument/2006/relationships/image" Target="media/image28.emf"/><Relationship Id="rId132" Type="http://schemas.openxmlformats.org/officeDocument/2006/relationships/image" Target="media/image49.emf"/><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cancer.gov/Common/PopUps/popDefinition.aspx?id=CDR0000046562&amp;version=Patient&amp;language=English" TargetMode="External"/><Relationship Id="rId23" Type="http://schemas.openxmlformats.org/officeDocument/2006/relationships/hyperlink" Target="http://www.cancer.gov/Common/PopUps/popDefinition.aspx?id=CDR00000702087&amp;version=Patient&amp;language=English" TargetMode="External"/><Relationship Id="rId28" Type="http://schemas.openxmlformats.org/officeDocument/2006/relationships/image" Target="media/image3.png"/><Relationship Id="rId36" Type="http://schemas.openxmlformats.org/officeDocument/2006/relationships/hyperlink" Target="http://genetics.bwh.harvard.edu/pph2/" TargetMode="External"/><Relationship Id="rId49" Type="http://schemas.openxmlformats.org/officeDocument/2006/relationships/hyperlink" Target="http://snpanalyzer.uthsc.edu/" TargetMode="External"/><Relationship Id="rId57" Type="http://schemas.openxmlformats.org/officeDocument/2006/relationships/hyperlink" Target="http://www.ncbi.nlm.nih.gov/pubmed?term=Yan%20H%5BAuthor%5D&amp;cauthor=true&amp;cauthor_uid=11691795" TargetMode="External"/><Relationship Id="rId106" Type="http://schemas.openxmlformats.org/officeDocument/2006/relationships/image" Target="media/image23.emf"/><Relationship Id="rId114" Type="http://schemas.openxmlformats.org/officeDocument/2006/relationships/image" Target="media/image31.emf"/><Relationship Id="rId119" Type="http://schemas.openxmlformats.org/officeDocument/2006/relationships/image" Target="media/image36.emf"/><Relationship Id="rId127" Type="http://schemas.openxmlformats.org/officeDocument/2006/relationships/image" Target="media/image44.emf"/><Relationship Id="rId10" Type="http://schemas.openxmlformats.org/officeDocument/2006/relationships/image" Target="media/image2.emf"/><Relationship Id="rId31" Type="http://schemas.openxmlformats.org/officeDocument/2006/relationships/image" Target="media/image6.png"/><Relationship Id="rId44" Type="http://schemas.openxmlformats.org/officeDocument/2006/relationships/hyperlink" Target="http://www.ncbi.nlm.nih.gov/pubmed?term=%22Magliery%20TJ%22%5BAuthor%5D" TargetMode="External"/><Relationship Id="rId52" Type="http://schemas.openxmlformats.org/officeDocument/2006/relationships/image" Target="media/image12.png"/><Relationship Id="rId60" Type="http://schemas.openxmlformats.org/officeDocument/2006/relationships/hyperlink" Target="http://www.ncbi.nlm.nih.gov/pubmed?term=Bisgaard%20ML%5BAuthor%5D&amp;cauthor=true&amp;cauthor_uid=11691795" TargetMode="External"/><Relationship Id="rId65" Type="http://schemas.openxmlformats.org/officeDocument/2006/relationships/hyperlink" Target="http://www.ncbi.nlm.nih.gov/pubmed?term=Ponz%20de%20Leon%20M%5BAuthor%5D&amp;cauthor=true&amp;cauthor_uid=11691795" TargetMode="External"/><Relationship Id="rId73" Type="http://schemas.openxmlformats.org/officeDocument/2006/relationships/hyperlink" Target="http://www.ncbi.nlm.nih.gov/pubmed?term=Henikoff%20S%5BAuthor%5D&amp;cauthor=true&amp;cauthor_uid=12824425" TargetMode="External"/><Relationship Id="rId78" Type="http://schemas.openxmlformats.org/officeDocument/2006/relationships/hyperlink" Target="http://www.ncbi.nlm.nih.gov/pubmed?term=Mi%20H%5BAuthor%5D&amp;cauthor=true&amp;cauthor_uid=12952881" TargetMode="External"/><Relationship Id="rId81" Type="http://schemas.openxmlformats.org/officeDocument/2006/relationships/hyperlink" Target="http://www.ncbi.nlm.nih.gov/pubmed?term=Diemer%20K%5BAuthor%5D&amp;cauthor=true&amp;cauthor_uid=12952881" TargetMode="External"/><Relationship Id="rId86" Type="http://schemas.openxmlformats.org/officeDocument/2006/relationships/hyperlink" Target="http://www.ncbi.nlm.nih.gov/pubmed?term=%22Gaudio%20FD%22%5BAuthor%5D" TargetMode="External"/><Relationship Id="rId94" Type="http://schemas.openxmlformats.org/officeDocument/2006/relationships/hyperlink" Target="http://www.ncbi.nlm.nih.gov/pubmed?term=%22Bazan%20V%22%5BAuthor%5D" TargetMode="External"/><Relationship Id="rId99" Type="http://schemas.openxmlformats.org/officeDocument/2006/relationships/image" Target="media/image16.emf"/><Relationship Id="rId101" Type="http://schemas.openxmlformats.org/officeDocument/2006/relationships/image" Target="media/image18.emf"/><Relationship Id="rId122" Type="http://schemas.openxmlformats.org/officeDocument/2006/relationships/image" Target="media/image39.emf"/><Relationship Id="rId130" Type="http://schemas.openxmlformats.org/officeDocument/2006/relationships/image" Target="media/image47.emf"/><Relationship Id="rId135" Type="http://schemas.openxmlformats.org/officeDocument/2006/relationships/image" Target="media/image52.emf"/><Relationship Id="rId4" Type="http://schemas.openxmlformats.org/officeDocument/2006/relationships/settings" Target="settings.xml"/><Relationship Id="rId9" Type="http://schemas.openxmlformats.org/officeDocument/2006/relationships/hyperlink" Target="http://cancer.org/Cancer/CancerCauses/GeneticsandCancer/heredity-and-cancer" TargetMode="External"/><Relationship Id="rId13" Type="http://schemas.openxmlformats.org/officeDocument/2006/relationships/hyperlink" Target="http://www.cancer.gov/Common/PopUps/popDefinition.aspx?id=CDR0000046678&amp;version=Patient&amp;language=English" TargetMode="External"/><Relationship Id="rId18" Type="http://schemas.openxmlformats.org/officeDocument/2006/relationships/hyperlink" Target="http://www.cancer.gov/Common/PopUps/popDefinition.aspx?id=CDR0000046774&amp;version=Patient&amp;language=English" TargetMode="External"/><Relationship Id="rId39" Type="http://schemas.openxmlformats.org/officeDocument/2006/relationships/hyperlink" Target="http://enigmaconsortium.org" TargetMode="External"/><Relationship Id="rId109" Type="http://schemas.openxmlformats.org/officeDocument/2006/relationships/image" Target="media/image26.emf"/><Relationship Id="rId34" Type="http://schemas.openxmlformats.org/officeDocument/2006/relationships/hyperlink" Target="http://agvgd.iarc.fr/alignments.php" TargetMode="External"/><Relationship Id="rId50" Type="http://schemas.openxmlformats.org/officeDocument/2006/relationships/hyperlink" Target="http://mmb.pcb.ub.es/PMut/" TargetMode="External"/><Relationship Id="rId55" Type="http://schemas.openxmlformats.org/officeDocument/2006/relationships/hyperlink" Target="http://www.ncbi.nlm.nih.gov/pubmed/?term=Chen+J%2C+Silver+DP%2C+Walpita+D%2C+Cantor+SB%2C+Gazdar+AF%2C+Tomlinson+G%2C+Couch+FJ%2C+Weber+BL%2C+Ashley+T%2C+Livingston+DM%2C+Scully+R.+Stable+interaction+between+the+products+of+the+BRCA1+and+BRCA2+tumor+suppressor+genes+in+mitotic+and+meiotic" TargetMode="External"/><Relationship Id="rId76" Type="http://schemas.openxmlformats.org/officeDocument/2006/relationships/hyperlink" Target="http://www.ncbi.nlm.nih.gov/pubmed?term=Campbell%20MJ%5BAuthor%5D&amp;cauthor=true&amp;cauthor_uid=12952881" TargetMode="External"/><Relationship Id="rId97" Type="http://schemas.openxmlformats.org/officeDocument/2006/relationships/hyperlink" Target="http://www.ingentaconnect.com/content/ben/cwhr" TargetMode="External"/><Relationship Id="rId104" Type="http://schemas.openxmlformats.org/officeDocument/2006/relationships/image" Target="media/image21.emf"/><Relationship Id="rId120" Type="http://schemas.openxmlformats.org/officeDocument/2006/relationships/image" Target="media/image37.emf"/><Relationship Id="rId125" Type="http://schemas.openxmlformats.org/officeDocument/2006/relationships/image" Target="media/image42.emf"/><Relationship Id="rId141"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ncbi.nlm.nih.gov/pubmed/12621137" TargetMode="External"/><Relationship Id="rId92" Type="http://schemas.openxmlformats.org/officeDocument/2006/relationships/hyperlink" Target="http://www.ncbi.nlm.nih.gov/pubmed?term=%22Margarese%20N%22%5BAuthor%5D" TargetMode="Externa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hyperlink" Target="http://www.cancer.gov/Common/PopUps/popDefinition.aspx?id=CDR0000044550&amp;version=Patient&amp;language=English" TargetMode="External"/><Relationship Id="rId40" Type="http://schemas.openxmlformats.org/officeDocument/2006/relationships/image" Target="media/image8.png"/><Relationship Id="rId45" Type="http://schemas.openxmlformats.org/officeDocument/2006/relationships/hyperlink" Target="http://www.ncbi.nlm.nih.gov/pubmed?term=%22Sarkar%20M%22%5BAuthor%5D" TargetMode="External"/><Relationship Id="rId66" Type="http://schemas.openxmlformats.org/officeDocument/2006/relationships/hyperlink" Target="http://www.ncbi.nlm.nih.gov/pubmed?term=Peltom%C3%A4ki%20P%5BAuthor%5D&amp;cauthor=true&amp;cauthor_uid=11691795" TargetMode="External"/><Relationship Id="rId87" Type="http://schemas.openxmlformats.org/officeDocument/2006/relationships/hyperlink" Target="http://www.ncbi.nlm.nih.gov/pubmed?term=%22Terrasi%20M%22%5BAuthor%5D" TargetMode="External"/><Relationship Id="rId110" Type="http://schemas.openxmlformats.org/officeDocument/2006/relationships/image" Target="media/image27.emf"/><Relationship Id="rId115" Type="http://schemas.openxmlformats.org/officeDocument/2006/relationships/image" Target="media/image32.emf"/><Relationship Id="rId131" Type="http://schemas.openxmlformats.org/officeDocument/2006/relationships/image" Target="media/image48.emf"/><Relationship Id="rId136" Type="http://schemas.openxmlformats.org/officeDocument/2006/relationships/image" Target="media/image53.emf"/><Relationship Id="rId61" Type="http://schemas.openxmlformats.org/officeDocument/2006/relationships/hyperlink" Target="http://www.ncbi.nlm.nih.gov/pubmed?term=Pedroni%20M%5BAuthor%5D&amp;cauthor=true&amp;cauthor_uid=11691795" TargetMode="External"/><Relationship Id="rId82" Type="http://schemas.openxmlformats.org/officeDocument/2006/relationships/hyperlink" Target="http://www.ncbi.nlm.nih.gov/pubmed?term=Muruganujan%20A%5BAuthor%5D&amp;cauthor=true&amp;cauthor_uid=12952881" TargetMode="External"/><Relationship Id="rId19" Type="http://schemas.openxmlformats.org/officeDocument/2006/relationships/hyperlink" Target="http://www.cancer.gov/Common/PopUps/popDefinition.aspx?id=CDR0000440115&amp;version=Patient&amp;language=English" TargetMode="External"/><Relationship Id="rId14" Type="http://schemas.openxmlformats.org/officeDocument/2006/relationships/hyperlink" Target="http://www.cancer.gov/Common/PopUps/popDefinition.aspx?id=CDR0000044882&amp;version=Patient&amp;language=English" TargetMode="External"/><Relationship Id="rId30" Type="http://schemas.openxmlformats.org/officeDocument/2006/relationships/image" Target="media/image5.png"/><Relationship Id="rId35" Type="http://schemas.openxmlformats.org/officeDocument/2006/relationships/hyperlink" Target="http://sift.jcvi.org" TargetMode="External"/><Relationship Id="rId56" Type="http://schemas.openxmlformats.org/officeDocument/2006/relationships/hyperlink" Target="http://www.ncbi.nlm.nih.gov/pubmed?term=Liu%20T%5BAuthor%5D&amp;cauthor=true&amp;cauthor_uid=11691795" TargetMode="External"/><Relationship Id="rId77" Type="http://schemas.openxmlformats.org/officeDocument/2006/relationships/hyperlink" Target="http://www.ncbi.nlm.nih.gov/pubmed?term=Kejariwal%20A%5BAuthor%5D&amp;cauthor=true&amp;cauthor_uid=12952881" TargetMode="External"/><Relationship Id="rId100" Type="http://schemas.openxmlformats.org/officeDocument/2006/relationships/image" Target="media/image17.emf"/><Relationship Id="rId105" Type="http://schemas.openxmlformats.org/officeDocument/2006/relationships/image" Target="media/image22.emf"/><Relationship Id="rId126" Type="http://schemas.openxmlformats.org/officeDocument/2006/relationships/image" Target="media/image4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19463E-A25A-48C4-9E16-79853A897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20515</Words>
  <Characters>116939</Characters>
  <Application>Microsoft Office Word</Application>
  <DocSecurity>0</DocSecurity>
  <Lines>974</Lines>
  <Paragraphs>274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int</Company>
  <LinksUpToDate>false</LinksUpToDate>
  <CharactersWithSpaces>137180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margaresenaomi</dc:creator>
  <cp:keywords/>
  <dc:description/>
  <cp:lastModifiedBy>margaresenaomi</cp:lastModifiedBy>
  <cp:revision>2</cp:revision>
  <cp:lastPrinted>2014-01-13T12:36:00Z</cp:lastPrinted>
  <dcterms:created xsi:type="dcterms:W3CDTF">2014-01-13T12:39:00Z</dcterms:created>
  <dcterms:modified xsi:type="dcterms:W3CDTF">2014-01-13T12:39:00Z</dcterms:modified>
</cp:coreProperties>
</file>