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2C827" w14:textId="36D49625" w:rsidR="002713F4" w:rsidRDefault="00547A22" w:rsidP="00C83C92">
      <w:pPr>
        <w:pStyle w:val="Titolosommario"/>
        <w:rPr>
          <w:rFonts w:ascii="Times New Roman" w:eastAsiaTheme="minorHAnsi" w:hAnsi="Times New Roman" w:cs="Times New Roman"/>
          <w:color w:val="auto"/>
          <w:sz w:val="22"/>
          <w:szCs w:val="22"/>
          <w:lang w:val="en-GB" w:eastAsia="en-US"/>
        </w:rPr>
      </w:pPr>
      <w:r w:rsidRPr="00044D69">
        <w:rPr>
          <w:rFonts w:cs="Calibri"/>
          <w:noProof/>
          <w:sz w:val="24"/>
          <w:szCs w:val="24"/>
        </w:rPr>
        <w:drawing>
          <wp:anchor distT="0" distB="0" distL="114300" distR="114300" simplePos="0" relativeHeight="251658239" behindDoc="0" locked="0" layoutInCell="1" allowOverlap="1" wp14:anchorId="263BA7FC" wp14:editId="2F87E186">
            <wp:simplePos x="0" y="0"/>
            <wp:positionH relativeFrom="column">
              <wp:posOffset>-664064</wp:posOffset>
            </wp:positionH>
            <wp:positionV relativeFrom="paragraph">
              <wp:posOffset>-644574</wp:posOffset>
            </wp:positionV>
            <wp:extent cx="2219325" cy="1009650"/>
            <wp:effectExtent l="0" t="0" r="9525" b="0"/>
            <wp:wrapNone/>
            <wp:docPr id="13498394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1932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FC07C9" w14:textId="6FCD6CD2" w:rsidR="002713F4" w:rsidRPr="005875BD" w:rsidRDefault="002713F4" w:rsidP="002713F4">
      <w:pPr>
        <w:jc w:val="center"/>
        <w:rPr>
          <w:rFonts w:cs="Calibri"/>
          <w:i/>
          <w:color w:val="0000FF"/>
          <w:sz w:val="32"/>
          <w:szCs w:val="32"/>
          <w:lang w:val="it-IT"/>
        </w:rPr>
      </w:pPr>
      <w:r w:rsidRPr="005875BD">
        <w:rPr>
          <w:rFonts w:cs="Calibri"/>
          <w:sz w:val="32"/>
          <w:szCs w:val="32"/>
          <w:lang w:val="it-IT"/>
        </w:rPr>
        <w:t>CICLO XXXVII</w:t>
      </w:r>
    </w:p>
    <w:p w14:paraId="0EC3B3BE" w14:textId="77777777" w:rsidR="002713F4" w:rsidRPr="005875BD" w:rsidRDefault="002713F4" w:rsidP="002713F4">
      <w:pPr>
        <w:jc w:val="center"/>
        <w:rPr>
          <w:rFonts w:cs="Calibri"/>
          <w:sz w:val="24"/>
          <w:szCs w:val="24"/>
          <w:lang w:val="it-IT"/>
        </w:rPr>
      </w:pPr>
    </w:p>
    <w:p w14:paraId="04D32E1C" w14:textId="77777777" w:rsidR="002713F4" w:rsidRPr="005875BD" w:rsidRDefault="002713F4" w:rsidP="002713F4">
      <w:pPr>
        <w:jc w:val="center"/>
        <w:rPr>
          <w:rFonts w:cs="Calibri"/>
          <w:sz w:val="24"/>
          <w:szCs w:val="24"/>
          <w:lang w:val="it-IT"/>
        </w:rPr>
      </w:pPr>
      <w:r w:rsidRPr="005875BD">
        <w:rPr>
          <w:rFonts w:cs="Calibri"/>
          <w:sz w:val="24"/>
          <w:szCs w:val="24"/>
          <w:lang w:val="it-IT"/>
        </w:rPr>
        <w:t>COORDINATORE Prof. Gian Maria Rossolini</w:t>
      </w:r>
    </w:p>
    <w:p w14:paraId="755FB43E" w14:textId="77777777" w:rsidR="002713F4" w:rsidRPr="005875BD" w:rsidRDefault="002713F4" w:rsidP="002713F4">
      <w:pPr>
        <w:rPr>
          <w:rFonts w:cs="Calibri"/>
          <w:sz w:val="24"/>
          <w:szCs w:val="24"/>
          <w:lang w:val="it-IT"/>
        </w:rPr>
      </w:pPr>
    </w:p>
    <w:p w14:paraId="7392AE80" w14:textId="77777777" w:rsidR="002713F4" w:rsidRPr="005875BD" w:rsidRDefault="002713F4" w:rsidP="002713F4">
      <w:pPr>
        <w:jc w:val="center"/>
        <w:rPr>
          <w:rFonts w:cs="Calibri"/>
          <w:i/>
          <w:sz w:val="24"/>
          <w:szCs w:val="24"/>
          <w:lang w:val="it-IT"/>
        </w:rPr>
      </w:pPr>
    </w:p>
    <w:p w14:paraId="5D3D47A1" w14:textId="77777777" w:rsidR="002713F4" w:rsidRDefault="002713F4" w:rsidP="002713F4">
      <w:pPr>
        <w:pStyle w:val="NormaleDiDA"/>
        <w:spacing w:line="276" w:lineRule="auto"/>
        <w:ind w:left="284"/>
        <w:jc w:val="center"/>
        <w:rPr>
          <w:b/>
          <w:sz w:val="44"/>
          <w:szCs w:val="72"/>
          <w:lang w:val="en-US"/>
        </w:rPr>
      </w:pPr>
      <w:r w:rsidRPr="00F236DF">
        <w:rPr>
          <w:b/>
          <w:sz w:val="44"/>
          <w:szCs w:val="72"/>
          <w:lang w:val="en-US"/>
        </w:rPr>
        <w:t xml:space="preserve">Machine </w:t>
      </w:r>
      <w:r>
        <w:rPr>
          <w:b/>
          <w:sz w:val="44"/>
          <w:szCs w:val="72"/>
          <w:lang w:val="en-US"/>
        </w:rPr>
        <w:t>L</w:t>
      </w:r>
      <w:r w:rsidRPr="00F236DF">
        <w:rPr>
          <w:b/>
          <w:sz w:val="44"/>
          <w:szCs w:val="72"/>
          <w:lang w:val="en-US"/>
        </w:rPr>
        <w:t xml:space="preserve">earning </w:t>
      </w:r>
      <w:r>
        <w:rPr>
          <w:b/>
          <w:sz w:val="44"/>
          <w:szCs w:val="72"/>
          <w:lang w:val="en-US"/>
        </w:rPr>
        <w:t>for Risk Stratification in Atrial Fibrillation</w:t>
      </w:r>
    </w:p>
    <w:p w14:paraId="12F1D152" w14:textId="74D468B1" w:rsidR="002713F4" w:rsidRPr="00D87005" w:rsidRDefault="002713F4" w:rsidP="002713F4">
      <w:pPr>
        <w:pStyle w:val="NormaleDiDA"/>
        <w:spacing w:line="276" w:lineRule="auto"/>
        <w:ind w:left="284"/>
        <w:jc w:val="center"/>
        <w:rPr>
          <w:b/>
          <w:i/>
          <w:iCs/>
          <w:sz w:val="44"/>
          <w:szCs w:val="72"/>
          <w:lang w:val="en-US"/>
        </w:rPr>
      </w:pPr>
    </w:p>
    <w:p w14:paraId="61F7E47E" w14:textId="77777777" w:rsidR="002713F4" w:rsidRPr="00D87005" w:rsidRDefault="002713F4" w:rsidP="002713F4">
      <w:pPr>
        <w:rPr>
          <w:rFonts w:cs="Calibri"/>
          <w:i/>
          <w:iCs/>
          <w:sz w:val="24"/>
          <w:szCs w:val="24"/>
          <w:lang w:val="en-US"/>
        </w:rPr>
      </w:pPr>
    </w:p>
    <w:p w14:paraId="7E05AE54" w14:textId="77777777" w:rsidR="002713F4" w:rsidRPr="00D87005" w:rsidRDefault="002713F4" w:rsidP="002713F4">
      <w:pPr>
        <w:rPr>
          <w:rFonts w:cs="Calibri"/>
          <w:sz w:val="24"/>
          <w:szCs w:val="24"/>
          <w:lang w:val="en-US"/>
        </w:rPr>
      </w:pPr>
    </w:p>
    <w:p w14:paraId="3AFDD6AF" w14:textId="06E89A5B" w:rsidR="002713F4" w:rsidRPr="005875BD" w:rsidRDefault="002713F4" w:rsidP="002713F4">
      <w:pPr>
        <w:jc w:val="center"/>
        <w:rPr>
          <w:rFonts w:cs="Calibri"/>
          <w:sz w:val="24"/>
          <w:szCs w:val="24"/>
          <w:lang w:val="it-IT"/>
        </w:rPr>
      </w:pPr>
      <w:r w:rsidRPr="005875BD">
        <w:rPr>
          <w:rFonts w:cs="Calibri"/>
          <w:sz w:val="24"/>
          <w:szCs w:val="24"/>
          <w:lang w:val="it-IT"/>
        </w:rPr>
        <w:t xml:space="preserve">Settore Scientifico Disciplinare </w:t>
      </w:r>
      <w:r>
        <w:rPr>
          <w:rFonts w:cs="Calibri"/>
          <w:sz w:val="24"/>
          <w:szCs w:val="24"/>
          <w:lang w:val="it-IT"/>
        </w:rPr>
        <w:t>MED</w:t>
      </w:r>
      <w:r w:rsidRPr="005875BD">
        <w:rPr>
          <w:rFonts w:cs="Calibri"/>
          <w:sz w:val="24"/>
          <w:szCs w:val="24"/>
          <w:lang w:val="it-IT"/>
        </w:rPr>
        <w:t>/</w:t>
      </w:r>
      <w:r>
        <w:rPr>
          <w:rFonts w:cs="Calibri"/>
          <w:sz w:val="24"/>
          <w:szCs w:val="24"/>
          <w:lang w:val="it-IT"/>
        </w:rPr>
        <w:t>09</w:t>
      </w:r>
    </w:p>
    <w:p w14:paraId="3721CF51" w14:textId="77777777" w:rsidR="002713F4" w:rsidRDefault="002713F4" w:rsidP="002713F4">
      <w:pPr>
        <w:rPr>
          <w:rFonts w:cs="Calibri"/>
          <w:sz w:val="24"/>
          <w:szCs w:val="24"/>
          <w:lang w:val="it-IT"/>
        </w:rPr>
      </w:pPr>
    </w:p>
    <w:p w14:paraId="271B24CD" w14:textId="77777777" w:rsidR="002713F4" w:rsidRPr="005875BD" w:rsidRDefault="002713F4" w:rsidP="002713F4">
      <w:pPr>
        <w:rPr>
          <w:rFonts w:cs="Calibri"/>
          <w:sz w:val="24"/>
          <w:szCs w:val="24"/>
          <w:lang w:val="it-IT"/>
        </w:rPr>
      </w:pPr>
    </w:p>
    <w:p w14:paraId="575FA629" w14:textId="77777777" w:rsidR="002713F4" w:rsidRPr="005875BD" w:rsidRDefault="002713F4" w:rsidP="002713F4">
      <w:pPr>
        <w:rPr>
          <w:rFonts w:cs="Calibri"/>
          <w:sz w:val="24"/>
          <w:szCs w:val="24"/>
          <w:lang w:val="it-IT"/>
        </w:rPr>
      </w:pPr>
    </w:p>
    <w:p w14:paraId="0B765CFF" w14:textId="1F8BA0F2" w:rsidR="002713F4" w:rsidRPr="005875BD" w:rsidRDefault="002713F4" w:rsidP="002713F4">
      <w:pPr>
        <w:tabs>
          <w:tab w:val="left" w:pos="993"/>
          <w:tab w:val="left" w:pos="7230"/>
        </w:tabs>
        <w:rPr>
          <w:rFonts w:cs="Calibri"/>
          <w:sz w:val="24"/>
          <w:szCs w:val="24"/>
          <w:lang w:val="it-IT"/>
        </w:rPr>
      </w:pPr>
      <w:r w:rsidRPr="005875BD">
        <w:rPr>
          <w:rFonts w:cs="Calibri"/>
          <w:b/>
          <w:sz w:val="24"/>
          <w:szCs w:val="24"/>
          <w:lang w:val="it-IT"/>
        </w:rPr>
        <w:tab/>
      </w:r>
      <w:r>
        <w:rPr>
          <w:rFonts w:cs="Calibri"/>
          <w:b/>
          <w:sz w:val="24"/>
          <w:szCs w:val="24"/>
          <w:lang w:val="it-IT"/>
        </w:rPr>
        <w:t xml:space="preserve">      </w:t>
      </w:r>
      <w:r w:rsidRPr="005875BD">
        <w:rPr>
          <w:rFonts w:cs="Calibri"/>
          <w:b/>
          <w:sz w:val="24"/>
          <w:szCs w:val="24"/>
          <w:lang w:val="it-IT"/>
        </w:rPr>
        <w:t xml:space="preserve">Dottorando </w:t>
      </w:r>
      <w:r>
        <w:rPr>
          <w:rFonts w:cs="Calibri"/>
          <w:b/>
          <w:sz w:val="24"/>
          <w:szCs w:val="24"/>
          <w:lang w:val="it-IT"/>
        </w:rPr>
        <w:t xml:space="preserve">                                                                          </w:t>
      </w:r>
      <w:r w:rsidRPr="005875BD">
        <w:rPr>
          <w:rFonts w:cs="Calibri"/>
          <w:b/>
          <w:sz w:val="24"/>
          <w:szCs w:val="24"/>
          <w:lang w:val="it-IT"/>
        </w:rPr>
        <w:t>Tutore</w:t>
      </w:r>
      <w:r>
        <w:rPr>
          <w:rFonts w:cs="Calibri"/>
          <w:b/>
          <w:sz w:val="24"/>
          <w:szCs w:val="24"/>
          <w:lang w:val="it-IT"/>
        </w:rPr>
        <w:t xml:space="preserve">                                                          </w:t>
      </w:r>
    </w:p>
    <w:p w14:paraId="56DA5DE7" w14:textId="2051205B" w:rsidR="002713F4" w:rsidRPr="005875BD" w:rsidRDefault="002713F4" w:rsidP="002713F4">
      <w:pPr>
        <w:tabs>
          <w:tab w:val="left" w:pos="567"/>
          <w:tab w:val="left" w:pos="6521"/>
        </w:tabs>
        <w:rPr>
          <w:rFonts w:cs="Calibri"/>
          <w:sz w:val="24"/>
          <w:szCs w:val="24"/>
          <w:lang w:val="it-IT"/>
        </w:rPr>
      </w:pPr>
      <w:r>
        <w:rPr>
          <w:rFonts w:cs="Calibri"/>
          <w:noProof/>
          <w:sz w:val="24"/>
          <w:szCs w:val="24"/>
        </w:rPr>
        <w:drawing>
          <wp:anchor distT="0" distB="0" distL="114300" distR="114300" simplePos="0" relativeHeight="251659264" behindDoc="1" locked="0" layoutInCell="1" allowOverlap="1" wp14:anchorId="084E9C94" wp14:editId="4AD97D0E">
            <wp:simplePos x="0" y="0"/>
            <wp:positionH relativeFrom="column">
              <wp:posOffset>580537</wp:posOffset>
            </wp:positionH>
            <wp:positionV relativeFrom="paragraph">
              <wp:posOffset>285848</wp:posOffset>
            </wp:positionV>
            <wp:extent cx="1371600" cy="781685"/>
            <wp:effectExtent l="0" t="0" r="0" b="0"/>
            <wp:wrapTight wrapText="bothSides">
              <wp:wrapPolygon edited="0">
                <wp:start x="0" y="0"/>
                <wp:lineTo x="0" y="21056"/>
                <wp:lineTo x="21300" y="21056"/>
                <wp:lineTo x="21300" y="0"/>
                <wp:lineTo x="0" y="0"/>
              </wp:wrapPolygon>
            </wp:wrapTight>
            <wp:docPr id="4818445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844591" name="Immagine 48184459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371600" cy="781685"/>
                    </a:xfrm>
                    <a:prstGeom prst="rect">
                      <a:avLst/>
                    </a:prstGeom>
                  </pic:spPr>
                </pic:pic>
              </a:graphicData>
            </a:graphic>
            <wp14:sizeRelH relativeFrom="page">
              <wp14:pctWidth>0</wp14:pctWidth>
            </wp14:sizeRelH>
            <wp14:sizeRelV relativeFrom="page">
              <wp14:pctHeight>0</wp14:pctHeight>
            </wp14:sizeRelV>
          </wp:anchor>
        </w:drawing>
      </w:r>
      <w:r w:rsidRPr="005875BD">
        <w:rPr>
          <w:rFonts w:cs="Calibri"/>
          <w:sz w:val="24"/>
          <w:szCs w:val="24"/>
          <w:lang w:val="it-IT"/>
        </w:rPr>
        <w:tab/>
      </w:r>
      <w:r>
        <w:rPr>
          <w:rFonts w:cs="Calibri"/>
          <w:sz w:val="24"/>
          <w:szCs w:val="24"/>
          <w:lang w:val="it-IT"/>
        </w:rPr>
        <w:t xml:space="preserve">     </w:t>
      </w:r>
      <w:r w:rsidRPr="005875BD">
        <w:rPr>
          <w:rFonts w:cs="Calibri"/>
          <w:sz w:val="24"/>
          <w:szCs w:val="24"/>
          <w:lang w:val="it-IT"/>
        </w:rPr>
        <w:t xml:space="preserve">Dott. </w:t>
      </w:r>
      <w:r>
        <w:rPr>
          <w:rFonts w:cs="Calibri"/>
          <w:sz w:val="24"/>
          <w:szCs w:val="24"/>
          <w:lang w:val="it-IT"/>
        </w:rPr>
        <w:t xml:space="preserve">Bernardini Andrea                                             </w:t>
      </w:r>
      <w:r w:rsidRPr="005875BD">
        <w:rPr>
          <w:rFonts w:cs="Calibri"/>
          <w:sz w:val="24"/>
          <w:szCs w:val="24"/>
          <w:lang w:val="it-IT"/>
        </w:rPr>
        <w:t>Prof.</w:t>
      </w:r>
      <w:r>
        <w:rPr>
          <w:rFonts w:cs="Calibri"/>
          <w:sz w:val="24"/>
          <w:szCs w:val="24"/>
          <w:lang w:val="it-IT"/>
        </w:rPr>
        <w:t>ssa Marcucci Rossella</w:t>
      </w:r>
    </w:p>
    <w:p w14:paraId="12515AC3" w14:textId="77777777" w:rsidR="002713F4" w:rsidRPr="005875BD" w:rsidRDefault="002713F4" w:rsidP="002713F4">
      <w:pPr>
        <w:rPr>
          <w:rFonts w:cs="Calibri"/>
          <w:sz w:val="24"/>
          <w:szCs w:val="24"/>
          <w:lang w:val="it-IT"/>
        </w:rPr>
      </w:pPr>
      <w:r>
        <w:rPr>
          <w:rFonts w:cs="Calibri"/>
          <w:i/>
          <w:noProof/>
          <w:sz w:val="24"/>
          <w:szCs w:val="24"/>
          <w:lang w:val="it-IT"/>
        </w:rPr>
        <w:drawing>
          <wp:anchor distT="0" distB="0" distL="114300" distR="114300" simplePos="0" relativeHeight="251660288" behindDoc="1" locked="0" layoutInCell="1" allowOverlap="1" wp14:anchorId="149F7122" wp14:editId="0E2FA23E">
            <wp:simplePos x="0" y="0"/>
            <wp:positionH relativeFrom="margin">
              <wp:posOffset>3410390</wp:posOffset>
            </wp:positionH>
            <wp:positionV relativeFrom="paragraph">
              <wp:posOffset>85920</wp:posOffset>
            </wp:positionV>
            <wp:extent cx="1964055" cy="640080"/>
            <wp:effectExtent l="0" t="0" r="0" b="7620"/>
            <wp:wrapTight wrapText="bothSides">
              <wp:wrapPolygon edited="0">
                <wp:start x="0" y="0"/>
                <wp:lineTo x="0" y="21214"/>
                <wp:lineTo x="21370" y="21214"/>
                <wp:lineTo x="21370" y="0"/>
                <wp:lineTo x="0" y="0"/>
              </wp:wrapPolygon>
            </wp:wrapTight>
            <wp:docPr id="193735382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353824" name="Immagine 193735382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964055" cy="640080"/>
                    </a:xfrm>
                    <a:prstGeom prst="rect">
                      <a:avLst/>
                    </a:prstGeom>
                  </pic:spPr>
                </pic:pic>
              </a:graphicData>
            </a:graphic>
            <wp14:sizeRelH relativeFrom="page">
              <wp14:pctWidth>0</wp14:pctWidth>
            </wp14:sizeRelH>
            <wp14:sizeRelV relativeFrom="page">
              <wp14:pctHeight>0</wp14:pctHeight>
            </wp14:sizeRelV>
          </wp:anchor>
        </w:drawing>
      </w:r>
    </w:p>
    <w:p w14:paraId="56139745" w14:textId="77777777" w:rsidR="002713F4" w:rsidRPr="005875BD" w:rsidRDefault="002713F4" w:rsidP="002713F4">
      <w:pPr>
        <w:tabs>
          <w:tab w:val="left" w:pos="5812"/>
        </w:tabs>
        <w:rPr>
          <w:rFonts w:cs="Calibri"/>
          <w:i/>
          <w:sz w:val="24"/>
          <w:szCs w:val="24"/>
          <w:lang w:val="it-IT"/>
        </w:rPr>
      </w:pPr>
      <w:r w:rsidRPr="005875BD">
        <w:rPr>
          <w:rFonts w:cs="Calibri"/>
          <w:sz w:val="24"/>
          <w:szCs w:val="24"/>
          <w:lang w:val="it-IT"/>
        </w:rPr>
        <w:tab/>
      </w:r>
    </w:p>
    <w:p w14:paraId="489F2741" w14:textId="77777777" w:rsidR="002713F4" w:rsidRDefault="002713F4" w:rsidP="002713F4">
      <w:pPr>
        <w:rPr>
          <w:rFonts w:cs="Calibri"/>
          <w:sz w:val="24"/>
          <w:szCs w:val="24"/>
          <w:lang w:val="it-IT"/>
        </w:rPr>
      </w:pPr>
    </w:p>
    <w:p w14:paraId="1CB1C5C0" w14:textId="77777777" w:rsidR="002713F4" w:rsidRPr="005875BD" w:rsidRDefault="002713F4" w:rsidP="002713F4">
      <w:pPr>
        <w:rPr>
          <w:rFonts w:cs="Calibri"/>
          <w:sz w:val="24"/>
          <w:szCs w:val="24"/>
          <w:lang w:val="it-IT"/>
        </w:rPr>
      </w:pPr>
    </w:p>
    <w:p w14:paraId="6AFC281F" w14:textId="77777777" w:rsidR="002713F4" w:rsidRPr="005875BD" w:rsidRDefault="002713F4" w:rsidP="002713F4">
      <w:pPr>
        <w:jc w:val="center"/>
        <w:rPr>
          <w:rFonts w:cs="Calibri"/>
          <w:b/>
          <w:sz w:val="24"/>
          <w:szCs w:val="24"/>
          <w:lang w:val="it-IT"/>
        </w:rPr>
      </w:pPr>
      <w:r>
        <w:rPr>
          <w:rFonts w:cs="Calibri"/>
          <w:b/>
          <w:sz w:val="24"/>
          <w:szCs w:val="24"/>
          <w:lang w:val="it-IT"/>
        </w:rPr>
        <w:t xml:space="preserve">  </w:t>
      </w:r>
      <w:r w:rsidRPr="005875BD">
        <w:rPr>
          <w:rFonts w:cs="Calibri"/>
          <w:b/>
          <w:sz w:val="24"/>
          <w:szCs w:val="24"/>
          <w:lang w:val="it-IT"/>
        </w:rPr>
        <w:t>Coordinatore</w:t>
      </w:r>
    </w:p>
    <w:p w14:paraId="669C1124" w14:textId="77777777" w:rsidR="002713F4" w:rsidRPr="005875BD" w:rsidRDefault="002713F4" w:rsidP="002713F4">
      <w:pPr>
        <w:tabs>
          <w:tab w:val="left" w:pos="567"/>
          <w:tab w:val="left" w:pos="6521"/>
        </w:tabs>
        <w:jc w:val="center"/>
        <w:rPr>
          <w:rFonts w:cs="Calibri"/>
          <w:i/>
          <w:sz w:val="24"/>
          <w:szCs w:val="24"/>
          <w:lang w:val="it-IT"/>
        </w:rPr>
      </w:pPr>
      <w:r>
        <w:rPr>
          <w:rFonts w:cs="Calibri"/>
          <w:sz w:val="24"/>
          <w:szCs w:val="24"/>
          <w:lang w:val="it-IT"/>
        </w:rPr>
        <w:t xml:space="preserve">  </w:t>
      </w:r>
      <w:r w:rsidRPr="005875BD">
        <w:rPr>
          <w:rFonts w:cs="Calibri"/>
          <w:sz w:val="24"/>
          <w:szCs w:val="24"/>
          <w:lang w:val="it-IT"/>
        </w:rPr>
        <w:t>Prof. Gian Maria Rossolini</w:t>
      </w:r>
    </w:p>
    <w:p w14:paraId="0C4A70DE" w14:textId="77777777" w:rsidR="002713F4" w:rsidRPr="005875BD" w:rsidRDefault="002713F4" w:rsidP="002713F4">
      <w:pPr>
        <w:tabs>
          <w:tab w:val="left" w:pos="567"/>
          <w:tab w:val="left" w:pos="6521"/>
        </w:tabs>
        <w:jc w:val="center"/>
        <w:rPr>
          <w:rFonts w:cs="Calibri"/>
          <w:sz w:val="24"/>
          <w:szCs w:val="24"/>
          <w:lang w:val="it-IT"/>
        </w:rPr>
      </w:pPr>
    </w:p>
    <w:p w14:paraId="02B61B15" w14:textId="77777777" w:rsidR="002713F4" w:rsidRDefault="002713F4" w:rsidP="002713F4">
      <w:pPr>
        <w:tabs>
          <w:tab w:val="left" w:pos="5812"/>
        </w:tabs>
        <w:jc w:val="center"/>
        <w:rPr>
          <w:rFonts w:cs="Calibri"/>
          <w:sz w:val="24"/>
          <w:szCs w:val="24"/>
          <w:lang w:val="it-IT"/>
        </w:rPr>
      </w:pPr>
      <w:r>
        <w:rPr>
          <w:rFonts w:cs="Calibri"/>
          <w:sz w:val="24"/>
          <w:szCs w:val="24"/>
          <w:lang w:val="it-IT"/>
        </w:rPr>
        <w:t xml:space="preserve">  </w:t>
      </w:r>
      <w:r w:rsidRPr="005875BD">
        <w:rPr>
          <w:rFonts w:cs="Calibri"/>
          <w:sz w:val="24"/>
          <w:szCs w:val="24"/>
          <w:lang w:val="it-IT"/>
        </w:rPr>
        <w:t>______________________________</w:t>
      </w:r>
    </w:p>
    <w:p w14:paraId="53E66BDA" w14:textId="77777777" w:rsidR="004263C8" w:rsidRDefault="004263C8" w:rsidP="002713F4">
      <w:pPr>
        <w:tabs>
          <w:tab w:val="left" w:pos="5812"/>
        </w:tabs>
        <w:jc w:val="center"/>
        <w:rPr>
          <w:rFonts w:cs="Calibri"/>
          <w:sz w:val="24"/>
          <w:szCs w:val="24"/>
          <w:lang w:val="it-IT"/>
        </w:rPr>
      </w:pPr>
    </w:p>
    <w:p w14:paraId="76336BE9" w14:textId="77777777" w:rsidR="004263C8" w:rsidRDefault="004263C8" w:rsidP="004263C8">
      <w:pPr>
        <w:spacing w:line="240" w:lineRule="auto"/>
        <w:jc w:val="both"/>
        <w:rPr>
          <w:rFonts w:ascii="Times New Roman" w:hAnsi="Times New Roman" w:cs="Times New Roman"/>
          <w:lang w:val="en-US"/>
        </w:rPr>
      </w:pPr>
    </w:p>
    <w:p w14:paraId="4CFD8CB7" w14:textId="77777777" w:rsidR="00F20BAD" w:rsidRDefault="00F20BAD" w:rsidP="004263C8">
      <w:pPr>
        <w:spacing w:line="240" w:lineRule="auto"/>
        <w:jc w:val="both"/>
        <w:rPr>
          <w:rFonts w:ascii="Times New Roman" w:hAnsi="Times New Roman" w:cs="Times New Roman"/>
          <w:lang w:val="en-US"/>
        </w:rPr>
      </w:pPr>
    </w:p>
    <w:p w14:paraId="0DFA2E05" w14:textId="77777777" w:rsidR="00F20BAD" w:rsidRDefault="00F20BAD" w:rsidP="004263C8">
      <w:pPr>
        <w:spacing w:line="240" w:lineRule="auto"/>
        <w:jc w:val="both"/>
        <w:rPr>
          <w:rFonts w:ascii="Times New Roman" w:hAnsi="Times New Roman" w:cs="Times New Roman"/>
          <w:lang w:val="en-US"/>
        </w:rPr>
      </w:pPr>
    </w:p>
    <w:p w14:paraId="5C51126A" w14:textId="77777777" w:rsidR="00F20BAD" w:rsidRDefault="00F20BAD" w:rsidP="004263C8">
      <w:pPr>
        <w:spacing w:line="240" w:lineRule="auto"/>
        <w:jc w:val="both"/>
        <w:rPr>
          <w:rFonts w:ascii="Times New Roman" w:hAnsi="Times New Roman" w:cs="Times New Roman"/>
          <w:lang w:val="en-US"/>
        </w:rPr>
      </w:pPr>
    </w:p>
    <w:p w14:paraId="790CFE49" w14:textId="2F7F9737" w:rsidR="004263C8" w:rsidRPr="00115F22" w:rsidRDefault="004263C8" w:rsidP="004263C8">
      <w:pPr>
        <w:spacing w:line="276" w:lineRule="auto"/>
        <w:jc w:val="right"/>
        <w:rPr>
          <w:rFonts w:ascii="Times New Roman" w:hAnsi="Times New Roman" w:cs="Times New Roman"/>
          <w:sz w:val="20"/>
          <w:lang w:val="en-US"/>
        </w:rPr>
      </w:pPr>
      <w:r w:rsidRPr="00115F22">
        <w:rPr>
          <w:rFonts w:ascii="Times New Roman" w:hAnsi="Times New Roman" w:cs="Times New Roman"/>
          <w:i/>
          <w:sz w:val="20"/>
          <w:lang w:val="en-US"/>
        </w:rPr>
        <w:t>«</w:t>
      </w:r>
      <w:r w:rsidRPr="004263C8">
        <w:rPr>
          <w:rFonts w:ascii="Times New Roman" w:hAnsi="Times New Roman" w:cs="Times New Roman"/>
          <w:i/>
          <w:sz w:val="20"/>
        </w:rPr>
        <w:t>They said, get back, honky cat</w:t>
      </w:r>
      <w:r w:rsidRPr="004263C8">
        <w:rPr>
          <w:rFonts w:ascii="Times New Roman" w:hAnsi="Times New Roman" w:cs="Times New Roman"/>
          <w:i/>
          <w:sz w:val="20"/>
        </w:rPr>
        <w:br/>
        <w:t>Better get back to the woods</w:t>
      </w:r>
      <w:r w:rsidRPr="004263C8">
        <w:rPr>
          <w:rFonts w:ascii="Times New Roman" w:hAnsi="Times New Roman" w:cs="Times New Roman"/>
          <w:i/>
          <w:sz w:val="20"/>
        </w:rPr>
        <w:br/>
      </w:r>
      <w:r>
        <w:rPr>
          <w:rFonts w:ascii="Times New Roman" w:hAnsi="Times New Roman" w:cs="Times New Roman"/>
          <w:i/>
          <w:sz w:val="20"/>
        </w:rPr>
        <w:t>Wel</w:t>
      </w:r>
      <w:r w:rsidRPr="004263C8">
        <w:rPr>
          <w:rFonts w:ascii="Times New Roman" w:hAnsi="Times New Roman" w:cs="Times New Roman"/>
          <w:i/>
          <w:sz w:val="20"/>
        </w:rPr>
        <w:t>l, I quit those days and my redneck ways</w:t>
      </w:r>
      <w:r w:rsidRPr="004263C8">
        <w:rPr>
          <w:rFonts w:ascii="Times New Roman" w:hAnsi="Times New Roman" w:cs="Times New Roman"/>
          <w:i/>
          <w:sz w:val="20"/>
        </w:rPr>
        <w:br/>
      </w:r>
      <w:r>
        <w:rPr>
          <w:rFonts w:ascii="Times New Roman" w:hAnsi="Times New Roman" w:cs="Times New Roman"/>
          <w:i/>
          <w:sz w:val="20"/>
        </w:rPr>
        <w:t>Oh, a</w:t>
      </w:r>
      <w:r w:rsidRPr="004263C8">
        <w:rPr>
          <w:rFonts w:ascii="Times New Roman" w:hAnsi="Times New Roman" w:cs="Times New Roman"/>
          <w:i/>
          <w:sz w:val="20"/>
        </w:rPr>
        <w:t xml:space="preserve"> change is gonna do me good</w:t>
      </w:r>
      <w:r>
        <w:rPr>
          <w:rFonts w:ascii="Times New Roman" w:hAnsi="Times New Roman" w:cs="Times New Roman"/>
          <w:i/>
          <w:sz w:val="20"/>
        </w:rPr>
        <w:t>»</w:t>
      </w:r>
    </w:p>
    <w:p w14:paraId="121064B7" w14:textId="0F559DF6" w:rsidR="004263C8" w:rsidRDefault="004263C8" w:rsidP="004263C8">
      <w:pPr>
        <w:tabs>
          <w:tab w:val="left" w:pos="5812"/>
        </w:tabs>
        <w:jc w:val="right"/>
        <w:rPr>
          <w:rFonts w:ascii="Times New Roman" w:hAnsi="Times New Roman" w:cs="Times New Roman"/>
          <w:i/>
          <w:sz w:val="20"/>
          <w:lang w:val="en-US"/>
        </w:rPr>
      </w:pPr>
      <w:r w:rsidRPr="00115F22">
        <w:rPr>
          <w:rFonts w:ascii="Times New Roman" w:hAnsi="Times New Roman" w:cs="Times New Roman"/>
          <w:b/>
          <w:sz w:val="20"/>
          <w:lang w:val="en-US"/>
        </w:rPr>
        <w:t xml:space="preserve">                                                  </w:t>
      </w:r>
      <w:r>
        <w:rPr>
          <w:rFonts w:ascii="Times New Roman" w:hAnsi="Times New Roman" w:cs="Times New Roman"/>
          <w:i/>
          <w:sz w:val="20"/>
          <w:lang w:val="en-US"/>
        </w:rPr>
        <w:t xml:space="preserve">Honky Cat, </w:t>
      </w:r>
      <w:r w:rsidR="00F20BAD">
        <w:rPr>
          <w:rFonts w:ascii="Times New Roman" w:hAnsi="Times New Roman" w:cs="Times New Roman"/>
          <w:i/>
          <w:sz w:val="20"/>
          <w:lang w:val="en-US"/>
        </w:rPr>
        <w:t>Elton John</w:t>
      </w:r>
      <w:r w:rsidR="00F20BAD" w:rsidRPr="00115F22">
        <w:rPr>
          <w:rFonts w:ascii="Times New Roman" w:hAnsi="Times New Roman" w:cs="Times New Roman"/>
          <w:i/>
          <w:sz w:val="20"/>
          <w:lang w:val="en-US"/>
        </w:rPr>
        <w:t>,</w:t>
      </w:r>
      <w:r w:rsidR="00F20BAD">
        <w:rPr>
          <w:rFonts w:ascii="Times New Roman" w:hAnsi="Times New Roman" w:cs="Times New Roman"/>
          <w:i/>
          <w:sz w:val="20"/>
          <w:lang w:val="en-US"/>
        </w:rPr>
        <w:t xml:space="preserve"> </w:t>
      </w:r>
      <w:r w:rsidRPr="00115F22">
        <w:rPr>
          <w:rFonts w:ascii="Times New Roman" w:hAnsi="Times New Roman" w:cs="Times New Roman"/>
          <w:i/>
          <w:sz w:val="20"/>
          <w:lang w:val="en-US"/>
        </w:rPr>
        <w:t>19</w:t>
      </w:r>
      <w:r>
        <w:rPr>
          <w:rFonts w:ascii="Times New Roman" w:hAnsi="Times New Roman" w:cs="Times New Roman"/>
          <w:i/>
          <w:sz w:val="20"/>
          <w:lang w:val="en-US"/>
        </w:rPr>
        <w:t>72</w:t>
      </w:r>
    </w:p>
    <w:p w14:paraId="1C07CCB9" w14:textId="77777777" w:rsidR="00F20BAD" w:rsidRDefault="00F20BAD" w:rsidP="004263C8">
      <w:pPr>
        <w:tabs>
          <w:tab w:val="left" w:pos="5812"/>
        </w:tabs>
        <w:jc w:val="right"/>
        <w:rPr>
          <w:rFonts w:ascii="Times New Roman" w:hAnsi="Times New Roman" w:cs="Times New Roman"/>
          <w:i/>
          <w:sz w:val="20"/>
          <w:lang w:val="en-US"/>
        </w:rPr>
      </w:pPr>
    </w:p>
    <w:p w14:paraId="745F47CA" w14:textId="77777777" w:rsidR="00F20BAD" w:rsidRDefault="00F20BAD" w:rsidP="004263C8">
      <w:pPr>
        <w:tabs>
          <w:tab w:val="left" w:pos="5812"/>
        </w:tabs>
        <w:jc w:val="right"/>
        <w:rPr>
          <w:rFonts w:ascii="Times New Roman" w:hAnsi="Times New Roman" w:cs="Times New Roman"/>
          <w:i/>
          <w:sz w:val="20"/>
          <w:lang w:val="en-US"/>
        </w:rPr>
      </w:pPr>
    </w:p>
    <w:p w14:paraId="5C83E454" w14:textId="7245A1DB" w:rsidR="004263C8" w:rsidRDefault="004263C8" w:rsidP="004263C8">
      <w:pPr>
        <w:tabs>
          <w:tab w:val="left" w:pos="5812"/>
        </w:tabs>
        <w:jc w:val="right"/>
        <w:rPr>
          <w:rFonts w:ascii="Times New Roman" w:hAnsi="Times New Roman" w:cs="Times New Roman"/>
          <w:i/>
          <w:sz w:val="20"/>
          <w:lang w:val="en-US"/>
        </w:rPr>
      </w:pPr>
      <w:r>
        <w:rPr>
          <w:rFonts w:ascii="Times New Roman" w:hAnsi="Times New Roman" w:cs="Times New Roman"/>
          <w:i/>
          <w:sz w:val="20"/>
          <w:lang w:val="en-US"/>
        </w:rPr>
        <w:t xml:space="preserve"> </w:t>
      </w:r>
    </w:p>
    <w:p w14:paraId="68E395AE" w14:textId="77777777" w:rsidR="004263C8" w:rsidRPr="004263C8" w:rsidRDefault="004263C8" w:rsidP="004263C8">
      <w:pPr>
        <w:tabs>
          <w:tab w:val="left" w:pos="5812"/>
        </w:tabs>
        <w:jc w:val="right"/>
        <w:rPr>
          <w:rFonts w:ascii="Times New Roman" w:hAnsi="Times New Roman" w:cs="Times New Roman"/>
          <w:i/>
          <w:sz w:val="20"/>
        </w:rPr>
      </w:pPr>
    </w:p>
    <w:p w14:paraId="0DD913DE" w14:textId="3A81C368" w:rsidR="004263C8" w:rsidRPr="004263C8" w:rsidRDefault="004263C8" w:rsidP="004263C8">
      <w:pPr>
        <w:tabs>
          <w:tab w:val="left" w:pos="5812"/>
        </w:tabs>
        <w:jc w:val="right"/>
        <w:rPr>
          <w:rFonts w:ascii="Times New Roman" w:hAnsi="Times New Roman" w:cs="Times New Roman"/>
          <w:i/>
          <w:sz w:val="20"/>
        </w:rPr>
      </w:pPr>
      <w:r w:rsidRPr="004263C8">
        <w:rPr>
          <w:rFonts w:ascii="Times New Roman" w:hAnsi="Times New Roman" w:cs="Times New Roman"/>
          <w:i/>
          <w:sz w:val="20"/>
        </w:rPr>
        <w:t xml:space="preserve">Melissa: </w:t>
      </w:r>
      <w:r w:rsidRPr="00115F22">
        <w:rPr>
          <w:rFonts w:ascii="Times New Roman" w:hAnsi="Times New Roman" w:cs="Times New Roman"/>
          <w:i/>
          <w:sz w:val="20"/>
          <w:lang w:val="en-US"/>
        </w:rPr>
        <w:t>«</w:t>
      </w:r>
      <w:r w:rsidRPr="004263C8">
        <w:rPr>
          <w:rFonts w:ascii="Times New Roman" w:hAnsi="Times New Roman" w:cs="Times New Roman"/>
          <w:i/>
          <w:sz w:val="20"/>
        </w:rPr>
        <w:t>Why do they call you the Duck?</w:t>
      </w:r>
      <w:r w:rsidRPr="004263C8">
        <w:rPr>
          <w:rFonts w:ascii="Times New Roman" w:hAnsi="Times New Roman" w:cs="Times New Roman"/>
          <w:i/>
          <w:sz w:val="20"/>
        </w:rPr>
        <w:t xml:space="preserve"> </w:t>
      </w:r>
      <w:r>
        <w:rPr>
          <w:rFonts w:ascii="Times New Roman" w:hAnsi="Times New Roman" w:cs="Times New Roman"/>
          <w:i/>
          <w:sz w:val="20"/>
        </w:rPr>
        <w:t>»</w:t>
      </w:r>
    </w:p>
    <w:p w14:paraId="59F6BBED" w14:textId="0745BFE5" w:rsidR="004263C8" w:rsidRDefault="004263C8" w:rsidP="00F20BAD">
      <w:pPr>
        <w:tabs>
          <w:tab w:val="left" w:pos="5812"/>
        </w:tabs>
        <w:jc w:val="right"/>
        <w:rPr>
          <w:rFonts w:ascii="Times New Roman" w:hAnsi="Times New Roman" w:cs="Times New Roman"/>
          <w:i/>
          <w:sz w:val="20"/>
        </w:rPr>
      </w:pPr>
      <w:r w:rsidRPr="004263C8">
        <w:rPr>
          <w:rFonts w:ascii="Times New Roman" w:hAnsi="Times New Roman" w:cs="Times New Roman"/>
          <w:i/>
          <w:sz w:val="20"/>
        </w:rPr>
        <w:t xml:space="preserve">Rubber Duck: </w:t>
      </w:r>
      <w:r w:rsidRPr="00115F22">
        <w:rPr>
          <w:rFonts w:ascii="Times New Roman" w:hAnsi="Times New Roman" w:cs="Times New Roman"/>
          <w:i/>
          <w:sz w:val="20"/>
          <w:lang w:val="en-US"/>
        </w:rPr>
        <w:t>«</w:t>
      </w:r>
      <w:r w:rsidRPr="004263C8">
        <w:rPr>
          <w:rFonts w:ascii="Times New Roman" w:hAnsi="Times New Roman" w:cs="Times New Roman"/>
          <w:i/>
          <w:sz w:val="20"/>
        </w:rPr>
        <w:t>Because it rhymes with "luck."</w:t>
      </w:r>
      <w:r w:rsidR="00F20BAD">
        <w:rPr>
          <w:rFonts w:ascii="Times New Roman" w:hAnsi="Times New Roman" w:cs="Times New Roman"/>
          <w:i/>
          <w:sz w:val="20"/>
        </w:rPr>
        <w:br/>
      </w:r>
      <w:r w:rsidRPr="004263C8">
        <w:rPr>
          <w:rFonts w:ascii="Times New Roman" w:hAnsi="Times New Roman" w:cs="Times New Roman"/>
          <w:i/>
          <w:sz w:val="20"/>
        </w:rPr>
        <w:t xml:space="preserve"> See, my daddy always told me to be just like a duck. </w:t>
      </w:r>
      <w:r w:rsidR="00F20BAD">
        <w:rPr>
          <w:rFonts w:ascii="Times New Roman" w:hAnsi="Times New Roman" w:cs="Times New Roman"/>
          <w:i/>
          <w:sz w:val="20"/>
        </w:rPr>
        <w:br/>
      </w:r>
      <w:r w:rsidRPr="004263C8">
        <w:rPr>
          <w:rFonts w:ascii="Times New Roman" w:hAnsi="Times New Roman" w:cs="Times New Roman"/>
          <w:i/>
          <w:sz w:val="20"/>
        </w:rPr>
        <w:t xml:space="preserve">Stay smooth on the surface and paddle like the devil </w:t>
      </w:r>
      <w:r w:rsidR="00F20BAD" w:rsidRPr="004263C8">
        <w:rPr>
          <w:rFonts w:ascii="Times New Roman" w:hAnsi="Times New Roman" w:cs="Times New Roman"/>
          <w:i/>
          <w:sz w:val="20"/>
        </w:rPr>
        <w:t>underneath!</w:t>
      </w:r>
      <w:r w:rsidR="00F20BAD">
        <w:rPr>
          <w:rFonts w:ascii="Times New Roman" w:hAnsi="Times New Roman" w:cs="Times New Roman"/>
          <w:i/>
          <w:sz w:val="20"/>
        </w:rPr>
        <w:t xml:space="preserve"> »</w:t>
      </w:r>
    </w:p>
    <w:p w14:paraId="14BDA2F8" w14:textId="49B39EB3" w:rsidR="00F20BAD" w:rsidRPr="004263C8" w:rsidRDefault="00F20BAD" w:rsidP="00F20BAD">
      <w:pPr>
        <w:tabs>
          <w:tab w:val="left" w:pos="5812"/>
        </w:tabs>
        <w:jc w:val="right"/>
        <w:rPr>
          <w:rFonts w:ascii="Times New Roman" w:hAnsi="Times New Roman" w:cs="Times New Roman"/>
          <w:i/>
          <w:sz w:val="20"/>
        </w:rPr>
      </w:pPr>
      <w:r>
        <w:rPr>
          <w:rFonts w:ascii="Times New Roman" w:hAnsi="Times New Roman" w:cs="Times New Roman"/>
          <w:i/>
          <w:sz w:val="20"/>
        </w:rPr>
        <w:t>Convoy,</w:t>
      </w:r>
      <w:r>
        <w:rPr>
          <w:rFonts w:ascii="Times New Roman" w:hAnsi="Times New Roman" w:cs="Times New Roman"/>
          <w:i/>
          <w:sz w:val="20"/>
        </w:rPr>
        <w:t xml:space="preserve"> directed by Sam Peckinpah, 1978</w:t>
      </w:r>
    </w:p>
    <w:p w14:paraId="7B60AD73" w14:textId="77777777" w:rsidR="004263C8" w:rsidRPr="004263C8" w:rsidRDefault="004263C8" w:rsidP="002713F4">
      <w:pPr>
        <w:tabs>
          <w:tab w:val="left" w:pos="5812"/>
        </w:tabs>
        <w:jc w:val="center"/>
        <w:rPr>
          <w:rFonts w:cs="Calibri"/>
          <w:sz w:val="24"/>
          <w:szCs w:val="24"/>
          <w:lang w:val="en-US"/>
        </w:rPr>
      </w:pPr>
    </w:p>
    <w:p w14:paraId="40F2F123" w14:textId="77777777" w:rsidR="004263C8" w:rsidRPr="004263C8" w:rsidRDefault="004263C8" w:rsidP="002713F4">
      <w:pPr>
        <w:tabs>
          <w:tab w:val="left" w:pos="5812"/>
        </w:tabs>
        <w:jc w:val="center"/>
        <w:rPr>
          <w:rFonts w:cs="Calibri"/>
          <w:sz w:val="24"/>
          <w:szCs w:val="24"/>
          <w:lang w:val="en-US"/>
        </w:rPr>
      </w:pPr>
    </w:p>
    <w:p w14:paraId="4C21910A" w14:textId="77777777" w:rsidR="004263C8" w:rsidRPr="004263C8" w:rsidRDefault="004263C8" w:rsidP="002713F4">
      <w:pPr>
        <w:tabs>
          <w:tab w:val="left" w:pos="5812"/>
        </w:tabs>
        <w:jc w:val="center"/>
        <w:rPr>
          <w:rFonts w:cs="Calibri"/>
          <w:sz w:val="24"/>
          <w:szCs w:val="24"/>
          <w:lang w:val="en-US"/>
        </w:rPr>
      </w:pPr>
    </w:p>
    <w:p w14:paraId="4E2F7EEA" w14:textId="77777777" w:rsidR="004263C8" w:rsidRPr="004263C8" w:rsidRDefault="004263C8" w:rsidP="002713F4">
      <w:pPr>
        <w:tabs>
          <w:tab w:val="left" w:pos="5812"/>
        </w:tabs>
        <w:jc w:val="center"/>
        <w:rPr>
          <w:rFonts w:cs="Calibri"/>
          <w:sz w:val="24"/>
          <w:szCs w:val="24"/>
          <w:lang w:val="en-US"/>
        </w:rPr>
      </w:pPr>
    </w:p>
    <w:p w14:paraId="0C17783A" w14:textId="77777777" w:rsidR="004263C8" w:rsidRPr="004263C8" w:rsidRDefault="004263C8" w:rsidP="002713F4">
      <w:pPr>
        <w:tabs>
          <w:tab w:val="left" w:pos="5812"/>
        </w:tabs>
        <w:jc w:val="center"/>
        <w:rPr>
          <w:rFonts w:cs="Calibri"/>
          <w:sz w:val="24"/>
          <w:szCs w:val="24"/>
          <w:lang w:val="en-US"/>
        </w:rPr>
      </w:pPr>
    </w:p>
    <w:p w14:paraId="77124C0E" w14:textId="77777777" w:rsidR="004263C8" w:rsidRPr="004263C8" w:rsidRDefault="004263C8" w:rsidP="002713F4">
      <w:pPr>
        <w:tabs>
          <w:tab w:val="left" w:pos="5812"/>
        </w:tabs>
        <w:jc w:val="center"/>
        <w:rPr>
          <w:rFonts w:cs="Calibri"/>
          <w:sz w:val="24"/>
          <w:szCs w:val="24"/>
          <w:lang w:val="en-US"/>
        </w:rPr>
      </w:pPr>
    </w:p>
    <w:p w14:paraId="61FA1BA9" w14:textId="77777777" w:rsidR="004263C8" w:rsidRPr="004263C8" w:rsidRDefault="004263C8" w:rsidP="002713F4">
      <w:pPr>
        <w:tabs>
          <w:tab w:val="left" w:pos="5812"/>
        </w:tabs>
        <w:jc w:val="center"/>
        <w:rPr>
          <w:rFonts w:cs="Calibri"/>
          <w:sz w:val="24"/>
          <w:szCs w:val="24"/>
          <w:lang w:val="en-US"/>
        </w:rPr>
      </w:pPr>
    </w:p>
    <w:p w14:paraId="5E34D5D5" w14:textId="77777777" w:rsidR="004263C8" w:rsidRPr="004263C8" w:rsidRDefault="004263C8" w:rsidP="002713F4">
      <w:pPr>
        <w:tabs>
          <w:tab w:val="left" w:pos="5812"/>
        </w:tabs>
        <w:jc w:val="center"/>
        <w:rPr>
          <w:rFonts w:cs="Calibri"/>
          <w:sz w:val="24"/>
          <w:szCs w:val="24"/>
          <w:lang w:val="en-US"/>
        </w:rPr>
      </w:pPr>
    </w:p>
    <w:p w14:paraId="078333C8" w14:textId="77777777" w:rsidR="004263C8" w:rsidRPr="004263C8" w:rsidRDefault="004263C8" w:rsidP="002713F4">
      <w:pPr>
        <w:tabs>
          <w:tab w:val="left" w:pos="5812"/>
        </w:tabs>
        <w:jc w:val="center"/>
        <w:rPr>
          <w:rFonts w:cs="Calibri"/>
          <w:sz w:val="24"/>
          <w:szCs w:val="24"/>
          <w:lang w:val="en-US"/>
        </w:rPr>
      </w:pPr>
    </w:p>
    <w:p w14:paraId="1E4E9654" w14:textId="77777777" w:rsidR="004263C8" w:rsidRPr="004263C8" w:rsidRDefault="004263C8" w:rsidP="002713F4">
      <w:pPr>
        <w:tabs>
          <w:tab w:val="left" w:pos="5812"/>
        </w:tabs>
        <w:jc w:val="center"/>
        <w:rPr>
          <w:rFonts w:cs="Calibri"/>
          <w:sz w:val="24"/>
          <w:szCs w:val="24"/>
          <w:lang w:val="en-US"/>
        </w:rPr>
      </w:pPr>
    </w:p>
    <w:p w14:paraId="70EBF2F3" w14:textId="77777777" w:rsidR="004263C8" w:rsidRPr="004263C8" w:rsidRDefault="004263C8" w:rsidP="002713F4">
      <w:pPr>
        <w:tabs>
          <w:tab w:val="left" w:pos="5812"/>
        </w:tabs>
        <w:jc w:val="center"/>
        <w:rPr>
          <w:rFonts w:cs="Calibri"/>
          <w:sz w:val="24"/>
          <w:szCs w:val="24"/>
          <w:lang w:val="en-US"/>
        </w:rPr>
      </w:pPr>
    </w:p>
    <w:p w14:paraId="37418C78" w14:textId="77777777" w:rsidR="004263C8" w:rsidRPr="004263C8" w:rsidRDefault="004263C8" w:rsidP="002713F4">
      <w:pPr>
        <w:tabs>
          <w:tab w:val="left" w:pos="5812"/>
        </w:tabs>
        <w:jc w:val="center"/>
        <w:rPr>
          <w:rFonts w:cs="Calibri"/>
          <w:sz w:val="24"/>
          <w:szCs w:val="24"/>
          <w:lang w:val="en-US"/>
        </w:rPr>
      </w:pPr>
    </w:p>
    <w:p w14:paraId="5DCC8D7E" w14:textId="77777777" w:rsidR="004263C8" w:rsidRPr="004263C8" w:rsidRDefault="004263C8" w:rsidP="002713F4">
      <w:pPr>
        <w:tabs>
          <w:tab w:val="left" w:pos="5812"/>
        </w:tabs>
        <w:jc w:val="center"/>
        <w:rPr>
          <w:rFonts w:cs="Calibri"/>
          <w:sz w:val="24"/>
          <w:szCs w:val="24"/>
          <w:lang w:val="en-US"/>
        </w:rPr>
      </w:pPr>
    </w:p>
    <w:sdt>
      <w:sdtPr>
        <w:rPr>
          <w:rFonts w:ascii="Times New Roman" w:hAnsi="Times New Roman" w:cs="Times New Roman"/>
          <w:sz w:val="24"/>
          <w:szCs w:val="24"/>
        </w:rPr>
        <w:id w:val="441035012"/>
        <w:docPartObj>
          <w:docPartGallery w:val="Table of Contents"/>
          <w:docPartUnique/>
        </w:docPartObj>
      </w:sdtPr>
      <w:sdtEndPr>
        <w:rPr>
          <w:b/>
          <w:bCs/>
        </w:rPr>
      </w:sdtEndPr>
      <w:sdtContent>
        <w:p w14:paraId="2EC1B477" w14:textId="5834F446" w:rsidR="004263C8" w:rsidRPr="004263C8" w:rsidRDefault="004263C8" w:rsidP="004263C8">
          <w:pPr>
            <w:tabs>
              <w:tab w:val="left" w:pos="5812"/>
            </w:tabs>
            <w:jc w:val="center"/>
            <w:rPr>
              <w:rFonts w:cs="Calibri"/>
              <w:sz w:val="24"/>
              <w:szCs w:val="24"/>
              <w:lang w:val="it-IT"/>
            </w:rPr>
          </w:pPr>
        </w:p>
        <w:p w14:paraId="3E695F66" w14:textId="1C16D8AA" w:rsidR="004263C8" w:rsidRPr="004263C8" w:rsidRDefault="002713F4">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r w:rsidRPr="004263C8">
            <w:rPr>
              <w:rFonts w:ascii="Times New Roman" w:hAnsi="Times New Roman" w:cs="Times New Roman"/>
              <w:sz w:val="24"/>
              <w:szCs w:val="24"/>
            </w:rPr>
            <w:fldChar w:fldCharType="begin"/>
          </w:r>
          <w:r w:rsidRPr="004263C8">
            <w:rPr>
              <w:rFonts w:ascii="Times New Roman" w:hAnsi="Times New Roman" w:cs="Times New Roman"/>
              <w:sz w:val="24"/>
              <w:szCs w:val="24"/>
            </w:rPr>
            <w:instrText xml:space="preserve"> TOC \o "1-3" \h \z \u </w:instrText>
          </w:r>
          <w:r w:rsidRPr="004263C8">
            <w:rPr>
              <w:rFonts w:ascii="Times New Roman" w:hAnsi="Times New Roman" w:cs="Times New Roman"/>
              <w:sz w:val="24"/>
              <w:szCs w:val="24"/>
            </w:rPr>
            <w:fldChar w:fldCharType="separate"/>
          </w:r>
          <w:hyperlink w:anchor="_Toc193649583" w:history="1">
            <w:r w:rsidR="004263C8" w:rsidRPr="004263C8">
              <w:rPr>
                <w:rStyle w:val="Collegamentoipertestuale"/>
                <w:rFonts w:ascii="Times New Roman" w:hAnsi="Times New Roman" w:cs="Times New Roman"/>
                <w:noProof/>
                <w:sz w:val="24"/>
                <w:szCs w:val="24"/>
              </w:rPr>
              <w:t>INTRODUCTION</w:t>
            </w:r>
            <w:r w:rsidR="004263C8" w:rsidRPr="004263C8">
              <w:rPr>
                <w:rFonts w:ascii="Times New Roman" w:hAnsi="Times New Roman" w:cs="Times New Roman"/>
                <w:noProof/>
                <w:webHidden/>
                <w:sz w:val="24"/>
                <w:szCs w:val="24"/>
              </w:rPr>
              <w:tab/>
            </w:r>
            <w:r w:rsidR="004263C8" w:rsidRPr="004263C8">
              <w:rPr>
                <w:rFonts w:ascii="Times New Roman" w:hAnsi="Times New Roman" w:cs="Times New Roman"/>
                <w:noProof/>
                <w:webHidden/>
                <w:sz w:val="24"/>
                <w:szCs w:val="24"/>
              </w:rPr>
              <w:fldChar w:fldCharType="begin"/>
            </w:r>
            <w:r w:rsidR="004263C8" w:rsidRPr="004263C8">
              <w:rPr>
                <w:rFonts w:ascii="Times New Roman" w:hAnsi="Times New Roman" w:cs="Times New Roman"/>
                <w:noProof/>
                <w:webHidden/>
                <w:sz w:val="24"/>
                <w:szCs w:val="24"/>
              </w:rPr>
              <w:instrText xml:space="preserve"> PAGEREF _Toc193649583 \h </w:instrText>
            </w:r>
            <w:r w:rsidR="004263C8" w:rsidRPr="004263C8">
              <w:rPr>
                <w:rFonts w:ascii="Times New Roman" w:hAnsi="Times New Roman" w:cs="Times New Roman"/>
                <w:noProof/>
                <w:webHidden/>
                <w:sz w:val="24"/>
                <w:szCs w:val="24"/>
              </w:rPr>
            </w:r>
            <w:r w:rsidR="004263C8" w:rsidRPr="004263C8">
              <w:rPr>
                <w:rFonts w:ascii="Times New Roman" w:hAnsi="Times New Roman" w:cs="Times New Roman"/>
                <w:noProof/>
                <w:webHidden/>
                <w:sz w:val="24"/>
                <w:szCs w:val="24"/>
              </w:rPr>
              <w:fldChar w:fldCharType="separate"/>
            </w:r>
            <w:r w:rsidR="004263C8" w:rsidRPr="004263C8">
              <w:rPr>
                <w:rFonts w:ascii="Times New Roman" w:hAnsi="Times New Roman" w:cs="Times New Roman"/>
                <w:noProof/>
                <w:webHidden/>
                <w:sz w:val="24"/>
                <w:szCs w:val="24"/>
              </w:rPr>
              <w:t>4</w:t>
            </w:r>
            <w:r w:rsidR="004263C8" w:rsidRPr="004263C8">
              <w:rPr>
                <w:rFonts w:ascii="Times New Roman" w:hAnsi="Times New Roman" w:cs="Times New Roman"/>
                <w:noProof/>
                <w:webHidden/>
                <w:sz w:val="24"/>
                <w:szCs w:val="24"/>
              </w:rPr>
              <w:fldChar w:fldCharType="end"/>
            </w:r>
          </w:hyperlink>
        </w:p>
        <w:p w14:paraId="6B7D9076" w14:textId="46599D12"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4" w:history="1">
            <w:r w:rsidRPr="004263C8">
              <w:rPr>
                <w:rStyle w:val="Collegamentoipertestuale"/>
                <w:rFonts w:ascii="Times New Roman" w:hAnsi="Times New Roman" w:cs="Times New Roman"/>
                <w:noProof/>
                <w:sz w:val="24"/>
                <w:szCs w:val="24"/>
                <w:lang w:val="en-US"/>
              </w:rPr>
              <w:t>AIM OF THE STUDY</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_Toc193649584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6</w:t>
            </w:r>
            <w:r w:rsidRPr="004263C8">
              <w:rPr>
                <w:rFonts w:ascii="Times New Roman" w:hAnsi="Times New Roman" w:cs="Times New Roman"/>
                <w:noProof/>
                <w:webHidden/>
                <w:sz w:val="24"/>
                <w:szCs w:val="24"/>
              </w:rPr>
              <w:fldChar w:fldCharType="end"/>
            </w:r>
          </w:hyperlink>
        </w:p>
        <w:p w14:paraId="4B1BF8DA" w14:textId="101AEE62"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5" w:history="1">
            <w:r w:rsidRPr="004263C8">
              <w:rPr>
                <w:rStyle w:val="Collegamentoipertestuale"/>
                <w:rFonts w:ascii="Times New Roman" w:hAnsi="Times New Roman" w:cs="Times New Roman"/>
                <w:noProof/>
                <w:sz w:val="24"/>
                <w:szCs w:val="24"/>
                <w:lang w:val="en-US"/>
              </w:rPr>
              <w:t>GRAPHICAL ABSTRACT</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_Toc193649585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7</w:t>
            </w:r>
            <w:r w:rsidRPr="004263C8">
              <w:rPr>
                <w:rFonts w:ascii="Times New Roman" w:hAnsi="Times New Roman" w:cs="Times New Roman"/>
                <w:noProof/>
                <w:webHidden/>
                <w:sz w:val="24"/>
                <w:szCs w:val="24"/>
              </w:rPr>
              <w:fldChar w:fldCharType="end"/>
            </w:r>
          </w:hyperlink>
        </w:p>
        <w:p w14:paraId="0B2691F3" w14:textId="527C0D51"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6" w:history="1">
            <w:r w:rsidRPr="004263C8">
              <w:rPr>
                <w:rStyle w:val="Collegamentoipertestuale"/>
                <w:rFonts w:ascii="Times New Roman" w:hAnsi="Times New Roman" w:cs="Times New Roman"/>
                <w:noProof/>
                <w:sz w:val="24"/>
                <w:szCs w:val="24"/>
              </w:rPr>
              <w:t>METHODS</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_Toc193649586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8</w:t>
            </w:r>
            <w:r w:rsidRPr="004263C8">
              <w:rPr>
                <w:rFonts w:ascii="Times New Roman" w:hAnsi="Times New Roman" w:cs="Times New Roman"/>
                <w:noProof/>
                <w:webHidden/>
                <w:sz w:val="24"/>
                <w:szCs w:val="24"/>
              </w:rPr>
              <w:fldChar w:fldCharType="end"/>
            </w:r>
          </w:hyperlink>
        </w:p>
        <w:p w14:paraId="61B9C714" w14:textId="4170417E"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7" w:history="1">
            <w:r w:rsidRPr="004263C8">
              <w:rPr>
                <w:rStyle w:val="Collegamentoipertestuale"/>
                <w:rFonts w:ascii="Times New Roman" w:hAnsi="Times New Roman" w:cs="Times New Roman"/>
                <w:noProof/>
                <w:sz w:val="24"/>
                <w:szCs w:val="24"/>
              </w:rPr>
              <w:t>RESULTS</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_Toc193649587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12</w:t>
            </w:r>
            <w:r w:rsidRPr="004263C8">
              <w:rPr>
                <w:rFonts w:ascii="Times New Roman" w:hAnsi="Times New Roman" w:cs="Times New Roman"/>
                <w:noProof/>
                <w:webHidden/>
                <w:sz w:val="24"/>
                <w:szCs w:val="24"/>
              </w:rPr>
              <w:fldChar w:fldCharType="end"/>
            </w:r>
          </w:hyperlink>
        </w:p>
        <w:p w14:paraId="2F174620" w14:textId="214C05A2"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8" w:history="1">
            <w:r w:rsidRPr="004263C8">
              <w:rPr>
                <w:rStyle w:val="Collegamentoipertestuale"/>
                <w:rFonts w:ascii="Times New Roman" w:hAnsi="Times New Roman" w:cs="Times New Roman"/>
                <w:noProof/>
                <w:sz w:val="24"/>
                <w:szCs w:val="24"/>
              </w:rPr>
              <w:t>DISCUSSION</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_Toc193649588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21</w:t>
            </w:r>
            <w:r w:rsidRPr="004263C8">
              <w:rPr>
                <w:rFonts w:ascii="Times New Roman" w:hAnsi="Times New Roman" w:cs="Times New Roman"/>
                <w:noProof/>
                <w:webHidden/>
                <w:sz w:val="24"/>
                <w:szCs w:val="24"/>
              </w:rPr>
              <w:fldChar w:fldCharType="end"/>
            </w:r>
          </w:hyperlink>
        </w:p>
        <w:p w14:paraId="2AE9F6C5" w14:textId="21C1075D"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89" w:history="1">
            <w:r w:rsidRPr="004263C8">
              <w:rPr>
                <w:rStyle w:val="Collegamentoipertestuale"/>
                <w:rFonts w:ascii="Times New Roman" w:hAnsi="Times New Roman" w:cs="Times New Roman"/>
                <w:noProof/>
                <w:sz w:val="24"/>
                <w:szCs w:val="24"/>
              </w:rPr>
              <w:t>CONCLUSIONS</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_Toc193649589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28</w:t>
            </w:r>
            <w:r w:rsidRPr="004263C8">
              <w:rPr>
                <w:rFonts w:ascii="Times New Roman" w:hAnsi="Times New Roman" w:cs="Times New Roman"/>
                <w:noProof/>
                <w:webHidden/>
                <w:sz w:val="24"/>
                <w:szCs w:val="24"/>
              </w:rPr>
              <w:fldChar w:fldCharType="end"/>
            </w:r>
          </w:hyperlink>
        </w:p>
        <w:p w14:paraId="6CAC9F6F" w14:textId="61BA19DE" w:rsidR="004263C8" w:rsidRPr="004263C8" w:rsidRDefault="004263C8">
          <w:pPr>
            <w:pStyle w:val="Sommario1"/>
            <w:tabs>
              <w:tab w:val="right" w:leader="dot" w:pos="8210"/>
            </w:tabs>
            <w:rPr>
              <w:rFonts w:ascii="Times New Roman" w:eastAsiaTheme="minorEastAsia" w:hAnsi="Times New Roman" w:cs="Times New Roman"/>
              <w:noProof/>
              <w:kern w:val="2"/>
              <w:sz w:val="24"/>
              <w:szCs w:val="24"/>
              <w:lang w:val="it-IT" w:eastAsia="it-IT"/>
              <w14:ligatures w14:val="standardContextual"/>
            </w:rPr>
          </w:pPr>
          <w:hyperlink w:anchor="_Toc193649590" w:history="1">
            <w:r w:rsidRPr="004263C8">
              <w:rPr>
                <w:rStyle w:val="Collegamentoipertestuale"/>
                <w:rFonts w:ascii="Times New Roman" w:hAnsi="Times New Roman" w:cs="Times New Roman"/>
                <w:noProof/>
                <w:sz w:val="24"/>
                <w:szCs w:val="24"/>
              </w:rPr>
              <w:t>REFERENCES</w:t>
            </w:r>
            <w:r w:rsidRPr="004263C8">
              <w:rPr>
                <w:rFonts w:ascii="Times New Roman" w:hAnsi="Times New Roman" w:cs="Times New Roman"/>
                <w:noProof/>
                <w:webHidden/>
                <w:sz w:val="24"/>
                <w:szCs w:val="24"/>
              </w:rPr>
              <w:tab/>
            </w:r>
            <w:r w:rsidRPr="004263C8">
              <w:rPr>
                <w:rFonts w:ascii="Times New Roman" w:hAnsi="Times New Roman" w:cs="Times New Roman"/>
                <w:noProof/>
                <w:webHidden/>
                <w:sz w:val="24"/>
                <w:szCs w:val="24"/>
              </w:rPr>
              <w:fldChar w:fldCharType="begin"/>
            </w:r>
            <w:r w:rsidRPr="004263C8">
              <w:rPr>
                <w:rFonts w:ascii="Times New Roman" w:hAnsi="Times New Roman" w:cs="Times New Roman"/>
                <w:noProof/>
                <w:webHidden/>
                <w:sz w:val="24"/>
                <w:szCs w:val="24"/>
              </w:rPr>
              <w:instrText xml:space="preserve"> PAGEREF _Toc193649590 \h </w:instrText>
            </w:r>
            <w:r w:rsidRPr="004263C8">
              <w:rPr>
                <w:rFonts w:ascii="Times New Roman" w:hAnsi="Times New Roman" w:cs="Times New Roman"/>
                <w:noProof/>
                <w:webHidden/>
                <w:sz w:val="24"/>
                <w:szCs w:val="24"/>
              </w:rPr>
            </w:r>
            <w:r w:rsidRPr="004263C8">
              <w:rPr>
                <w:rFonts w:ascii="Times New Roman" w:hAnsi="Times New Roman" w:cs="Times New Roman"/>
                <w:noProof/>
                <w:webHidden/>
                <w:sz w:val="24"/>
                <w:szCs w:val="24"/>
              </w:rPr>
              <w:fldChar w:fldCharType="separate"/>
            </w:r>
            <w:r w:rsidRPr="004263C8">
              <w:rPr>
                <w:rFonts w:ascii="Times New Roman" w:hAnsi="Times New Roman" w:cs="Times New Roman"/>
                <w:noProof/>
                <w:webHidden/>
                <w:sz w:val="24"/>
                <w:szCs w:val="24"/>
              </w:rPr>
              <w:t>29</w:t>
            </w:r>
            <w:r w:rsidRPr="004263C8">
              <w:rPr>
                <w:rFonts w:ascii="Times New Roman" w:hAnsi="Times New Roman" w:cs="Times New Roman"/>
                <w:noProof/>
                <w:webHidden/>
                <w:sz w:val="24"/>
                <w:szCs w:val="24"/>
              </w:rPr>
              <w:fldChar w:fldCharType="end"/>
            </w:r>
          </w:hyperlink>
        </w:p>
        <w:p w14:paraId="65B4DE22" w14:textId="356D442F" w:rsidR="002713F4" w:rsidRPr="002713F4" w:rsidRDefault="002713F4">
          <w:pPr>
            <w:rPr>
              <w:rFonts w:ascii="Times New Roman" w:hAnsi="Times New Roman" w:cs="Times New Roman"/>
              <w:sz w:val="24"/>
              <w:szCs w:val="24"/>
            </w:rPr>
          </w:pPr>
          <w:r w:rsidRPr="004263C8">
            <w:rPr>
              <w:rFonts w:ascii="Times New Roman" w:hAnsi="Times New Roman" w:cs="Times New Roman"/>
              <w:b/>
              <w:bCs/>
              <w:sz w:val="24"/>
              <w:szCs w:val="24"/>
            </w:rPr>
            <w:fldChar w:fldCharType="end"/>
          </w:r>
        </w:p>
      </w:sdtContent>
    </w:sdt>
    <w:p w14:paraId="11161E79" w14:textId="77777777" w:rsidR="00EF4593" w:rsidRPr="002713F4" w:rsidRDefault="00EF4593" w:rsidP="004E5C24">
      <w:pPr>
        <w:spacing w:line="480" w:lineRule="auto"/>
        <w:jc w:val="both"/>
        <w:rPr>
          <w:rFonts w:ascii="Times New Roman" w:hAnsi="Times New Roman" w:cs="Times New Roman"/>
          <w:b/>
          <w:lang w:val="it-IT"/>
        </w:rPr>
      </w:pPr>
    </w:p>
    <w:p w14:paraId="189BCB78" w14:textId="77777777" w:rsidR="003070DC" w:rsidRPr="002713F4" w:rsidRDefault="003070DC" w:rsidP="004E5C24">
      <w:pPr>
        <w:spacing w:line="480" w:lineRule="auto"/>
        <w:jc w:val="both"/>
        <w:rPr>
          <w:rFonts w:ascii="Times New Roman" w:hAnsi="Times New Roman" w:cs="Times New Roman"/>
          <w:b/>
          <w:lang w:val="it-IT"/>
        </w:rPr>
      </w:pPr>
    </w:p>
    <w:p w14:paraId="2BD98752" w14:textId="77777777" w:rsidR="003070DC" w:rsidRPr="002713F4" w:rsidRDefault="003070DC" w:rsidP="004E5C24">
      <w:pPr>
        <w:spacing w:line="480" w:lineRule="auto"/>
        <w:jc w:val="both"/>
        <w:rPr>
          <w:rFonts w:ascii="Times New Roman" w:hAnsi="Times New Roman" w:cs="Times New Roman"/>
          <w:b/>
          <w:lang w:val="it-IT"/>
        </w:rPr>
      </w:pPr>
    </w:p>
    <w:p w14:paraId="53292EA1" w14:textId="77777777" w:rsidR="003070DC" w:rsidRPr="002713F4" w:rsidRDefault="003070DC" w:rsidP="004E5C24">
      <w:pPr>
        <w:spacing w:line="480" w:lineRule="auto"/>
        <w:jc w:val="both"/>
        <w:rPr>
          <w:rFonts w:ascii="Times New Roman" w:hAnsi="Times New Roman" w:cs="Times New Roman"/>
          <w:b/>
          <w:lang w:val="it-IT"/>
        </w:rPr>
      </w:pPr>
    </w:p>
    <w:p w14:paraId="6DEEA828" w14:textId="77777777" w:rsidR="003070DC" w:rsidRPr="002713F4" w:rsidRDefault="003070DC" w:rsidP="004E5C24">
      <w:pPr>
        <w:spacing w:line="480" w:lineRule="auto"/>
        <w:jc w:val="both"/>
        <w:rPr>
          <w:rFonts w:ascii="Times New Roman" w:hAnsi="Times New Roman" w:cs="Times New Roman"/>
          <w:b/>
          <w:lang w:val="it-IT"/>
        </w:rPr>
      </w:pPr>
    </w:p>
    <w:p w14:paraId="77B60648" w14:textId="77777777" w:rsidR="003070DC" w:rsidRPr="002713F4" w:rsidRDefault="003070DC" w:rsidP="004E5C24">
      <w:pPr>
        <w:spacing w:line="480" w:lineRule="auto"/>
        <w:jc w:val="both"/>
        <w:rPr>
          <w:rFonts w:ascii="Times New Roman" w:hAnsi="Times New Roman" w:cs="Times New Roman"/>
          <w:b/>
          <w:lang w:val="it-IT"/>
        </w:rPr>
      </w:pPr>
    </w:p>
    <w:p w14:paraId="1D1BECD2" w14:textId="77777777" w:rsidR="003070DC" w:rsidRPr="002713F4" w:rsidRDefault="003070DC" w:rsidP="004E5C24">
      <w:pPr>
        <w:spacing w:line="480" w:lineRule="auto"/>
        <w:jc w:val="both"/>
        <w:rPr>
          <w:rFonts w:ascii="Times New Roman" w:hAnsi="Times New Roman" w:cs="Times New Roman"/>
          <w:b/>
          <w:lang w:val="it-IT"/>
        </w:rPr>
      </w:pPr>
    </w:p>
    <w:p w14:paraId="53590715" w14:textId="77777777" w:rsidR="003070DC" w:rsidRPr="002713F4" w:rsidRDefault="003070DC" w:rsidP="004E5C24">
      <w:pPr>
        <w:spacing w:line="480" w:lineRule="auto"/>
        <w:jc w:val="both"/>
        <w:rPr>
          <w:rFonts w:ascii="Times New Roman" w:hAnsi="Times New Roman" w:cs="Times New Roman"/>
          <w:b/>
          <w:lang w:val="it-IT"/>
        </w:rPr>
      </w:pPr>
    </w:p>
    <w:p w14:paraId="1971A5D2" w14:textId="77777777" w:rsidR="003070DC" w:rsidRPr="002713F4" w:rsidRDefault="003070DC" w:rsidP="004E5C24">
      <w:pPr>
        <w:spacing w:line="480" w:lineRule="auto"/>
        <w:jc w:val="both"/>
        <w:rPr>
          <w:rFonts w:ascii="Times New Roman" w:hAnsi="Times New Roman" w:cs="Times New Roman"/>
          <w:b/>
          <w:lang w:val="it-IT"/>
        </w:rPr>
      </w:pPr>
    </w:p>
    <w:p w14:paraId="37F32010" w14:textId="77777777" w:rsidR="003070DC" w:rsidRPr="002713F4" w:rsidRDefault="003070DC" w:rsidP="004E5C24">
      <w:pPr>
        <w:spacing w:line="480" w:lineRule="auto"/>
        <w:jc w:val="both"/>
        <w:rPr>
          <w:rFonts w:ascii="Times New Roman" w:hAnsi="Times New Roman" w:cs="Times New Roman"/>
          <w:b/>
          <w:lang w:val="it-IT"/>
        </w:rPr>
      </w:pPr>
    </w:p>
    <w:p w14:paraId="0521D730" w14:textId="77777777" w:rsidR="003070DC" w:rsidRPr="002713F4" w:rsidRDefault="003070DC" w:rsidP="004E5C24">
      <w:pPr>
        <w:spacing w:line="480" w:lineRule="auto"/>
        <w:jc w:val="both"/>
        <w:rPr>
          <w:rFonts w:ascii="Times New Roman" w:hAnsi="Times New Roman" w:cs="Times New Roman"/>
          <w:b/>
          <w:lang w:val="it-IT"/>
        </w:rPr>
      </w:pPr>
    </w:p>
    <w:p w14:paraId="76ECE67B" w14:textId="77777777" w:rsidR="002713F4" w:rsidRPr="002713F4" w:rsidRDefault="002713F4" w:rsidP="004E5C24">
      <w:pPr>
        <w:spacing w:line="480" w:lineRule="auto"/>
        <w:jc w:val="both"/>
        <w:rPr>
          <w:rFonts w:ascii="Times New Roman" w:hAnsi="Times New Roman" w:cs="Times New Roman"/>
          <w:b/>
          <w:lang w:val="it-IT"/>
        </w:rPr>
      </w:pPr>
    </w:p>
    <w:p w14:paraId="073E6937" w14:textId="77777777" w:rsidR="003070DC" w:rsidRPr="002713F4" w:rsidRDefault="003070DC" w:rsidP="004E5C24">
      <w:pPr>
        <w:spacing w:line="480" w:lineRule="auto"/>
        <w:jc w:val="both"/>
        <w:rPr>
          <w:rFonts w:ascii="Times New Roman" w:hAnsi="Times New Roman" w:cs="Times New Roman"/>
          <w:b/>
          <w:lang w:val="it-IT"/>
        </w:rPr>
      </w:pPr>
    </w:p>
    <w:p w14:paraId="50DA5656" w14:textId="646705F3" w:rsidR="002D3735" w:rsidRPr="002713F4" w:rsidRDefault="002D3735" w:rsidP="002713F4">
      <w:pPr>
        <w:pStyle w:val="TITOLOTNR"/>
        <w:rPr>
          <w:sz w:val="24"/>
          <w:szCs w:val="24"/>
        </w:rPr>
      </w:pPr>
      <w:bookmarkStart w:id="0" w:name="_Toc193649583"/>
      <w:r w:rsidRPr="002713F4">
        <w:rPr>
          <w:sz w:val="24"/>
          <w:szCs w:val="24"/>
        </w:rPr>
        <w:lastRenderedPageBreak/>
        <w:t>INTRODUCTION</w:t>
      </w:r>
      <w:bookmarkEnd w:id="0"/>
    </w:p>
    <w:p w14:paraId="11472B45" w14:textId="77777777" w:rsidR="002713F4" w:rsidRPr="002713F4" w:rsidRDefault="002713F4" w:rsidP="002713F4">
      <w:pPr>
        <w:pStyle w:val="TITOLOTNR"/>
      </w:pPr>
    </w:p>
    <w:p w14:paraId="632EFFE0" w14:textId="77777777" w:rsidR="002D3735" w:rsidRPr="005D10ED" w:rsidRDefault="002D3735" w:rsidP="002D3735">
      <w:pPr>
        <w:spacing w:line="480" w:lineRule="auto"/>
        <w:jc w:val="both"/>
        <w:rPr>
          <w:rFonts w:ascii="Times New Roman" w:eastAsia="Times New Roman" w:hAnsi="Times New Roman" w:cs="Times New Roman"/>
          <w:bCs/>
          <w:color w:val="FF0000"/>
          <w:sz w:val="24"/>
          <w:szCs w:val="24"/>
        </w:rPr>
      </w:pPr>
      <w:r w:rsidRPr="00C571D6">
        <w:rPr>
          <w:rFonts w:ascii="Times New Roman" w:eastAsia="Times New Roman" w:hAnsi="Times New Roman" w:cs="Times New Roman"/>
          <w:bCs/>
          <w:sz w:val="24"/>
          <w:szCs w:val="24"/>
        </w:rPr>
        <w:t xml:space="preserve">Atrial fibrillation (AF) is the most common </w:t>
      </w:r>
      <w:r>
        <w:rPr>
          <w:rFonts w:ascii="Times New Roman" w:eastAsia="Times New Roman" w:hAnsi="Times New Roman" w:cs="Times New Roman"/>
          <w:bCs/>
          <w:sz w:val="24"/>
          <w:szCs w:val="24"/>
        </w:rPr>
        <w:t>arrhythmia</w:t>
      </w:r>
      <w:r w:rsidRPr="00C571D6">
        <w:rPr>
          <w:rFonts w:ascii="Times New Roman" w:eastAsia="Times New Roman" w:hAnsi="Times New Roman" w:cs="Times New Roman"/>
          <w:bCs/>
          <w:sz w:val="24"/>
          <w:szCs w:val="24"/>
        </w:rPr>
        <w:t xml:space="preserve"> with a currently estimated prevalence in adults between 2% and 4%</w:t>
      </w:r>
      <w:r w:rsidRPr="00C571D6">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{"citationID":"SyRoXgRo","properties":{"formattedCitation":"\\super 1\\nosupersub{}","plainCitation":"1","noteIndex":0},"citationItems":[{"id":242,"uris":["http://zotero.org/users/local/51ctrMZy/items/4QIUN6YY"],"itemData":{"id":242,"type":"article-journal","container-title":"European Heart Journal","DOI":"10.1093/eurheartj/ehaa612","ISSN":"0195-668X, 1522-9645","issue":"5","language":"en","page":"373-498","source":"DOI.org (Crossref)","title":"2020 ESC Guidelines for the diagnosis and management of atrial fibrillation developed in collaboration with the European Association for Cardio-Thoracic Surgery (EACTS)","volume":"42","author":[{"family":"Hindricks","given":"Gerhard"},{"family":"Potpara","given":"Tatjana"},{"family":"Dagres","given":"Nikolaos"},{"family":"Arbelo","given":"Elena"},{"family":"Bax","given":"Jeroen J"},{"family":"Blomström-Lundqvist","given":"Carina"},{"family":"Boriani","given":"Giuseppe"},{"family":"Castella","given":"Manuel"},{"family":"Dan","given":"Gheorghe-Andrei"},{"family":"Dilaveris","given":"Polychronis E"},{"family":"Fauchier","given":"Laurent"},{"family":"Filippatos","given":"Gerasimos"},{"family":"Kalman","given":"Jonathan M"},{"family":"La Meir","given":"Mark"},{"family":"Lane","given":"Deirdre A"},{"family":"Lebeau","given":"Jean-Pierre"},{"family":"Lettino","given":"Maddalena"},{"family":"Lip","given":"Gregory Y H"},{"family":"Pinto","given":"Fausto J"},{"family":"Thomas","given":"G Neil"},{"family":"Valgimigli","given":"Marco"},{"family":"Van Gelder","given":"Isabelle C"},{"family":"Van Putte","given":"Bart P"},{"family":"Watkins","given":"Caroline L"},{"literal":"ESC Scientific Document Group"},{"family":"Kirchhof","given":"Paulus"},{"family":"Kühne","given":"Michael"},{"family":"Aboyans","given":"Victor"},{"family":"Ahlsson","given":"Anders"},{"family":"Balsam","given":"Pawel"},{"family":"Bauersachs","given":"Johann"},{"family":"Benussi","given":"Stefano"},{"family":"Brandes","given":"Axel"},{"family":"Braunschweig","given":"Frieder"},{"family":"Camm","given":"A John"},{"family":"Capodanno","given":"Davide"},{"family":"Casadei","given":"Barbara"},{"family":"Conen","given":"David"},{"family":"Crijns","given":"Harry J G M"},{"family":"Delgado","given":"Victoria"},{"family":"Dobrev","given":"Dobromir"},{"family":"Drexel","given":"Heinz"},{"family":"Eckardt","given":"Lars"},{"family":"Fitzsimons","given":"Donna"},{"family":"Folliguet","given":"Thierry"},{"family":"Gale","given":"Chris P"},{"family":"Gorenek","given":"Bulent"},{"family":"Haeusler","given":"Karl Georg"},{"family":"Heidbuchel","given":"Hein"},{"family":"Iung","given":"Bernard"},{"family":"Katus","given":"Hugo A"},{"family":"Kotecha","given":"Dipak"},{"family":"Landmesser","given":"Ulf"},{"family":"Leclercq","given":"Christophe"},{"family":"Lewis","given":"Basil S"},{"family":"Mascherbauer","given":"Julia"},{"family":"Merino","given":"Jose Luis"},{"family":"Merkely","given":"Béla"},{"family":"Mont","given":"Lluís"},{"family":"Mueller","given":"Christian"},{"family":"Nagy","given":"Klaudia V"},{"family":"Oldgren","given":"Jonas"},{"family":"Pavlović","given":"Nikola"},{"family":"Pedretti","given":"Roberto F E"},{"family":"Petersen","given":"Steffen E"},{"family":"Piccini","given":"Jonathan P"},{"family":"Popescu","given":"Bogdan A"},{"family":"Pürerfellner","given":"Helmut"},{"family":"Richter","given":"Dimitrios J"},{"family":"Roffi","given":"Marco"},{"family":"Rubboli","given":"Andrea"},{"family":"Scherr","given":"Daniel"},{"family":"Schnabel","given":"Renate B"},{"family":"Simpson","given":"Iain A"},{"family":"Shlyakhto","given":"Evgeny"},{"family":"Sinner","given":"Moritz F"},{"family":"Steffel","given":"Jan"},{"family":"Sousa-Uva","given":"Miguel"},{"family":"Suwalski","given":"Piotr"},{"family":"Svetlosak","given":"Martin"},{"family":"Touyz","given":"Rhian M"},{"family":"Dagres","given":"Nikolaos"},{"family":"Arbelo","given":"Elena"},{"family":"Bax","given":"Jeroen J"},{"family":"Blomström-Lundqvist","given":"Carina"},{"family":"Boriani","given":"Giuseppe"},{"family":"Castella","given":"Manuel"},{"family":"Dan","given":"Gheorghe-Andrei"},{"family":"Dilaveris","given":"Polychronis E"},{"family":"Fauchier","given":"Laurent"},{"family":"Filippatos","given":"Gerasimos"},{"family":"Kalman","given":"Jonathan M"},{"family":"La Meir","given":"Mark"},{"family":"Lane","given":"Deirdre A"},{"family":"Lebeau","given":"Jean-Pierre"},{"family":"Lettino","given":"Maddalena"},{"family":"Lip","given":"Gregory Y H"},{"family":"Pinto","given":"Fausto J"},{"family":"Neil Thomas","given":"G"},{"family":"Valgimigli","given":"Marco"},{"family":"Van Gelder","given":"Isabelle C"},{"family":"Watkins","given":"Caroline L"}],"issued":{"date-parts":[["2021",2,1]]}}}],"schema":"https://github.com/citation-style-language/schema/raw/master/csl-citation.json"} </w:instrText>
      </w:r>
      <w:r w:rsidRPr="00C571D6">
        <w:rPr>
          <w:rFonts w:ascii="Times New Roman" w:eastAsia="Times New Roman" w:hAnsi="Times New Roman" w:cs="Times New Roman"/>
          <w:bCs/>
          <w:sz w:val="24"/>
          <w:szCs w:val="24"/>
        </w:rPr>
        <w:fldChar w:fldCharType="separate"/>
      </w:r>
      <w:r w:rsidRPr="004F7868">
        <w:rPr>
          <w:rFonts w:ascii="Times New Roman" w:hAnsi="Times New Roman" w:cs="Times New Roman"/>
          <w:sz w:val="24"/>
          <w:szCs w:val="24"/>
          <w:vertAlign w:val="superscript"/>
        </w:rPr>
        <w:t>1</w:t>
      </w:r>
      <w:r w:rsidRPr="00C571D6">
        <w:rPr>
          <w:rFonts w:ascii="Times New Roman" w:eastAsia="Times New Roman" w:hAnsi="Times New Roman" w:cs="Times New Roman"/>
          <w:bCs/>
          <w:sz w:val="24"/>
          <w:szCs w:val="24"/>
        </w:rPr>
        <w:fldChar w:fldCharType="end"/>
      </w:r>
      <w:r w:rsidRPr="00C571D6">
        <w:rPr>
          <w:rFonts w:ascii="Times New Roman" w:eastAsia="Times New Roman" w:hAnsi="Times New Roman" w:cs="Times New Roman"/>
          <w:bCs/>
          <w:sz w:val="24"/>
          <w:szCs w:val="24"/>
        </w:rPr>
        <w:t>. Moreover</w:t>
      </w:r>
      <w:r>
        <w:rPr>
          <w:rFonts w:ascii="Times New Roman" w:eastAsia="Times New Roman" w:hAnsi="Times New Roman" w:cs="Times New Roman"/>
          <w:bCs/>
          <w:sz w:val="24"/>
          <w:szCs w:val="24"/>
        </w:rPr>
        <w:t>,</w:t>
      </w:r>
      <w:r w:rsidRPr="00C571D6">
        <w:rPr>
          <w:rFonts w:ascii="Times New Roman" w:eastAsia="Times New Roman" w:hAnsi="Times New Roman" w:cs="Times New Roman"/>
          <w:bCs/>
          <w:sz w:val="24"/>
          <w:szCs w:val="24"/>
        </w:rPr>
        <w:t xml:space="preserve"> a 2.3-fold rise </w:t>
      </w:r>
      <w:r>
        <w:rPr>
          <w:rFonts w:ascii="Times New Roman" w:eastAsia="Times New Roman" w:hAnsi="Times New Roman" w:cs="Times New Roman"/>
          <w:bCs/>
          <w:sz w:val="24"/>
          <w:szCs w:val="24"/>
        </w:rPr>
        <w:t>in</w:t>
      </w:r>
      <w:r w:rsidRPr="00C571D6">
        <w:rPr>
          <w:rFonts w:ascii="Times New Roman" w:eastAsia="Times New Roman" w:hAnsi="Times New Roman" w:cs="Times New Roman"/>
          <w:bCs/>
          <w:sz w:val="24"/>
          <w:szCs w:val="24"/>
        </w:rPr>
        <w:t xml:space="preserve"> prevalence is expected due to extended longevity in the general population and </w:t>
      </w:r>
      <w:r>
        <w:rPr>
          <w:rFonts w:ascii="Times New Roman" w:eastAsia="Times New Roman" w:hAnsi="Times New Roman" w:cs="Times New Roman"/>
          <w:bCs/>
          <w:sz w:val="24"/>
          <w:szCs w:val="24"/>
        </w:rPr>
        <w:t xml:space="preserve">the </w:t>
      </w:r>
      <w:r w:rsidRPr="00C571D6">
        <w:rPr>
          <w:rFonts w:ascii="Times New Roman" w:eastAsia="Times New Roman" w:hAnsi="Times New Roman" w:cs="Times New Roman"/>
          <w:bCs/>
          <w:sz w:val="24"/>
          <w:szCs w:val="24"/>
        </w:rPr>
        <w:t>intensifying search for undiagnosed AF</w:t>
      </w:r>
      <w:r w:rsidRPr="00C571D6">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{"citationID":"FLu8dJCw","properties":{"formattedCitation":"\\super 1,2\\nosupersub{}","plainCitation":"1,2","noteIndex":0},"citationItems":[{"id":516,"uris":["http://zotero.org/users/local/51ctrMZy/items/IRG98DCE"],"itemData":{"id":516,"type":"article-journal","container-title":"Circulation","DOI":"10.1161/CIR.0000000000000659","ISSN":"1524-4539","issue":"10","journalAbbreviation":"Circulation","language":"eng","note":"PMID: 30700139","page":"e56-e528","source":"PubMed","title":"Heart Disease and Stroke Statistics-2019 Update: A Report From the American Heart Association","title-short":"Heart Disease and Stroke Statistics-2019 Update","volume":"139","author":[{"family":"Benjamin","given":"Emelia J."},{"family":"Muntner","given":"Paul"},{"family":"Alonso","given":"Alvaro"},{"family":"Bittencourt","given":"Marcio S."},{"family":"Callaway","given":"Clifton W."},{"family":"Carson","given":"April P."},{"family":"Chamberlain","given":"Alanna M."},{"family":"Chang","given":"Alexander R."},{"family":"Cheng","given":"Susan"},{"family":"Das","given":"Sandeep R."},{"family":"Delling","given":"Francesca N."},{"family":"Djousse","given":"Luc"},{"family":"Elkind","given":"Mitchell S. V."},{"family":"Ferguson","given":"Jane F."},{"family":"Fornage","given":"Myriam"},{"family":"Jordan","given":"Lori Chaffin"},{"family":"Khan","given":"Sadiya S."},{"family":"Kissela","given":"Brett M."},{"family":"Knutson","given":"Kristen L."},{"family":"Kwan","given":"Tak W."},{"family":"Lackland","given":"Daniel T."},{"family":"Lewis","given":"Tené T."},{"family":"Lichtman","given":"Judith H."},{"family":"Longenecker","given":"Chris T."},{"family":"Loop","given":"Matthew Shane"},{"family":"Lutsey","given":"Pamela L."},{"family":"Martin","given":"Seth S."},{"family":"Matsushita","given":"Kunihiro"},{"family":"Moran","given":"Andrew E."},{"family":"Mussolino","given":"Michael E."},{"family":"O'Flaherty","given":"Martin"},{"family":"Pandey","given":"Ambarish"},{"family":"Perak","given":"Amanda M."},{"family":"Rosamond","given":"Wayne D."},{"family":"Roth","given":"Gregory A."},{"family":"Sampson","given":"Uchechukwu K. A."},{"family":"Satou","given":"Gary M."},{"family":"Schroeder","given":"Emily B."},{"family":"Shah","given":"Svati H."},{"family":"Spartano","given":"Nicole L."},{"family":"Stokes","given":"Andrew"},{"family":"Tirschwell","given":"David L."},{"family":"Tsao","given":"Connie W."},{"family":"Turakhia","given":"Mintu P."},{"family":"VanWagner","given":"Lisa B."},{"family":"Wilkins","given":"John T."},{"family":"Wong","given":"Sally S."},{"family":"Virani","given":"Salim S."},{"literal":"American Heart Association Council on Epidemiology and Prevention Statistics Committee and Stroke Statistics Subcommittee"}],"issued":{"date-parts":[["2019",3,5]]}}},{"id":242,"uris":["http://zotero.org/users/local/51ctrMZy/items/4QIUN6YY"],"itemData":{"id":242,"type":"article-journal","container-title":"European Heart Journal","DOI":"10.1093/eurheartj/ehaa612","ISSN":"0195-668X, 1522-9645","issue":"5","language":"en","page":"373-498","source":"DOI.org (Crossref)","title":"2020 ESC Guidelines for the diagnosis and management of atrial fibrillation developed in collaboration with the European Association for Cardio-Thoracic Surgery (EACTS)","volume":"42","author":[{"family":"Hindricks","given":"Gerhard"},{"family":"Potpara","given":"Tatjana"},{"family":"Dagres","given":"Nikolaos"},{"family":"Arbelo","given":"Elena"},{"family":"Bax","given":"Jeroen J"},{"family":"Blomström-Lundqvist","given":"Carina"},{"family":"Boriani","given":"Giuseppe"},{"family":"Castella","given":"Manuel"},{"family":"Dan","given":"Gheorghe-Andrei"},{"family":"Dilaveris","given":"Polychronis E"},{"family":"Fauchier","given":"Laurent"},{"family":"Filippatos","given":"Gerasimos"},{"family":"Kalman","given":"Jonathan M"},{"family":"La Meir","given":"Mark"},{"family":"Lane","given":"Deirdre A"},{"family":"Lebeau","given":"Jean-Pierre"},{"family":"Lettino","given":"Maddalena"},{"family":"Lip","given":"Gregory Y H"},{"family":"Pinto","given":"Fausto J"},{"family":"Thomas","given":"G Neil"},{"family":"Valgimigli","given":"Marco"},{"family":"Van Gelder","given":"Isabelle C"},{"family":"Van Putte","given":"Bart P"},{"family":"Watkins","given":"Caroline L"},{"literal":"ESC Scientific Document Group"},{"family":"Kirchhof","given":"Paulus"},{"family":"Kühne","given":"Michael"},{"family":"Aboyans","given":"Victor"},{"family":"Ahlsson","given":"Anders"},{"family":"Balsam","given":"Pawel"},{"family":"Bauersachs","given":"Johann"},{"family":"Benussi","given":"Stefano"},{"family":"Brandes","given":"Axel"},{"family":"Braunschweig","given":"Frieder"},{"family":"Camm","given":"A John"},{"family":"Capodanno","given":"Davide"},{"family":"Casadei","given":"Barbara"},{"family":"Conen","given":"David"},{"family":"Crijns","given":"Harry J G M"},{"family":"Delgado","given":"Victoria"},{"family":"Dobrev","given":"Dobromir"},{"family":"Drexel","given":"Heinz"},{"family":"Eckardt","given":"Lars"},{"family":"Fitzsimons","given":"Donna"},{"family":"Folliguet","given":"Thierry"},{"family":"Gale","given":"Chris P"},{"family":"Gorenek","given":"Bulent"},{"family":"Haeusler","given":"Karl Georg"},{"family":"Heidbuchel","given":"Hein"},{"family":"Iung","given":"Bernard"},{"family":"Katus","given":"Hugo A"},{"family":"Kotecha","given":"Dipak"},{"family":"Landmesser","given":"Ulf"},{"family":"Leclercq","given":"Christophe"},{"family":"Lewis","given":"Basil S"},{"family":"Mascherbauer","given":"Julia"},{"family":"Merino","given":"Jose Luis"},{"family":"Merkely","given":"Béla"},{"family":"Mont","given":"Lluís"},{"family":"Mueller","given":"Christian"},{"family":"Nagy","given":"Klaudia V"},{"family":"Oldgren","given":"Jonas"},{"family":"Pavlović","given":"Nikola"},{"family":"Pedretti","given":"Roberto F E"},{"family":"Petersen","given":"Steffen E"},{"family":"Piccini","given":"Jonathan P"},{"family":"Popescu","given":"Bogdan A"},{"family":"Pürerfellner","given":"Helmut"},{"family":"Richter","given":"Dimitrios J"},{"family":"Roffi","given":"Marco"},{"family":"Rubboli","given":"Andrea"},{"family":"Scherr","given":"Daniel"},{"family":"Schnabel","given":"Renate B"},{"family":"Simpson","given":"Iain A"},{"family":"Shlyakhto","given":"Evgeny"},{"family":"Sinner","given":"Moritz F"},{"family":"Steffel","given":"Jan"},{"family":"Sousa-Uva","given":"Miguel"},{"family":"Suwalski","given":"Piotr"},{"family":"Svetlosak","given":"Martin"},{"family":"Touyz","given":"Rhian M"},{"family":"Dagres","given":"Nikolaos"},{"family":"Arbelo","given":"Elena"},{"family":"Bax","given":"Jeroen J"},{"family":"Blomström-Lundqvist","given":"Carina"},{"family":"Boriani","given":"Giuseppe"},{"family":"Castella","given":"Manuel"},{"family":"Dan","given":"Gheorghe-Andrei"},{"family":"Dilaveris","given":"Polychronis E"},{"family":"Fauchier","given":"Laurent"},{"family":"Filippatos","given":"Gerasimos"},{"family":"Kalman","given":"Jonathan M"},{"family":"La Meir","given":"Mark"},{"family":"Lane","given":"Deirdre A"},{"family":"Lebeau","given":"Jean-Pierre"},{"family":"Lettino","given":"Maddalena"},{"family":"Lip","given":"Gregory Y H"},{"family":"Pinto","given":"Fausto J"},{"family":"Neil Thomas","given":"G"},{"family":"Valgimigli","given":"Marco"},{"family":"Van Gelder","given":"Isabelle C"},{"family":"Watkins","given":"Caroline L"}],"issued":{"date-parts":[["2021",2,1]]}}}],"schema":"https://github.com/citation-style-language/schema/raw/master/csl-citation.json"} </w:instrText>
      </w:r>
      <w:r w:rsidRPr="00C571D6">
        <w:rPr>
          <w:rFonts w:ascii="Times New Roman" w:eastAsia="Times New Roman" w:hAnsi="Times New Roman" w:cs="Times New Roman"/>
          <w:bCs/>
          <w:sz w:val="24"/>
          <w:szCs w:val="24"/>
        </w:rPr>
        <w:fldChar w:fldCharType="separate"/>
      </w:r>
      <w:r w:rsidRPr="004F7868">
        <w:rPr>
          <w:rFonts w:ascii="Times New Roman" w:hAnsi="Times New Roman" w:cs="Times New Roman"/>
          <w:sz w:val="24"/>
          <w:szCs w:val="24"/>
          <w:vertAlign w:val="superscript"/>
        </w:rPr>
        <w:t>1,2</w:t>
      </w:r>
      <w:r w:rsidRPr="00C571D6">
        <w:rPr>
          <w:rFonts w:ascii="Times New Roman" w:eastAsia="Times New Roman" w:hAnsi="Times New Roman" w:cs="Times New Roman"/>
          <w:bCs/>
          <w:sz w:val="24"/>
          <w:szCs w:val="24"/>
        </w:rPr>
        <w:fldChar w:fldCharType="end"/>
      </w:r>
      <w:r w:rsidRPr="00C571D6">
        <w:rPr>
          <w:rFonts w:ascii="Times New Roman" w:eastAsia="Times New Roman" w:hAnsi="Times New Roman" w:cs="Times New Roman"/>
          <w:bCs/>
          <w:sz w:val="24"/>
          <w:szCs w:val="24"/>
        </w:rPr>
        <w:t xml:space="preserve">. Anticoagulation is the therapy of choice for the prevention of cardioembolic events in patients with AF. However, the risk of on-therapy major bleeding is not negligible and represents </w:t>
      </w:r>
      <w:r w:rsidRPr="00996B02">
        <w:rPr>
          <w:rFonts w:ascii="Times New Roman" w:eastAsia="Times New Roman" w:hAnsi="Times New Roman" w:cs="Times New Roman"/>
          <w:bCs/>
          <w:color w:val="000000" w:themeColor="text1"/>
          <w:sz w:val="24"/>
          <w:szCs w:val="24"/>
        </w:rPr>
        <w:t>a common and prognostically relevant complication</w:t>
      </w:r>
      <w:r w:rsidRPr="00C95EA2">
        <w:rPr>
          <w:rFonts w:ascii="Times New Roman" w:eastAsia="Times New Roman" w:hAnsi="Times New Roman" w:cs="Times New Roman"/>
          <w:bCs/>
          <w:color w:val="000000" w:themeColor="text1"/>
          <w:sz w:val="24"/>
          <w:szCs w:val="24"/>
        </w:rPr>
        <w:fldChar w:fldCharType="begin"/>
      </w:r>
      <w:r w:rsidRPr="00C95EA2">
        <w:rPr>
          <w:rFonts w:ascii="Times New Roman" w:eastAsia="Times New Roman" w:hAnsi="Times New Roman" w:cs="Times New Roman"/>
          <w:bCs/>
          <w:color w:val="000000" w:themeColor="text1"/>
          <w:sz w:val="24"/>
          <w:szCs w:val="24"/>
        </w:rPr>
        <w:instrText xml:space="preserve"> ADDIN ZOTERO_ITEM CSL_CITATION {"citationID":"ZFtrdEQv","properties":{"formattedCitation":"\\super 3\\nosupersub{}","plainCitation":"3","noteIndex":0},"citationItems":[{"id":518,"uris":["http://zotero.org/users/local/51ctrMZy/items/AKUWUAFF"],"itemData":{"id":518,"type":"article-journal","abstract":"The majority of patients with venous thromboembolism (VTE) have a considerable long-term risk of recurrence and may require extended duration of anticoagulant treatment after the initial 3 to 6 months. The decision to extend treatment is based not only on the individual risk of recurrence, but should also consider the potential complications associated with anticoagulation, taking into account that anticoagulant drugs are among the drugs most frequently associated with hospital admission due to adverse drug reactions. The most feared complication of oral anticoagulants is bleeding, which in some cases may be fatal or may affect critical organs. Case-fatality rates of bleeding have been reported to be </w:instrText>
      </w:r>
      <w:r w:rsidRPr="00C95EA2">
        <w:rPr>
          <w:rFonts w:ascii="Cambria Math" w:eastAsia="Times New Roman" w:hAnsi="Cambria Math" w:cs="Cambria Math"/>
          <w:bCs/>
          <w:color w:val="000000" w:themeColor="text1"/>
          <w:sz w:val="24"/>
          <w:szCs w:val="24"/>
        </w:rPr>
        <w:instrText>∼</w:instrText>
      </w:r>
      <w:r w:rsidRPr="00C95EA2">
        <w:rPr>
          <w:rFonts w:ascii="Times New Roman" w:eastAsia="Times New Roman" w:hAnsi="Times New Roman" w:cs="Times New Roman"/>
          <w:bCs/>
          <w:color w:val="000000" w:themeColor="text1"/>
          <w:sz w:val="24"/>
          <w:szCs w:val="24"/>
        </w:rPr>
        <w:instrText xml:space="preserve">3 times higher than case-fatality rates of recurrent VTE. Even when nonserious, bleeding may require medical intervention and/or may impact on patient quality of life or working activity. Factors associated with bleeding during anticoagulant treatment include, among others, advanced age, cancer, renal or liver insufficiency, or concomitant antithrombotic drugs, but no bleeding risk score is sufficiently accurate for use in clinical practice. Not uncommonly, bleeding occurs as a complication of trauma or medically invasive procedures. Nonbleeding complications associated with oral anticoagulants are unusual, and their relevance is extremely uncertain, and include vascular calcification, anticoagulation-related nephropathy, and osteoporosis. Finally, because VTE not uncommonly affects young individuals and the mean age of the population is </w:instrText>
      </w:r>
      <w:r w:rsidRPr="00C95EA2">
        <w:rPr>
          <w:rFonts w:ascii="Cambria Math" w:eastAsia="Times New Roman" w:hAnsi="Cambria Math" w:cs="Cambria Math"/>
          <w:bCs/>
          <w:color w:val="000000" w:themeColor="text1"/>
          <w:sz w:val="24"/>
          <w:szCs w:val="24"/>
        </w:rPr>
        <w:instrText>∼</w:instrText>
      </w:r>
      <w:r w:rsidRPr="00C95EA2">
        <w:rPr>
          <w:rFonts w:ascii="Times New Roman" w:eastAsia="Times New Roman" w:hAnsi="Times New Roman" w:cs="Times New Roman"/>
          <w:bCs/>
          <w:color w:val="000000" w:themeColor="text1"/>
          <w:sz w:val="24"/>
          <w:szCs w:val="24"/>
        </w:rPr>
        <w:instrText xml:space="preserve">60 years, the costs associated with extended anticoagulation should not be forgotten. The costs of the drugs need to be balanced against health outcome costs associated with both recurrent VTE and bleeding.","container-title":"Hematology: the American Society of Hematology Education Program","ISSN":"1520-4391","issue":"1","journalAbbreviation":"Hematology Am Soc Hematol Educ Program","note":"PMID: 30504343\nPMCID: PMC6245998","page":"432-438","source":"PubMed Central","title":"Breadth of complications of long-term oral anticoagulant care","volume":"2018","author":[{"family":"Ageno","given":"Walter"},{"family":"Donadini","given":"Marco"}],"issued":{"date-parts":[["2018",11,30]]}}}],"schema":"https://github.com/citation-style-language/schema/raw/master/csl-citation.json"}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4F7868">
        <w:rPr>
          <w:rFonts w:ascii="Times New Roman" w:hAnsi="Times New Roman" w:cs="Times New Roman"/>
          <w:sz w:val="24"/>
          <w:szCs w:val="24"/>
          <w:vertAlign w:val="superscript"/>
        </w:rPr>
        <w:t>3</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w:t>
      </w:r>
      <w:bookmarkStart w:id="1" w:name="_Hlk144050517"/>
      <w:r w:rsidRPr="00C95EA2">
        <w:rPr>
          <w:rFonts w:ascii="Times New Roman" w:eastAsia="Times New Roman" w:hAnsi="Times New Roman" w:cs="Times New Roman"/>
          <w:bCs/>
          <w:color w:val="000000" w:themeColor="text1"/>
          <w:sz w:val="24"/>
          <w:szCs w:val="24"/>
        </w:rPr>
        <w:t xml:space="preserve">Despite of different combinations of items incorporated in the available different risk scores, the accuracy of </w:t>
      </w:r>
      <w:r>
        <w:rPr>
          <w:rFonts w:ascii="Times New Roman" w:eastAsia="Times New Roman" w:hAnsi="Times New Roman" w:cs="Times New Roman"/>
          <w:bCs/>
          <w:color w:val="000000" w:themeColor="text1"/>
          <w:sz w:val="24"/>
          <w:szCs w:val="24"/>
        </w:rPr>
        <w:t>available</w:t>
      </w:r>
      <w:r w:rsidRPr="00C95EA2">
        <w:rPr>
          <w:rFonts w:ascii="Times New Roman" w:eastAsia="Times New Roman" w:hAnsi="Times New Roman" w:cs="Times New Roman"/>
          <w:bCs/>
          <w:color w:val="000000" w:themeColor="text1"/>
          <w:sz w:val="24"/>
          <w:szCs w:val="24"/>
        </w:rPr>
        <w:t xml:space="preserve"> prediction tools for bleeding </w:t>
      </w:r>
      <w:r>
        <w:rPr>
          <w:rFonts w:ascii="Times New Roman" w:eastAsia="Times New Roman" w:hAnsi="Times New Roman" w:cs="Times New Roman"/>
          <w:bCs/>
          <w:color w:val="000000" w:themeColor="text1"/>
          <w:sz w:val="24"/>
          <w:szCs w:val="24"/>
        </w:rPr>
        <w:t xml:space="preserve">in AF patients </w:t>
      </w:r>
      <w:r w:rsidRPr="00C95EA2">
        <w:rPr>
          <w:rFonts w:ascii="Times New Roman" w:eastAsia="Times New Roman" w:hAnsi="Times New Roman" w:cs="Times New Roman"/>
          <w:bCs/>
          <w:color w:val="000000" w:themeColor="text1"/>
          <w:sz w:val="24"/>
          <w:szCs w:val="24"/>
        </w:rPr>
        <w:t xml:space="preserve">on </w:t>
      </w:r>
      <w:r>
        <w:rPr>
          <w:rFonts w:ascii="Times New Roman" w:eastAsia="Times New Roman" w:hAnsi="Times New Roman" w:cs="Times New Roman"/>
          <w:bCs/>
          <w:color w:val="000000" w:themeColor="text1"/>
          <w:sz w:val="24"/>
          <w:szCs w:val="24"/>
        </w:rPr>
        <w:t xml:space="preserve">anticoagulation </w:t>
      </w:r>
      <w:r w:rsidRPr="00C95EA2">
        <w:rPr>
          <w:rFonts w:ascii="Times New Roman" w:eastAsia="Times New Roman" w:hAnsi="Times New Roman" w:cs="Times New Roman"/>
          <w:bCs/>
          <w:color w:val="000000" w:themeColor="text1"/>
          <w:sz w:val="24"/>
          <w:szCs w:val="24"/>
        </w:rPr>
        <w:t>therapy remains modest</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{"citationID":"XUFoQ4AM","properties":{"formattedCitation":"\\super 4\\nosupersub{}","plainCitation":"4","noteIndex":0},"citationItems":[{"id":279,"uris":["http://zotero.org/users/local/51ctrMZy/items/MUHTFTY7"],"itemData":{"id":279,"type":"article-journal","abstract":"BACKGROUND: Atrial fibrillation (AF) is a common cardiac arrhythmia that increases the risk of stroke. Medical therapy for decreasing stroke risk involves anticoagulation, which may increase bleeding risk for certain patients. In determining the optimal therapy for stroke prevention for patients with AF, clinicians use tools with various clinical, imaging and patient characteristics to weigh stroke risk against therapy-associated bleeding risk.\nAIM: This article reviews published literature and summarizes available risk stratification tools for stroke and bleeding prediction in patients with AF.\nMETHODS: We searched for English-language studies in PubMed, Embase and the Cochrane Database of Systematic Reviews published between 1 January 2000 and 14 February 2018. Two reviewers screened citations for studies that examined tools for predicting thromboembolic and bleeding risks in patients with AF. Data regarding study design, patient characteristics, interventions, outcomes, quality, and applicability were extracted.\nRESULTS: Sixty-one studies were relevant to predicting thromboembolic risk and 38 to predicting bleeding risk. Data suggest that CHADS2, CHA2DS2-VASc and the age, biomarkers, and clinical history (ABC) risk scores have the best evidence for predicting thromboembolic risk (moderate strength of evidence for limited prediction ability of each score) and that HAS-BLED has the best evidence for predicting bleeding risk (moderate strength of evidence).\nLIMITATIONS: Studies were heterogeneous in methodology and populations of interest, setting, interventions and outcomes analysed.\nCONCLUSION: CHADS2, CHA2DS2-VASc and ABC scores have the best prediction for stroke events, and HAS-BLED provides the best prediction for bleeding risk. Future studies should define the role of imaging tools and biomarkers in enhancing the accuracy of risk prediction tools.\nPRIMARY FUNDING SOURCE: Patient-Centered Outcomes Research Institute (PROSPERO #CRD42017069999).","container-title":"Thrombosis and Haemostasis","DOI":"10.1055/s-0038-1675400","ISSN":"2567-689X","issue":"12","journalAbbreviation":"Thromb Haemost","language":"eng","note":"PMID: 30376678\nPMCID: PMC6754740","page":"2171-2187","source":"PubMed","title":"Predicting Thromboembolic and Bleeding Event Risk in Patients with Non-Valvular Atrial Fibrillation: A Systematic Review","title-short":"Predicting Thromboembolic and Bleeding Event Risk in Patients with Non-Valvular Atrial Fibrillation","volume":"118","author":[{"family":"Borre","given":"Ethan D."},{"family":"Goode","given":"Adam"},{"family":"Raitz","given":"Giselle"},{"family":"Shah","given":"Bimal"},{"family":"Lowenstern","given":"Angela"},{"family":"Chatterjee","given":"Ranee"},{"family":"Sharan","given":"Lauren"},{"family":"Allen LaPointe","given":"Nancy M."},{"family":"Yapa","given":"Roshini"},{"family":"Davis","given":"J. Kelly"},{"family":"Lallinger","given":"Kathryn"},{"family":"Schmidt","given":"Robyn"},{"family":"Kosinski","given":"Andrzej"},{"family":"Al-Khatib","given":"Sana M."},{"family":"Sanders","given":"Gillian D."}],"issued":{"date-parts":[["2018",12]]}}}],"schema":"https://github.com/citation-style-language/schema/raw/master/csl-citation.json"}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4F7868">
        <w:rPr>
          <w:rFonts w:ascii="Times New Roman" w:hAnsi="Times New Roman" w:cs="Times New Roman"/>
          <w:sz w:val="24"/>
          <w:szCs w:val="24"/>
          <w:vertAlign w:val="superscript"/>
        </w:rPr>
        <w:t>4</w:t>
      </w:r>
      <w:r w:rsidRPr="00C95EA2">
        <w:rPr>
          <w:rFonts w:ascii="Times New Roman" w:eastAsia="Times New Roman" w:hAnsi="Times New Roman" w:cs="Times New Roman"/>
          <w:bCs/>
          <w:color w:val="000000" w:themeColor="text1"/>
          <w:sz w:val="24"/>
          <w:szCs w:val="24"/>
        </w:rPr>
        <w:fldChar w:fldCharType="end"/>
      </w:r>
      <w:bookmarkEnd w:id="1"/>
      <w:r w:rsidRPr="00C95EA2">
        <w:rPr>
          <w:rFonts w:ascii="Times New Roman" w:eastAsia="Times New Roman" w:hAnsi="Times New Roman" w:cs="Times New Roman"/>
          <w:bCs/>
          <w:color w:val="000000" w:themeColor="text1"/>
          <w:sz w:val="24"/>
          <w:szCs w:val="24"/>
        </w:rPr>
        <w:t>. In addition to the bleeding risk, AF is associated with an increased risk of stroke and death. While anticoagulation reduces the relative risk of stroke by 60-70% in AF patients, a relevant residual stroke risk of 1-2% per year remains in randomized trials</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{"citationID":"n3gagBjW","properties":{"formattedCitation":"\\super 5\\nosupersub{}","plainCitation":"5","noteIndex":0},"citationItems":[{"id":606,"uris":["http://zotero.org/users/local/51ctrMZy/items/PUGMF729"],"itemData":{"id":606,"type":"article-journal","abstract":"Background: In non-valvular-associated atrial fibrillation (AF), direct oral anticoagulants (DOAC) are as effective as vitamin K antagonists (VKA) for the prevention of acute ischemic stroke (AIS). DOAC are associated with decreased risk and severity of intracranial hemorrhage. It is unknown if different pre-admission anticoagulants impact the prognosis of AF related AIS (AF-AIS). We sought to analyze the literature to assess the association between pre-admission anticoagulation (VKA or DOAC) and admission severity of AF-AIS. Methods: A Systematic literature search (PubMed and ScienceDirect) between January 2011 to April 2021 was undertaken to identify studies describing the outcome of AF-AIS. Results: A total of 128 articles were identified. Of 9493 patients, 1767 were on DOAC, 919 were on therapeutical VKA, 792 were on non-therapeutical VKA and 6015 were not anticoagulated. In comparison to patients without anticoagulation, patients with therapeutical VKA and under DOAC presented with less severe stroke (MD −1.69; 95% CI [−2.71, −0.66], p = 0.001 and MD −2.96; 95% Cl [−3.75, −2.18], p &lt; 0.00001, respectively). Patients with non-therapeutical VKA presented with more severe stroke (MD 1.28; 95% Cl [0.45, 2.12], p = 0.003). Conclusions: In AF-AIS, patients under therapeutical VKA or DOAC have reduced stroke severity on admission in comparison to patients without any anticoagulation, with higher magnitude of protection for DOAC.","container-title":"Journal of Clinical Medicine","DOI":"10.3390/jcm11123563","ISSN":"2077-0383","issue":"12","language":"en","license":"http://creativecommons.org/licenses/by/3.0/","note":"number: 12\npublisher: Multidisciplinary Digital Publishing Institute","page":"3563","source":"www.mdpi.com","title":"Admission Severity of Atrial-Fibrillation-Related Acute Ischemic Stroke in Patients under Anticoagulation Treatment: A Systematic Review and Meta-Analysis","title-short":"Admission Severity of Atrial-Fibrillation-Related Acute Ischemic Stroke in Patients under Anticoagulation Treatment","volume":"11","author":[{"family":"Garcia","given":"Catarina"},{"family":"Silva","given":"Marcelo"},{"family":"Araújo","given":"Mariana"},{"family":"Henriques","given":"Mariana"},{"family":"Margarido","given":"Marta"},{"family":"Vicente","given":"Patrícia"},{"family":"Nzwalo","given":"Hipólito"},{"family":"Macedo","given":"Ana"}],"issued":{"date-parts":[["2022",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4F7868">
        <w:rPr>
          <w:rFonts w:ascii="Times New Roman" w:hAnsi="Times New Roman" w:cs="Times New Roman"/>
          <w:sz w:val="24"/>
          <w:szCs w:val="24"/>
          <w:vertAlign w:val="superscript"/>
        </w:rPr>
        <w:t>5</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On the other hand, although the use of oral anticoagulants lowers all-cause mortality in patients with AF</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{"citationID":"O2ssUzFb","properties":{"formattedCitation":"\\super 6\\nosupersub{}","plainCitation":"6","noteIndex":0},"citationItems":[{"id":613,"uris":["http://zotero.org/users/local/51ctrMZy/items/B7IUAXJF"],"itemData":{"id":613,"type":"article-journal","container-title":"Annals of Internal Medicine","DOI":"10.7326/0003-4819-146-12-200706190-00007","ISSN":"0003-4819","issue":"12","journalAbbreviation":"Ann Intern Med","note":"publisher: American College of Physicians","page":"857-867","source":"acpjournals.org (Atypon)","title":"Meta-analysis: Antithrombotic Therapy to Prevent Stroke in Patients Who Have Nonvalvular Atrial Fibrillation","title-short":"Meta-analysis","volume":"146","author":[{"family":"Hart","given":"Robert G."},{"family":"Pearce","given":"Lesly A."},{"family":"Aguilar","given":"Maria I."}],"issued":{"date-parts":[["2007",6,19]]}}}],"schema":"https://github.com/citation-style-language/schema/raw/master/csl-citation.json"}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4F7868">
        <w:rPr>
          <w:rFonts w:ascii="Times New Roman" w:hAnsi="Times New Roman" w:cs="Times New Roman"/>
          <w:sz w:val="24"/>
          <w:szCs w:val="24"/>
          <w:vertAlign w:val="superscript"/>
        </w:rPr>
        <w:t>6</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the mortality rate </w:t>
      </w:r>
      <w:r>
        <w:rPr>
          <w:rFonts w:ascii="Times New Roman" w:eastAsia="Times New Roman" w:hAnsi="Times New Roman" w:cs="Times New Roman"/>
          <w:bCs/>
          <w:color w:val="000000" w:themeColor="text1"/>
          <w:sz w:val="24"/>
          <w:szCs w:val="24"/>
        </w:rPr>
        <w:t>in</w:t>
      </w:r>
      <w:r w:rsidRPr="00C95EA2">
        <w:rPr>
          <w:rFonts w:ascii="Times New Roman" w:eastAsia="Times New Roman" w:hAnsi="Times New Roman" w:cs="Times New Roman"/>
          <w:bCs/>
          <w:color w:val="000000" w:themeColor="text1"/>
          <w:sz w:val="24"/>
          <w:szCs w:val="24"/>
        </w:rPr>
        <w:t xml:space="preserve"> these patients is </w:t>
      </w:r>
      <w:r>
        <w:rPr>
          <w:rFonts w:ascii="Times New Roman" w:eastAsia="Times New Roman" w:hAnsi="Times New Roman" w:cs="Times New Roman"/>
          <w:bCs/>
          <w:color w:val="000000" w:themeColor="text1"/>
          <w:sz w:val="24"/>
          <w:szCs w:val="24"/>
        </w:rPr>
        <w:t xml:space="preserve">higher than in </w:t>
      </w:r>
      <w:r w:rsidRPr="00C95EA2">
        <w:rPr>
          <w:rFonts w:ascii="Times New Roman" w:eastAsia="Times New Roman" w:hAnsi="Times New Roman" w:cs="Times New Roman"/>
          <w:bCs/>
          <w:color w:val="000000" w:themeColor="text1"/>
          <w:sz w:val="24"/>
          <w:szCs w:val="24"/>
        </w:rPr>
        <w:t>the general population</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with </w:t>
      </w:r>
      <w:r w:rsidRPr="00C95EA2">
        <w:rPr>
          <w:rFonts w:ascii="Times New Roman" w:eastAsia="Times New Roman" w:hAnsi="Times New Roman" w:cs="Times New Roman"/>
          <w:bCs/>
          <w:color w:val="000000" w:themeColor="text1"/>
          <w:sz w:val="24"/>
          <w:szCs w:val="24"/>
        </w:rPr>
        <w:t xml:space="preserve">cardiovascular (CV) etiology </w:t>
      </w:r>
      <w:r>
        <w:rPr>
          <w:rFonts w:ascii="Times New Roman" w:eastAsia="Times New Roman" w:hAnsi="Times New Roman" w:cs="Times New Roman"/>
          <w:bCs/>
          <w:color w:val="000000" w:themeColor="text1"/>
          <w:sz w:val="24"/>
          <w:szCs w:val="24"/>
        </w:rPr>
        <w:t xml:space="preserve">being </w:t>
      </w:r>
      <w:r w:rsidRPr="00C95EA2">
        <w:rPr>
          <w:rFonts w:ascii="Times New Roman" w:eastAsia="Times New Roman" w:hAnsi="Times New Roman" w:cs="Times New Roman"/>
          <w:bCs/>
          <w:color w:val="000000" w:themeColor="text1"/>
          <w:sz w:val="24"/>
          <w:szCs w:val="24"/>
        </w:rPr>
        <w:t xml:space="preserve">an important cause of </w:t>
      </w:r>
      <w:r>
        <w:rPr>
          <w:rFonts w:ascii="Times New Roman" w:eastAsia="Times New Roman" w:hAnsi="Times New Roman" w:cs="Times New Roman"/>
          <w:bCs/>
          <w:color w:val="000000" w:themeColor="text1"/>
          <w:sz w:val="24"/>
          <w:szCs w:val="24"/>
        </w:rPr>
        <w:t xml:space="preserve">death. </w:t>
      </w:r>
      <w:r w:rsidRPr="00A93156">
        <w:rPr>
          <w:rFonts w:ascii="Times New Roman" w:eastAsia="Times New Roman" w:hAnsi="Times New Roman" w:cs="Times New Roman"/>
          <w:bCs/>
          <w:color w:val="000000" w:themeColor="text1"/>
          <w:sz w:val="24"/>
          <w:szCs w:val="24"/>
        </w:rPr>
        <w:t>Prediction functions for events can be derived from data using Machine Learning (ML) algorithms. ML systems have the potential to improve predictive performances especially when diagnoses are made from large volumes or complex patterns of data using non-linear, highly interactive combinations of variables to uncover novel patterns</w:t>
      </w:r>
      <w:r>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{"citationID":"QAXErQRI","properties":{"formattedCitation":"\\super 7,8\\nosupersub{}","plainCitation":"7,8","noteIndex":0},"citationItems":[{"id":287,"uris":["http://zotero.org/users/local/51ctrMZy/items/5RQRXVBD"],"itemData":{"id":287,"type":"article-journal","abstract":"Prediction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K"}],"issued":{"date-parts":[["2020",11,1]]}}},{"id":310,"uris":["http://zotero.org/users/local/51ctrMZy/items/ZPCKQMFX"],"itemData":{"id":310,"type":"article-journal","abstract":"There has been an exponential growth of artificial intelligence (AI) and machine learning (ML) publications aimed at advancing our understanding of atrial fibrillation (AF), which has been mainly driven by the confluence of two factors: the advances in deep neural networks (DeepNNs) and the availability of large, open access databases. It is observed that most of the attention has centred on applying ML for dvsetecting AF, particularly using electrocardiograms (ECGs) as the main data modality. Nearly a third of them used DeepNNs to minimize or eliminate the need for transforming the ECGs to extract features prior to ML modelling; however, we did not observe a significant advantage in following this approach. We also found a fraction of studies using other data modalities, and others centred in aims, such as risk prediction, AF management, and others. From the clinical perspective, AI/ML can help expand the utility of AF detection and risk prediction, especially for patients with additional comorbidities. The use of AI/ML for detection and risk prediction into applications and smart mobile health (mHealth) technology would enable ‘real time’ dynamic assessments. AI/ML could also adapt to treatment changes over time, as well as incident risk factors. Incorporation of a dynamic AI/ML model into mHealth technology would facilitate ‘real time’ assessment of stroke risk, facilitating mitigation of modifiable risk factors (e.g. blood pressure control). Overall, this would lead to an improvement in clinical care for patients with AF.","container-title":"Cardiovascular Research","DOI":"10.1093/cvr/cvab169","ISSN":"0008-6363","issue":"7","journalAbbreviation":"Cardiovascular Research","page":"1700-1717","source":"Silverchair","title":"How machine learning is impacting research in atrial fibrillation: implications for risk prediction and future management","title-short":"How machine learning is impacting research in atrial fibrillation","volume":"117","author":[{"family":"Olier","given":"Ivan"},{"family":"Ortega-Martorell","given":"Sandra"},{"family":"Pieroni","given":"Mark"},{"family":"Lip","given":"Gregory Y H"}],"issued":{"date-parts":[["2021",6,15]]}}}],"schema":"https://github.com/citation-style-language/schema/raw/master/csl-citation.json"} </w:instrText>
      </w:r>
      <w:r>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7,8</w:t>
      </w:r>
      <w:r>
        <w:rPr>
          <w:rFonts w:ascii="Times New Roman" w:eastAsia="Times New Roman" w:hAnsi="Times New Roman" w:cs="Times New Roman"/>
          <w:bCs/>
          <w:color w:val="000000" w:themeColor="text1"/>
          <w:sz w:val="24"/>
          <w:szCs w:val="24"/>
        </w:rPr>
        <w:fldChar w:fldCharType="end"/>
      </w:r>
      <w:r w:rsidRPr="00A93156">
        <w:rPr>
          <w:rFonts w:ascii="Times New Roman" w:eastAsia="Times New Roman" w:hAnsi="Times New Roman" w:cs="Times New Roman"/>
          <w:bCs/>
          <w:color w:val="000000" w:themeColor="text1"/>
          <w:sz w:val="24"/>
          <w:szCs w:val="24"/>
        </w:rPr>
        <w:t xml:space="preserve">. Therefore, these algorithms </w:t>
      </w:r>
      <w:r w:rsidRPr="002851A6">
        <w:rPr>
          <w:rFonts w:ascii="Times New Roman" w:eastAsia="Times New Roman" w:hAnsi="Times New Roman" w:cs="Times New Roman"/>
          <w:bCs/>
          <w:sz w:val="24"/>
          <w:szCs w:val="24"/>
        </w:rPr>
        <w:t>have been used in various contexts in AF, focusing on detection of AF or risk prediction modelling, in particular clinical outcome prediction</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{"citationID":"J67NB4Jx","properties":{"formattedCitation":"\\super 7,9,9\\uc0\\u8211{}11\\nosupersub{}","plainCitation":"7,9,9–11","noteIndex":0},"citationItems":[{"id":287,"uris":["http://zotero.org/users/local/51ctrMZy/items/5RQRXVBD"],"itemData":{"id":287,"type":"article-journal","abstract":"Prediction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K"}],"issued":{"date-parts":[["2020",11,1]]}}},{"id":528,"uris":["http://zotero.org/users/local/51ctrMZy/items/GJHBD7HH"],"itemData":{"id":528,"type":"article-journal","abstract":"Background\nAppropriate anticoagulant therapy for patients with atrial fibrillation (AF) requires assessment of stroke and bleeding risks. However, risk stratification schemas such as CHA2DS2-VASc and HAS-BLED have modest predictive capacity for patients with AF. Multilabel machine learning (ML) techniques may improve predictive performance and support decision-making for anticoagulant therapy. We compared the performance of multilabel ML models with the currently used risk scores for predicting outcomes in AF patients.\nMethods\nThis was a retrospective cohort study of 9670 patients, mean age 76.9 years, 46% women, who were hospitalized with non-valvular AF, and had 1-year follow-up. The outcomes were ischemic stroke (167), major bleeding (430) admissions, all-cause death (1912) and event-free survival (7387). Discrimination and calibration of ML models were compared with clinical risk scores by area under the curve (AUC). Risk stratification was assessed using net reclassification index (NRI).\nResults\nMultilabel gradient boosting classifier chain provided the best AUCs for stroke (0.685 95% CI 0.676, 0.694), major bleeding (0.709 95% CI 0.703, 0.716) and death (0.765 95% CI 0.763, 0.768) compared to multi-layer neural networks and classifier chain using support vector machine. It provided modest performance improvement for stroke compared to AUC of CHA2DS2-VASc (0.652, NRI = 3.2%, p-value = 0.1), but significantly improved major bleeding prediction compared to AUC of HAS-BLED (0.522, NRI = 22.8%, p-value &lt; 0.05). It also achieved greater discriminant power for death compared with AUC of CHA2DS2-VASc (0.606, p-value &lt; 0.05). ML models identified additional risk features such as hemoglobin level, renal function.\nConclusions\nMultilabel ML models can outperform clinical risk stratification scores for predicting the risk of major bleeding and death in non-valvular AF patients.","container-title":"Computers in Biology and Medicine","DOI":"10.1016/j.compbiomed.2022.106126","ISSN":"0010-4825","journalAbbreviation":"Computers in Biology and Medicine","language":"en","page":"106126","source":"ScienceDirect","title":"Performance of multilabel machine learning models and risk stratification schemas for predicting stroke and bleeding risk in patients with non-valvular atrial fibrillation","volume":"150","author":[{"family":"Lu","given":"Juan"},{"family":"Hutchens","given":"Rebecca"},{"family":"Hung","given":"Joseph"},{"family":"Bennamoun","given":"Mohammed"},{"family":"McQuillan","given":"Brendan"},{"family":"Briffa","given":"Tom"},{"family":"Sohel","given":"Ferdous"},{"family":"Murray","given":"Kevin"},{"family":"Stewart","given":"Jonathon"},{"family":"Chow","given":"Benjamin"},{"family":"Sanfilippo","given":"Frank"},{"family":"Dwivedi","given":"Girish"}],"issued":{"date-parts":[["2022",11,1]]}}},{"id":528,"uris":["http://zotero.org/users/local/51ctrMZy/items/GJHBD7HH"],"itemData":{"id":528,"type":"article-journal","abstract":"Background\nAppropriate anticoagulant therapy for patients with atrial fibrillation (AF) requires assessment of stroke and bleeding risks. However, risk stratification schemas such as CHA2DS2-VASc and HAS-BLED have modest predictive capacity for patients with AF. Multilabel machine learning (ML) techniques may improve predictive performance and support decision-making for anticoagulant therapy. We compared the performance of multilabel ML models with the currently used risk scores for predicting outcomes in AF patients.\nMethods\nThis was a retrospective cohort study of 9670 patients, mean age 76.9 years, 46% women, who were hospitalized with non-valvular AF, and had 1-year follow-up. The outcomes were ischemic stroke (167), major bleeding (430) admissions, all-cause death (1912) and event-free survival (7387). Discrimination and calibration of ML models were compared with clinical risk scores by area under the curve (AUC). Risk stratification was assessed using net reclassification index (NRI).\nResults\nMultilabel gradient boosting classifier chain provided the best AUCs for stroke (0.685 95% CI 0.676, 0.694), major bleeding (0.709 95% CI 0.703, 0.716) and death (0.765 95% CI 0.763, 0.768) compared to multi-layer neural networks and classifier chain using support vector machine. It provided modest performance improvement for stroke compared to AUC of CHA2DS2-VASc (0.652, NRI = 3.2%, p-value = 0.1), but significantly improved major bleeding prediction compared to AUC of HAS-BLED (0.522, NRI = 22.8%, p-value &lt; 0.05). It also achieved greater discriminant power for death compared with AUC of CHA2DS2-VASc (0.606, p-value &lt; 0.05). ML models identified additional risk features such as hemoglobin level, renal function.\nConclusions\nMultilabel ML models can outperform clinical risk stratification scores for predicting the risk of major bleeding and death in non-valvular AF patients.","container-title":"Computers in Biology and Medicine","DOI":"10.1016/j.compbiomed.2022.106126","ISSN":"0010-4825","journalAbbreviation":"Computers in Biology and Medicine","language":"en","page":"106126","source":"ScienceDirect","title":"Performance of multilabel machine learning models and risk stratification schemas for predicting stroke and bleeding risk in patients with non-valvular atrial fibrillation","volume":"150","author":[{"family":"Lu","given":"Juan"},{"family":"Hutchens","given":"Rebecca"},{"family":"Hung","given":"Joseph"},{"family":"Bennamoun","given":"Mohammed"},{"family":"McQuillan","given":"Brendan"},{"family":"Briffa","given":"Tom"},{"family":"Sohel","given":"Ferdous"},{"family":"Murray","given":"Kevin"},{"family":"Stewart","given":"Jonathon"},{"family":"Chow","given":"Benjamin"},{"family":"Sanfilippo","given":"Frank"},{"family":"Dwivedi","given":"Girish"}],"issued":{"date-parts":[["2022",11,1]]}}},{"id":724,"uris":["http://zotero.org/users/local/51ctrMZy/items/BXD3PNCN"],"itemData":{"id":724,"type":"article-journal","abstract":"AIMS: Diversified cardiovascular/non-cardiovascular multi-morbid risk and efficient machine learning algorithms may facilitate improvements in stroke risk prediction, especially in newly diagnosed non-anticoagulated atrial fibrillation (AF) patients where initial decision-making on stroke prevention is needed. Therefore the aims of this article are to study common clinical risk assessment for stroke risk prediction in AF/non-AF cohorts together with cardiovascular/ non-cardiovascular multi-morbid conditions; to improve stroke risk prediction using machine learning approaches; and to compare the improved clinical prediction rules for multi-morbid conditions using machine learning algorithms.\nMETHODS AND RESULTS: We used cohort data from two health plans with 6 457 412 males/females contributing 14,188,679 person-years of data. The model inputs consisted of a diversified list of comorbidities/demographic/ temporal exposure variables, with the outcome capturing stroke event incidences. Machine learning algorithms used two parametric and two nonparametric techniques. The best prediction model was derived on the basis of non-linear formulations using machine learning criteria, with the highest c-index was obtained for logistic regression [0.892; 95% confidence interval (CI) 0.886-0.898] with consistency on external validation (0.891; 95% CI 0.882-0.9). These were significantly higher than those based on the conventional stroke risk scores (CHADS2: 0.7488, 95% CI 0.746-0.7516; CHA2DS2-VASc: 0.7801, 95% CI 0.7772-0.7831) and multi-morbid index (0.8508, 95% CI 0.8483-0.8532). The machine learning algorithm had good internal and external calibration and net benefit values.\nCONCLUSION: In this large cohort of newly diagnosed non-anticoagulated AF/non-AF patients, large improvements in stroke risk prediction can be shown with cardiovascular/non-cardiovascular multi-morbid index and a machine learning approach accounting for dynamic changes in risk factors.","container-title":"European Heart Journal. Quality of Care &amp; Clinical Outcomes","DOI":"10.1093/ehjqcco/qcab037","ISSN":"2058-1742","issue":"5","journalAbbreviation":"Eur Heart J Qual Care Clin Outcomes","language":"eng","note":"PMID: 33999139\nPMCID: PMC9382661","page":"548-556","source":"PubMed","title":"Improving dynamic stroke risk prediction in non-anticoagulated patients with and without atrial fibrillation: comparing common clinical risk scores and machine learning algorithms","title-short":"Improving dynamic stroke risk prediction in non-anticoagulated patients with and without atrial fibrillation","volume":"8","author":[{"family":"Lip","given":"Gregory Y. H."},{"family":"Tran","given":"George"},{"family":"Genaidy","given":"Ash"},{"family":"Marroquin","given":"Patricia"},{"family":"Estes","given":"Cara"},{"family":"Landsheft","given":"Jeremy"}],"issued":{"date-parts":[["2022",8,17]]}}},{"id":328,"uris":["http://zotero.org/users/local/51ctrMZy/items/B2Y227NR"],"itemData":{"id":328,"type":"article-journal","abstract":"Atrial fibrillation (AF) is a common cardiac rhythm disorder, which increases the risk of ischemic stroke and other thromboembolism (TE). Accurate prediction of TE is highly valuable for early intervention to AF patients. However, the prediction performance of previous TE risk models for AF is not satisfactory. In this study, we used integrated machine learning and data mining approaches to build 2-year TE prediction models for AF from Chinese Atrial Fibrillation Registry data. We first performed data cleansing and imputation on the raw data to generate available dataset. Then a series of feature construction and selection methods were used to identify predictive risk factors, based on which supervised learning methods were applied to build the prediction models. The experimental results show that our approach can achieve higher prediction performance (AUC: 0.71~0.74) than previous TE prediction models for AF (AUC: 0.66~0.69), and identify new potential risk factors as well.","container-title":"AMIA ... Annual Symposium proceedings. AMIA Symposium","ISSN":"1942-597X","journalAbbreviation":"AMIA Annu Symp Proc","language":"eng","note":"PMID: 28269876\nPMCID: PMC5333223","page":"799-807","source":"PubMed","title":"Integrated Machine Learning Approaches for Predicting Ischemic Stroke and Thromboembolism in Atrial Fibrillation","volume":"2016","author":[{"family":"Li","given":"Xiang"},{"family":"Liu","given":"Haifeng"},{"family":"Du","given":"Xin"},{"family":"Zhang","given":"Ping"},{"family":"Hu","given":"Gang"},{"family":"Xie","given":"Guotong"},{"family":"Guo","given":"Shijing"},{"family":"Xu","given":"Meilin"},{"family":"Xie","given":"Xiaoping"}],"issued":{"date-parts":[["2016"]]}}}],"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7,9,9–11</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w:t>
      </w:r>
      <w:bookmarkStart w:id="2" w:name="_Hlk153190123"/>
      <w:r w:rsidRPr="002851A6">
        <w:rPr>
          <w:rFonts w:ascii="Times New Roman" w:eastAsia="Times New Roman" w:hAnsi="Times New Roman" w:cs="Times New Roman"/>
          <w:bCs/>
          <w:sz w:val="24"/>
          <w:szCs w:val="24"/>
        </w:rPr>
        <w:t>However, the previously published ML models predicted clinical outcomes in a not anticoagulated population</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{"citationID":"YSIGFNme","properties":{"formattedCitation":"\\super 10,11\\nosupersub{}","plainCitation":"10,11","noteIndex":0},"citationItems":[{"id":724,"uris":["http://zotero.org/users/local/51ctrMZy/items/BXD3PNCN"],"itemData":{"id":724,"type":"article-journal","abstract":"AIMS: Diversified cardiovascular/non-cardiovascular multi-morbid risk and efficient machine learning algorithms may facilitate improvements in stroke risk prediction, especially in newly diagnosed non-anticoagulated atrial fibrillation (AF) patients where initial decision-making on stroke prevention is needed. Therefore the aims of this article are to study common clinical risk assessment for stroke risk prediction in AF/non-AF cohorts together with cardiovascular/ non-cardiovascular multi-morbid conditions; to improve stroke risk prediction using machine learning approaches; and to compare the improved clinical prediction rules for multi-morbid conditions using machine learning algorithms.\nMETHODS AND RESULTS: We used cohort data from two health plans with 6 457 412 males/females contributing 14,188,679 person-years of data. The model inputs consisted of a diversified list of comorbidities/demographic/ temporal exposure variables, with the outcome capturing stroke event incidences. Machine learning algorithms used two parametric and two nonparametric techniques. The best prediction model was derived on the basis of non-linear formulations using machine learning criteria, with the highest c-index was obtained for logistic regression [0.892; 95% confidence interval (CI) 0.886-0.898] with consistency on external validation (0.891; 95% CI 0.882-0.9). These were significantly higher than those based on the conventional stroke risk scores (CHADS2: 0.7488, 95% CI 0.746-0.7516; CHA2DS2-VASc: 0.7801, 95% CI 0.7772-0.7831) and multi-morbid index (0.8508, 95% CI 0.8483-0.8532). The machine learning algorithm had good internal and external calibration and net benefit values.\nCONCLUSION: In this large cohort of newly diagnosed non-anticoagulated AF/non-AF patients, large improvements in stroke risk prediction can be shown with cardiovascular/non-cardiovascular multi-morbid index and a machine learning approach accounting for dynamic changes in risk factors.","container-title":"European Heart Journal. Quality of Care &amp; Clinical Outcomes","DOI":"10.1093/ehjqcco/qcab037","ISSN":"2058-1742","issue":"5","journalAbbreviation":"Eur Heart J Qual Care Clin Outcomes","language":"eng","note":"PMID: 33999139\nPMCID: PMC9382661","page":"548-556","source":"PubMed","title":"Improving dynamic stroke risk prediction in non-anticoagulated patients with and without atrial fibrillation: comparing common clinical risk scores and machine learning algorithms","title-short":"Improving dynamic stroke risk prediction in non-anticoagulated patients with and without atrial fibrillation","volume":"8","author":[{"family":"Lip","given":"Gregory Y. H."},{"family":"Tran","given":"George"},{"family":"Genaidy","given":"Ash"},{"family":"Marroquin","given":"Patricia"},{"family":"Estes","given":"Cara"},{"family":"Landsheft","given":"Jeremy"}],"issued":{"date-parts":[["2022",8,17]]}}},{"id":328,"uris":["http://zotero.org/users/local/51ctrMZy/items/B2Y227NR"],"itemData":{"id":328,"type":"article-journal","abstract":"Atrial fibrillation (AF) is a common cardiac rhythm disorder, which increases the risk of ischemic stroke and other thromboembolism (TE). Accurate prediction of TE is highly valuable for early intervention to AF patients. However, the prediction performance of previous TE risk models for AF is not satisfactory. In this study, we used integrated machine learning and data mining approaches to build 2-year TE prediction models for AF from Chinese Atrial Fibrillation Registry data. We first performed data cleansing and imputation on the raw data to generate available dataset. Then a series of feature construction and selection methods were used to identify predictive risk factors, based on which supervised learning methods were applied to build the prediction models. The experimental results show that our approach can achieve higher prediction performance (AUC: 0.71~0.74) than previous TE prediction models for AF (AUC: 0.66~0.69), and identify new potential risk factors as well.","container-title":"AMIA ... Annual Symposium proceedings. AMIA Symposium","ISSN":"1942-597X","journalAbbreviation":"AMIA Annu Symp Proc","language":"eng","note":"PMID: 28269876\nPMCID: PMC5333223","page":"799-807","source":"PubMed","title":"Integrated Machine Learning Approaches for Predicting Ischemic Stroke and Thromboembolism in Atrial Fibrillation","volume":"2016","author":[{"family":"Li","given":"Xiang"},{"family":"Liu","given":"Haifeng"},{"family":"Du","given":"Xin"},{"family":"Zhang","given":"Ping"},{"family":"Hu","given":"Gang"},{"family":"Xie","given":"Guotong"},{"family":"Guo","given":"Shijing"},{"family":"Xu","given":"Meilin"},{"family":"Xie","given":"Xiaoping"}],"issued":{"date-parts":[["2016"]]}}}],"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10,11</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in a partially anticoagulated population</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{"citationID":"Y4BkUi9B","properties":{"formattedCitation":"\\super 7,12\\nosupersub{}","plainCitation":"7,12","noteIndex":0},"citationItems":[{"id":287,"uris":["http://zotero.org/users/local/51ctrMZy/items/5RQRXVBD"],"itemData":{"id":287,"type":"article-journal","abstract":"Prediction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K"}],"issued":{"date-parts":[["2020",11,1]]}}},{"id":537,"uris":["http://zotero.org/users/local/51ctrMZy/items/MMYF7Q92"],"itemData":{"id":537,"type":"article-journal","abstract":"Atrial fibrillation (AF) is the most common cardiac arrhythmia in the world. We aimed to provide comprehensive data on international patterns of AF stroke prevention treatment.\nMETHODS: Demographics, comorbidities, and stroke risk of the patients in the GARFIELD-AF (n=51,270), ORBIT-AF I (n=10,132), and ORBIT-AF II (n=11,602) registries were compared (overall N=73,004 from 35 countries). Stroke prevention therapies were assessed among patients with new-onset AF (≤6 weeks).\nRESULTS: Patients from GARFIELD-AF were less likely to be white (63% vs 89% for ORBIT-AF I and 86% for ORBIT-AF II) or have coronary artery disease (19% vs 36% and 27%), but had similar stroke risk (85% CHA2DS2-VASc ≥2 vs 91% and 85%) and lower bleeding risk (11% with HAS-BLED ≥3 vs 24% and 15%). Oral anticoagulant use was 46% and 57% for patients with a CHA2DS2-VASc=0 and 69% and 87% for CHA2DS2-VASc ≥2 in GARFIELD-AF and ORBIT-AF II, respectively, but with substantial geographic heterogeneity in use of oral anticoagulant (range: 31%-93% [GARFIELD-AF] and 66%-100% [ORBIT-AF II]). Among patients with new-onset AF, non-vitamin K antagonist oral anticoagulant use increased over time to 43% in 2016 for GARFIELD-AF and 71% for ORBIT-AF II, whereas use of antiplatelet monotherapy decreased from 36% to 17% (GARFIELD-AF) and 18% to 8% (ORBIT-AF I and II).\nCONCLUSIONS: Among new-onset AF patients, non-vitamin K antagonist oral anticoagulant use has increased and antiplatelet monotherapy has decreased. However, anticoagulation is used frequently in low-risk patients and inconsistently in those at high risk of stroke. Significant geographic variability in anticoagulation persists and represents an opportunity for improvement.","container-title":"American Heart Journal","DOI":"10.1016/j.ahj.2017.08.011","ISSN":"1097-6744","journalAbbreviation":"Am Heart J","language":"eng","note":"PMID: 29223431","page":"132-140","source":"PubMed","title":"International trends in clinical characteristics and oral anticoagulation treatment for patients with atrial fibrillation: Results from the GARFIELD-AF, ORBIT-AF I, and ORBIT-AF II registries","title-short":"International trends in clinical characteristics and oral anticoagulation treatment for patients with atrial fibrillation","volume":"194","author":[{"family":"Steinberg","given":"Benjamin A."},{"family":"Gao","given":"Haiyan"},{"family":"Shrader","given":"Peter"},{"family":"Pieper","given":"Karen"},{"family":"Thomas","given":"Laine"},{"family":"Camm","given":"A. John"},{"family":"Ezekowitz","given":"Michael D."},{"family":"Fonarow","given":"Gregg C."},{"family":"Gersh","given":"Bernard J."},{"family":"Goldhaber","given":"Samuel"},{"family":"Haas","given":"Sylvia"},{"family":"Hacke","given":"Werner"},{"family":"Kowey","given":"Peter R."},{"family":"Ansell","given":"Jack"},{"family":"Mahaffey","given":"Kenneth W."},{"family":"Naccarelli","given":"Gerald"},{"family":"Reiffel","given":"James A."},{"family":"Turpie","given":"Alexander"},{"family":"Verheugt","given":"Freek"},{"family":"Piccini","given":"Jonathan P."},{"family":"Kakkar","given":"Ajay"},{"family":"Peterson","given":"Eric D."},{"family":"Fox","given":"Keith A. A."},{"literal":"GARFIELD-AF"},{"literal":"ORBIT-AF Investigators"}],"issued":{"date-parts":[["2017",12]]}}}],"schema":"https://github.com/citation-style-language/schema/raw/master/csl-citation.json"}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7,12</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or in patients exclusively </w:t>
      </w:r>
      <w:r w:rsidRPr="002851A6">
        <w:rPr>
          <w:rFonts w:ascii="Times New Roman" w:eastAsia="Times New Roman" w:hAnsi="Times New Roman" w:cs="Times New Roman"/>
          <w:bCs/>
          <w:sz w:val="24"/>
          <w:szCs w:val="24"/>
        </w:rPr>
        <w:lastRenderedPageBreak/>
        <w:t>anticoagulated with vitamin K antagonists (VKA)</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{"citationID":"pRpmIXFD","properties":{"formattedCitation":"\\super 13\\nosupersub{}","plainCitation":"13","noteIndex":0},"citationItems":[{"id":531,"uris":["http://zotero.org/users/local/51ctrMZy/items/Q4SRZJ43"],"itemData":{"id":531,"type":"article-journal","abstract":"Most clinical risk stratification models are based on measurement at a single time-point rather than serial measurements. Artificial intelligence (AI) is able to predict one-dimensional outcomes from multi-dimensional datasets. Using data from Global Anticoagulant Registry in the Field (GARFIELD)-AF registry, a new AI model was developed for predicting clinical outcomes in atrial fibrillation (AF) patients up to 1 year based on sequential measures of prothrombin time international normalized ratio (PT-INR) within 30 days of enrolment.Patients with newly diagnosed AF who were treated with vitamin K antagonists (VKAs) and had at least three measurements of PT-INR taken over the first 30 days after prescription were analysed. The AI model was constructed with multilayer neural network including long short-term memory and one-dimensional convolution layers. The neural network was trained using PT-INR measurements within days 0–30 after starting treatment and clinical outcomes over days 31–365 in a derivation cohort (cohorts 1–3; n = 3185). Accuracy of the AI model at predicting major bleed, stroke/systemic embolism (SE), and death was assessed in a validation cohort (cohorts 4–5; n = 1523). The model’s c-statistic for predicting major bleed, stroke/SE, and all-cause death was 0.75, 0.70, and 0.61, respectively.Using serial PT-INR values collected within 1 month after starting VKA, the new AI model performed better than time in therapeutic range at predicting clinical outcomes occurring up to 12 months thereafter. Serial PT-INR values contain important information that can be analysed by computer to help predict adverse clinical outcomes.","container-title":"European Heart Journal - Cardiovascular Pharmacotherapy","DOI":"10.1093/ehjcvp/pvz076","ISSN":"2055-6837","issue":"5","journalAbbreviation":"European Heart Journal - Cardiovascular Pharmacotherapy","page":"301-309","source":"Silverchair","title":"New artificial intelligence prediction model using serial prothrombin time international normalized ratio measurements in atrial fibrillation patients on vitamin K antagonists: GARFIELD-AF","title-short":"New artificial intelligence prediction model using serial prothrombin time international normalized ratio measurements in atrial fibrillation patients on vitamin K antagonists","volume":"6","author":[{"family":"Goto","given":"Shinichi"},{"family":"Goto","given":"Shinya"},{"family":"Pieper","given":"Karen S"},{"family":"Bassand","given":"Jean-Pierre"},{"family":"Camm","given":"Alan John"},{"family":"Fitzmaurice","given":"David A"},{"family":"Goldhaber","given":"Samuel Z"},{"family":"Haas","given":"Sylvia"},{"family":"Parkhomenko","given":"Alexander"},{"family":"Oto","given":"Ali"},{"family":"Misselwitz","given":"Frank"},{"family":"Turpie","given":"Alexander G G"},{"family":"Verheugt","given":"Freek W A"},{"family":"Fox","given":"Keith A A"},{"family":"Gersh","given":"Bernard J"},{"family":"Kakkar","given":"Ajay K"},{"literal":"for the GARFIELD-AF Investigators"}],"issued":{"date-parts":[["2020",9,1]]}}}],"schema":"https://github.com/citation-style-language/schema/raw/master/csl-citation.json"}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13</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w:t>
      </w:r>
      <w:bookmarkStart w:id="3" w:name="_Hlk148255228"/>
      <w:r w:rsidRPr="002851A6">
        <w:rPr>
          <w:rFonts w:ascii="Times New Roman" w:eastAsia="Times New Roman" w:hAnsi="Times New Roman" w:cs="Times New Roman"/>
          <w:bCs/>
          <w:sz w:val="24"/>
          <w:szCs w:val="24"/>
        </w:rPr>
        <w:t>thus limiting their applicability in the contemporary AF population, represented mainly by anticoagulated patients with DOACs</w:t>
      </w:r>
      <w:bookmarkEnd w:id="2"/>
      <w:bookmarkEnd w:id="3"/>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{"citationID":"tcAYHq4V","properties":{"formattedCitation":"\\super 14\\nosupersub{}","plainCitation":"14","noteIndex":0},"citationItems":[{"id":702,"uris":["http://zotero.org/users/local/51ctrMZy/items/TFLWYDAS"],"itemData":{"id":702,"type":"article-journal","abstract":"Background Among patients with nonvalvular atrial fibrillation (AF) and an elevated stroke risk, guidelines recommend direct oral anticoagulants (DOACs) over warfarin for stroke prevention. Changes in DOAC use over the past decade have not been well described. Methods and Results We evaluated trends in use of DOACs and warfarin from 2011 to 2020 among adults with AF and a CHA2DS2-VASc score ≥2 based on electronic health record data from 88 health systems in the United States contributing to Cerner Real World Data. The use of DOACs and warfarin was described over time, by age, sex, race, and ethnicity, and at the health-system level. We identified 436 864 patients with AF at risk for stroke (median age, 78 years; 52.1% men). From 2011 to 2020, overall anticoagulation rates increased from 56.3% to 64.7%, as DOAC use increased steadily (from 4.7% to 47.9%), while warfarin use declined (from 52.4% to 17.7%). DOAC uptake was similar across age, sex, and race and ethnicity groups but varied by health system. In 2020, the median health-system-level proportion of patients with AF on a DOAC was 49% (interquartile range, 40%-54%). Conclusions Over the past decade, anticoagulation rates for patients with AF have increased modestly as DOACs largely replaced warfarin, though significant gaps remain: One in 3 high-risk patients with AF is not on any anticoagulant. While DOAC adoption was generally consistent across major demographic groups, use between health systems remained highly variable, suggesting that provider and system factors influence DOAC uptake use more than patient-level factors.","container-title":"Journal of the American Heart Association","DOI":"10.1161/JAHA.122.026723","ISSN":"2047-9980","issue":"22","journalAbbreviation":"J Am Heart Assoc","language":"eng","note":"PMID: 36346063\nPMCID: PMC9750070","page":"e026723","source":"PubMed","title":"Trends in Oral Anticoagulant Use Among 436 864 Patients With Atrial Fibrillation in Community Practice, 2011 to 2020","volume":"11","author":[{"family":"Navar","given":"Ann Marie"},{"family":"Kolkailah","given":"Ahmed A."},{"family":"Overton","given":"Robert"},{"family":"Shah","given":"Nishant P."},{"family":"Rousseau","given":"Justin F."},{"family":"Flaker","given":"Greg C."},{"family":"Pignone","given":"Michael P."},{"family":"Peterson","given":"Eric D."}],"issued":{"date-parts":[["2022",11,15]]}}}],"schema":"https://github.com/citation-style-language/schema/raw/master/csl-citation.json"}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14</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Evidence is lacking for risk models to predict all-cause death, CV death, stroke, and major bleeding in an AF population entirely on anticoagulation therapy.  Furthermore, when an anticoagulated population was considered in the aforementioned studies, </w:t>
      </w:r>
      <w:bookmarkStart w:id="4" w:name="_Hlk153190255"/>
      <w:r w:rsidRPr="002851A6">
        <w:rPr>
          <w:rFonts w:ascii="Times New Roman" w:eastAsia="Times New Roman" w:hAnsi="Times New Roman" w:cs="Times New Roman"/>
          <w:bCs/>
          <w:sz w:val="24"/>
          <w:szCs w:val="24"/>
        </w:rPr>
        <w:t>the outcome prediction was carried out without taking into account the type of anticoagulation used (VKAs or DOACs).</w:t>
      </w:r>
    </w:p>
    <w:bookmarkEnd w:id="4"/>
    <w:p w14:paraId="1D1B1E07" w14:textId="2CCE1E8D" w:rsidR="002D3735" w:rsidRPr="00C95EA2"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hAnsi="Times New Roman" w:cs="Times New Roman"/>
          <w:color w:val="000000" w:themeColor="text1"/>
          <w:sz w:val="24"/>
          <w:szCs w:val="24"/>
        </w:rPr>
        <w:t xml:space="preserve">The AF </w:t>
      </w:r>
      <w:r w:rsidRPr="00C95EA2">
        <w:rPr>
          <w:rFonts w:ascii="Times New Roman" w:eastAsia="Times New Roman" w:hAnsi="Times New Roman" w:cs="Times New Roman"/>
          <w:bCs/>
          <w:color w:val="000000" w:themeColor="text1"/>
          <w:sz w:val="24"/>
          <w:szCs w:val="24"/>
        </w:rPr>
        <w:t>START-2 (Survey on anTicoagulated pAtients RegisTer, NCT02219984) is an Italian observational, multicent</w:t>
      </w:r>
      <w:r>
        <w:rPr>
          <w:rFonts w:ascii="Times New Roman" w:eastAsia="Times New Roman" w:hAnsi="Times New Roman" w:cs="Times New Roman"/>
          <w:bCs/>
          <w:color w:val="000000" w:themeColor="text1"/>
          <w:sz w:val="24"/>
          <w:szCs w:val="24"/>
        </w:rPr>
        <w:t>er,</w:t>
      </w:r>
      <w:r w:rsidRPr="00C95EA2">
        <w:rPr>
          <w:rFonts w:ascii="Times New Roman" w:eastAsia="Times New Roman" w:hAnsi="Times New Roman" w:cs="Times New Roman"/>
          <w:bCs/>
          <w:color w:val="000000" w:themeColor="text1"/>
          <w:sz w:val="24"/>
          <w:szCs w:val="24"/>
        </w:rPr>
        <w:t xml:space="preserve"> prospective cohort study </w:t>
      </w:r>
      <w:r w:rsidRPr="00C95EA2">
        <w:rPr>
          <w:rFonts w:ascii="Times New Roman" w:hAnsi="Times New Roman" w:cs="Times New Roman"/>
          <w:color w:val="000000" w:themeColor="text1"/>
          <w:sz w:val="24"/>
          <w:szCs w:val="24"/>
        </w:rPr>
        <w:t xml:space="preserve">designed to provide </w:t>
      </w:r>
      <w:r>
        <w:rPr>
          <w:rFonts w:ascii="Times New Roman" w:hAnsi="Times New Roman" w:cs="Times New Roman"/>
          <w:color w:val="000000" w:themeColor="text1"/>
          <w:sz w:val="24"/>
          <w:szCs w:val="24"/>
        </w:rPr>
        <w:t xml:space="preserve">prescriptive and prognostic </w:t>
      </w:r>
      <w:r w:rsidRPr="00C95EA2">
        <w:rPr>
          <w:rFonts w:ascii="Times New Roman" w:hAnsi="Times New Roman" w:cs="Times New Roman"/>
          <w:color w:val="000000" w:themeColor="text1"/>
          <w:sz w:val="24"/>
          <w:szCs w:val="24"/>
        </w:rPr>
        <w:t xml:space="preserve">information on AF patients </w:t>
      </w:r>
      <w:r>
        <w:rPr>
          <w:rFonts w:ascii="Times New Roman" w:hAnsi="Times New Roman" w:cs="Times New Roman"/>
          <w:color w:val="000000" w:themeColor="text1"/>
          <w:sz w:val="24"/>
          <w:szCs w:val="24"/>
        </w:rPr>
        <w:t>receiving long-term</w:t>
      </w:r>
      <w:r w:rsidRPr="00C95EA2">
        <w:rPr>
          <w:rFonts w:ascii="Times New Roman" w:hAnsi="Times New Roman" w:cs="Times New Roman"/>
          <w:color w:val="000000" w:themeColor="text1"/>
          <w:sz w:val="24"/>
          <w:szCs w:val="24"/>
        </w:rPr>
        <w:t xml:space="preserve"> anticoagula</w:t>
      </w:r>
      <w:r>
        <w:rPr>
          <w:rFonts w:ascii="Times New Roman" w:hAnsi="Times New Roman" w:cs="Times New Roman"/>
          <w:color w:val="000000" w:themeColor="text1"/>
          <w:sz w:val="24"/>
          <w:szCs w:val="24"/>
        </w:rPr>
        <w:t>tion</w:t>
      </w:r>
      <w:r w:rsidRPr="00C95EA2">
        <w:rPr>
          <w:rFonts w:ascii="Times New Roman" w:hAnsi="Times New Roman" w:cs="Times New Roman"/>
          <w:color w:val="000000" w:themeColor="text1"/>
          <w:sz w:val="24"/>
          <w:szCs w:val="24"/>
        </w:rPr>
        <w:t xml:space="preserve"> with VKAs or DOAC</w:t>
      </w:r>
      <w:r>
        <w:rPr>
          <w:rFonts w:ascii="Times New Roman" w:hAnsi="Times New Roman" w:cs="Times New Roman"/>
          <w:color w:val="000000" w:themeColor="text1"/>
          <w:sz w:val="24"/>
          <w:szCs w:val="24"/>
        </w:rPr>
        <w:t>s</w:t>
      </w:r>
      <w:r w:rsidRPr="00C95EA2" w:rsidDel="00B47A1B">
        <w:rPr>
          <w:rFonts w:ascii="Times New Roman" w:hAnsi="Times New Roman" w:cs="Times New Roman"/>
          <w:color w:val="000000" w:themeColor="text1"/>
          <w:sz w:val="24"/>
          <w:szCs w:val="24"/>
        </w:rPr>
        <w:t xml:space="preserve"> </w:t>
      </w:r>
      <w:r w:rsidRPr="00C95EA2">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ZOTERO_ITEM CSL_CITATION {"citationID":"sJvCAeFg","properties":{"formattedCitation":"\\super 15\\nosupersub{}","plainCitation":"15","noteIndex":0},"citationItems":[{"id":304,"uris":["http://zotero.org/users/local/51ctrMZy/items/YWUVP37J"],"itemData":{"id":304,"type":"article-journal","abstract":"START-Register--Survey on anTicoagulated pAtients RegisTer--is an independent, inception-cohort, observational, collaborative database aimed at recording prospectively the clinical history of adult patients starting anticoagulant treatment for any reason and using whatever drug. In this article we present the START-Register and give cross section baseline data focusing on non valvular atrial fibrillation (NVAF). Participants are asked to insert prospectively consecutive patients recorded as electronic file on the web-site of the registry. Required data are: demographic and clinical characteristics of patients, associated risk factors for stroke and bleeding, laboratory routine data, clinical indication for treatment, expected therapeutic range (in cases of treatment with vitamin K antagonists -VKAs). The follow-up is carried out to record: quality of treatment (for patients on VKAs), bleeding complications, thrombotic events, and the onset of any type of associated disease. To date 5252 patients have been enrolled; 97.6% were on VKAs because direct oral anticoagulants (DOAC) have been available in Italy only recently. The median age was 74 years [interquartile range (IQR) 64-80]; males 53.7%. This analysis is focused on the 3209 (61.1%) NVAF patients. Mean CHADS2 score was 2.1 ± 1.1, CHADSVASc score was 3.1 ± 1.3;median age was 76 years (IQR 70-81); 168 patients (5.3%) had severe renal failure [Creatinine clearance (CrCl) &lt;30 ml/min]. Moderate renal failure (CrCl 30-59 ml/min) was found in 1265 patients (39.5%). The analysis of the START-Register data shows that two-third of patients who started chronic anticoagulant treatment had NVAF, one-third of them was &gt; 80 years with high prevalence of renal failure.","container-title":"PloS One","DOI":"10.1371/journal.pone.0124719","ISSN":"1932-6203","issue":"5","journalAbbreviation":"PLoS One","language":"eng","note":"PMID: 26001109\nPMCID: PMC4441383","page":"e0124719","source":"PubMed","title":"The Italian START-Register on Anticoagulation with Focus on Atrial Fibrillation","volume":"10","author":[{"family":"Antonucci","given":"Emilia"},{"family":"Poli","given":"Daniela"},{"family":"Tosetto","given":"Alberto"},{"family":"Pengo","given":"Vittorio"},{"family":"Tripodi","given":"Armando"},{"family":"Magrini","given":"Nicola"},{"family":"Marongiu","given":"Francesco"},{"family":"Palareti","given":"Gualtiero"},{"literal":"START-Register"}],"issued":{"date-parts":[["2015"]]}}}],"schema":"https://github.com/citation-style-language/schema/raw/master/csl-citation.json"} </w:instrText>
      </w:r>
      <w:r w:rsidRPr="00C95EA2">
        <w:rPr>
          <w:rFonts w:ascii="Times New Roman" w:hAnsi="Times New Roman" w:cs="Times New Roman"/>
          <w:color w:val="000000" w:themeColor="text1"/>
          <w:sz w:val="24"/>
          <w:szCs w:val="24"/>
        </w:rPr>
        <w:fldChar w:fldCharType="separate"/>
      </w:r>
      <w:r w:rsidRPr="00E47694">
        <w:rPr>
          <w:rFonts w:ascii="Times New Roman" w:hAnsi="Times New Roman" w:cs="Times New Roman"/>
          <w:sz w:val="24"/>
          <w:szCs w:val="24"/>
          <w:vertAlign w:val="superscript"/>
        </w:rPr>
        <w:t>15</w:t>
      </w:r>
      <w:r w:rsidRPr="00C95EA2">
        <w:rPr>
          <w:rFonts w:ascii="Times New Roman" w:hAnsi="Times New Roman" w:cs="Times New Roman"/>
          <w:color w:val="000000" w:themeColor="text1"/>
          <w:sz w:val="24"/>
          <w:szCs w:val="24"/>
        </w:rPr>
        <w:fldChar w:fldCharType="end"/>
      </w:r>
      <w:r w:rsidRPr="00C95EA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bookmarkStart w:id="5" w:name="_Hlk144482772"/>
    </w:p>
    <w:bookmarkEnd w:id="5"/>
    <w:p w14:paraId="548F5BFF" w14:textId="77777777" w:rsidR="00A473E3" w:rsidRDefault="00A473E3" w:rsidP="00B826E3">
      <w:pPr>
        <w:pStyle w:val="Default"/>
        <w:spacing w:line="480" w:lineRule="auto"/>
        <w:jc w:val="both"/>
        <w:rPr>
          <w:color w:val="auto"/>
          <w:sz w:val="22"/>
          <w:szCs w:val="22"/>
          <w:lang w:val="en-GB"/>
        </w:rPr>
      </w:pPr>
    </w:p>
    <w:p w14:paraId="4B043558" w14:textId="77777777" w:rsidR="002D3735" w:rsidRDefault="002D3735" w:rsidP="00B826E3">
      <w:pPr>
        <w:pStyle w:val="Default"/>
        <w:spacing w:line="480" w:lineRule="auto"/>
        <w:jc w:val="both"/>
        <w:rPr>
          <w:color w:val="auto"/>
          <w:sz w:val="22"/>
          <w:szCs w:val="22"/>
          <w:lang w:val="en-GB"/>
        </w:rPr>
      </w:pPr>
    </w:p>
    <w:p w14:paraId="5C37E673" w14:textId="77777777" w:rsidR="002D3735" w:rsidRDefault="002D3735" w:rsidP="00B826E3">
      <w:pPr>
        <w:pStyle w:val="Default"/>
        <w:spacing w:line="480" w:lineRule="auto"/>
        <w:jc w:val="both"/>
        <w:rPr>
          <w:color w:val="auto"/>
          <w:sz w:val="22"/>
          <w:szCs w:val="22"/>
          <w:lang w:val="en-GB"/>
        </w:rPr>
      </w:pPr>
    </w:p>
    <w:p w14:paraId="346E6439" w14:textId="77777777" w:rsidR="002D3735" w:rsidRDefault="002D3735" w:rsidP="00B826E3">
      <w:pPr>
        <w:pStyle w:val="Default"/>
        <w:spacing w:line="480" w:lineRule="auto"/>
        <w:jc w:val="both"/>
        <w:rPr>
          <w:color w:val="auto"/>
          <w:sz w:val="22"/>
          <w:szCs w:val="22"/>
          <w:lang w:val="en-GB"/>
        </w:rPr>
      </w:pPr>
    </w:p>
    <w:p w14:paraId="663119AA" w14:textId="77777777" w:rsidR="002D3735" w:rsidRDefault="002D3735" w:rsidP="00B826E3">
      <w:pPr>
        <w:pStyle w:val="Default"/>
        <w:spacing w:line="480" w:lineRule="auto"/>
        <w:jc w:val="both"/>
        <w:rPr>
          <w:color w:val="auto"/>
          <w:sz w:val="22"/>
          <w:szCs w:val="22"/>
          <w:lang w:val="en-GB"/>
        </w:rPr>
      </w:pPr>
    </w:p>
    <w:p w14:paraId="50EF875E" w14:textId="77777777" w:rsidR="002D3735" w:rsidRDefault="002D3735" w:rsidP="00B826E3">
      <w:pPr>
        <w:pStyle w:val="Default"/>
        <w:spacing w:line="480" w:lineRule="auto"/>
        <w:jc w:val="both"/>
        <w:rPr>
          <w:color w:val="auto"/>
          <w:sz w:val="22"/>
          <w:szCs w:val="22"/>
          <w:lang w:val="en-GB"/>
        </w:rPr>
      </w:pPr>
    </w:p>
    <w:p w14:paraId="0EBE92C2" w14:textId="77777777" w:rsidR="002D3735" w:rsidRDefault="002D3735" w:rsidP="00B826E3">
      <w:pPr>
        <w:pStyle w:val="Default"/>
        <w:spacing w:line="480" w:lineRule="auto"/>
        <w:jc w:val="both"/>
        <w:rPr>
          <w:color w:val="auto"/>
          <w:sz w:val="22"/>
          <w:szCs w:val="22"/>
          <w:lang w:val="en-GB"/>
        </w:rPr>
      </w:pPr>
    </w:p>
    <w:p w14:paraId="61AA426E" w14:textId="77777777" w:rsidR="002D3735" w:rsidRDefault="002D3735" w:rsidP="00B826E3">
      <w:pPr>
        <w:pStyle w:val="Default"/>
        <w:spacing w:line="480" w:lineRule="auto"/>
        <w:jc w:val="both"/>
        <w:rPr>
          <w:color w:val="auto"/>
          <w:sz w:val="22"/>
          <w:szCs w:val="22"/>
          <w:lang w:val="en-GB"/>
        </w:rPr>
      </w:pPr>
    </w:p>
    <w:p w14:paraId="7099A8F8" w14:textId="77777777" w:rsidR="002D3735" w:rsidRDefault="002D3735" w:rsidP="00B826E3">
      <w:pPr>
        <w:pStyle w:val="Default"/>
        <w:spacing w:line="480" w:lineRule="auto"/>
        <w:jc w:val="both"/>
        <w:rPr>
          <w:color w:val="auto"/>
          <w:sz w:val="22"/>
          <w:szCs w:val="22"/>
          <w:lang w:val="en-GB"/>
        </w:rPr>
      </w:pPr>
    </w:p>
    <w:p w14:paraId="1BCDD250" w14:textId="77777777" w:rsidR="002D3735" w:rsidRDefault="002D3735" w:rsidP="00B826E3">
      <w:pPr>
        <w:pStyle w:val="Default"/>
        <w:spacing w:line="480" w:lineRule="auto"/>
        <w:jc w:val="both"/>
        <w:rPr>
          <w:color w:val="auto"/>
          <w:sz w:val="22"/>
          <w:szCs w:val="22"/>
          <w:lang w:val="en-GB"/>
        </w:rPr>
      </w:pPr>
    </w:p>
    <w:p w14:paraId="16B49117" w14:textId="77777777" w:rsidR="002D3735" w:rsidRDefault="002D3735" w:rsidP="00B826E3">
      <w:pPr>
        <w:pStyle w:val="Default"/>
        <w:spacing w:line="480" w:lineRule="auto"/>
        <w:jc w:val="both"/>
        <w:rPr>
          <w:color w:val="auto"/>
          <w:sz w:val="22"/>
          <w:szCs w:val="22"/>
          <w:lang w:val="en-GB"/>
        </w:rPr>
      </w:pPr>
    </w:p>
    <w:p w14:paraId="66903645" w14:textId="77777777" w:rsidR="002D3735" w:rsidRDefault="002D3735" w:rsidP="00B826E3">
      <w:pPr>
        <w:pStyle w:val="Default"/>
        <w:spacing w:line="480" w:lineRule="auto"/>
        <w:jc w:val="both"/>
        <w:rPr>
          <w:color w:val="auto"/>
          <w:sz w:val="22"/>
          <w:szCs w:val="22"/>
          <w:lang w:val="en-GB"/>
        </w:rPr>
      </w:pPr>
    </w:p>
    <w:p w14:paraId="2F698E36" w14:textId="77777777" w:rsidR="002D3735" w:rsidRPr="002D3735" w:rsidRDefault="002D3735" w:rsidP="00B826E3">
      <w:pPr>
        <w:pStyle w:val="Default"/>
        <w:spacing w:line="480" w:lineRule="auto"/>
        <w:jc w:val="both"/>
        <w:rPr>
          <w:color w:val="auto"/>
          <w:sz w:val="22"/>
          <w:szCs w:val="22"/>
          <w:lang w:val="en-GB"/>
        </w:rPr>
      </w:pPr>
    </w:p>
    <w:p w14:paraId="1AC92E3D" w14:textId="77777777" w:rsidR="00A473E3" w:rsidRPr="002D3735" w:rsidRDefault="00A473E3" w:rsidP="00B826E3">
      <w:pPr>
        <w:pStyle w:val="Default"/>
        <w:spacing w:line="480" w:lineRule="auto"/>
        <w:jc w:val="both"/>
        <w:rPr>
          <w:color w:val="auto"/>
          <w:sz w:val="22"/>
          <w:szCs w:val="22"/>
          <w:lang w:val="en-US"/>
        </w:rPr>
      </w:pPr>
    </w:p>
    <w:p w14:paraId="32FFA384" w14:textId="1499F684" w:rsidR="00B61D4B" w:rsidRDefault="002D3735" w:rsidP="002713F4">
      <w:pPr>
        <w:pStyle w:val="TITOLOTNR"/>
        <w:rPr>
          <w:sz w:val="24"/>
          <w:szCs w:val="24"/>
          <w:lang w:val="en-US"/>
        </w:rPr>
      </w:pPr>
      <w:bookmarkStart w:id="6" w:name="_Toc193649584"/>
      <w:r w:rsidRPr="002713F4">
        <w:rPr>
          <w:sz w:val="24"/>
          <w:szCs w:val="24"/>
          <w:lang w:val="en-US"/>
        </w:rPr>
        <w:lastRenderedPageBreak/>
        <w:t>AIM OF THE STUDY</w:t>
      </w:r>
      <w:bookmarkEnd w:id="6"/>
    </w:p>
    <w:p w14:paraId="58985147" w14:textId="77777777" w:rsidR="002713F4" w:rsidRPr="002713F4" w:rsidRDefault="002713F4" w:rsidP="002713F4">
      <w:pPr>
        <w:pStyle w:val="TITOLOTNR"/>
        <w:rPr>
          <w:sz w:val="24"/>
          <w:szCs w:val="24"/>
          <w:lang w:val="en-US"/>
        </w:rPr>
      </w:pPr>
    </w:p>
    <w:p w14:paraId="7A76E1CF" w14:textId="77777777" w:rsidR="002D3735" w:rsidRPr="00C95EA2"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eastAsia="Times New Roman" w:hAnsi="Times New Roman" w:cs="Times New Roman"/>
          <w:bCs/>
          <w:color w:val="000000" w:themeColor="text1"/>
          <w:sz w:val="24"/>
          <w:szCs w:val="24"/>
        </w:rPr>
        <w:t xml:space="preserve">The aim of this study is to use ML to </w:t>
      </w:r>
      <w:r>
        <w:rPr>
          <w:rFonts w:ascii="Times New Roman" w:eastAsia="Times New Roman" w:hAnsi="Times New Roman" w:cs="Times New Roman"/>
          <w:bCs/>
          <w:color w:val="000000" w:themeColor="text1"/>
          <w:sz w:val="24"/>
          <w:szCs w:val="24"/>
        </w:rPr>
        <w:t xml:space="preserve">provide </w:t>
      </w:r>
      <w:r w:rsidRPr="00C95EA2">
        <w:rPr>
          <w:rFonts w:ascii="Times New Roman" w:eastAsia="Times New Roman" w:hAnsi="Times New Roman" w:cs="Times New Roman"/>
          <w:bCs/>
          <w:color w:val="000000" w:themeColor="text1"/>
          <w:sz w:val="24"/>
          <w:szCs w:val="24"/>
        </w:rPr>
        <w:t xml:space="preserve">an accurate tool to predict </w:t>
      </w:r>
      <w:r>
        <w:rPr>
          <w:rFonts w:ascii="Times New Roman" w:eastAsia="Times New Roman" w:hAnsi="Times New Roman" w:cs="Times New Roman"/>
          <w:bCs/>
          <w:color w:val="000000" w:themeColor="text1"/>
          <w:sz w:val="24"/>
          <w:szCs w:val="24"/>
        </w:rPr>
        <w:t xml:space="preserve">the risk of </w:t>
      </w:r>
      <w:r w:rsidRPr="00C95EA2">
        <w:rPr>
          <w:rFonts w:ascii="Times New Roman" w:eastAsia="Times New Roman" w:hAnsi="Times New Roman" w:cs="Times New Roman"/>
          <w:bCs/>
          <w:color w:val="000000" w:themeColor="text1"/>
          <w:sz w:val="24"/>
          <w:szCs w:val="24"/>
        </w:rPr>
        <w:t xml:space="preserve">all-cause </w:t>
      </w:r>
      <w:r>
        <w:rPr>
          <w:rFonts w:ascii="Times New Roman" w:eastAsia="Times New Roman" w:hAnsi="Times New Roman" w:cs="Times New Roman"/>
          <w:bCs/>
          <w:color w:val="000000" w:themeColor="text1"/>
          <w:sz w:val="24"/>
          <w:szCs w:val="24"/>
        </w:rPr>
        <w:t xml:space="preserve">death, </w:t>
      </w:r>
      <w:r w:rsidRPr="00C95EA2">
        <w:rPr>
          <w:rFonts w:ascii="Times New Roman" w:eastAsia="Times New Roman" w:hAnsi="Times New Roman" w:cs="Times New Roman"/>
          <w:bCs/>
          <w:color w:val="000000" w:themeColor="text1"/>
          <w:sz w:val="24"/>
          <w:szCs w:val="24"/>
        </w:rPr>
        <w:t xml:space="preserve">CV death, </w:t>
      </w:r>
      <w:r>
        <w:rPr>
          <w:rFonts w:ascii="Times New Roman" w:eastAsia="Times New Roman" w:hAnsi="Times New Roman" w:cs="Times New Roman"/>
          <w:bCs/>
          <w:color w:val="000000" w:themeColor="text1"/>
          <w:sz w:val="24"/>
          <w:szCs w:val="24"/>
        </w:rPr>
        <w:t xml:space="preserve">stroke, and </w:t>
      </w:r>
      <w:r w:rsidRPr="00C95EA2">
        <w:rPr>
          <w:rFonts w:ascii="Times New Roman" w:eastAsia="Times New Roman" w:hAnsi="Times New Roman" w:cs="Times New Roman"/>
          <w:bCs/>
          <w:color w:val="000000" w:themeColor="text1"/>
          <w:sz w:val="24"/>
          <w:szCs w:val="24"/>
        </w:rPr>
        <w:t xml:space="preserve">major bleeding in </w:t>
      </w:r>
      <w:r>
        <w:rPr>
          <w:rFonts w:ascii="Times New Roman" w:eastAsia="Times New Roman" w:hAnsi="Times New Roman" w:cs="Times New Roman"/>
          <w:bCs/>
          <w:color w:val="000000" w:themeColor="text1"/>
          <w:sz w:val="24"/>
          <w:szCs w:val="24"/>
        </w:rPr>
        <w:t xml:space="preserve">a large cohort of </w:t>
      </w:r>
      <w:r w:rsidRPr="00C95EA2">
        <w:rPr>
          <w:rFonts w:ascii="Times New Roman" w:eastAsia="Times New Roman" w:hAnsi="Times New Roman" w:cs="Times New Roman"/>
          <w:bCs/>
          <w:color w:val="000000" w:themeColor="text1"/>
          <w:sz w:val="24"/>
          <w:szCs w:val="24"/>
        </w:rPr>
        <w:t xml:space="preserve">anticoagulated patients with AF from the START-2 Register. </w:t>
      </w:r>
    </w:p>
    <w:p w14:paraId="2FF9E0EE" w14:textId="77777777" w:rsidR="00A32CF9" w:rsidRPr="002D3735" w:rsidRDefault="00A32CF9" w:rsidP="00B826E3">
      <w:pPr>
        <w:pStyle w:val="Default"/>
        <w:spacing w:line="480" w:lineRule="auto"/>
        <w:jc w:val="both"/>
        <w:rPr>
          <w:sz w:val="22"/>
          <w:szCs w:val="22"/>
          <w:lang w:val="en-GB"/>
        </w:rPr>
      </w:pPr>
    </w:p>
    <w:p w14:paraId="2036D2FE" w14:textId="77777777" w:rsidR="00392716" w:rsidRPr="002D3735" w:rsidRDefault="00392716" w:rsidP="00B826E3">
      <w:pPr>
        <w:pStyle w:val="Default"/>
        <w:spacing w:line="480" w:lineRule="auto"/>
        <w:jc w:val="both"/>
        <w:rPr>
          <w:sz w:val="22"/>
          <w:szCs w:val="22"/>
          <w:lang w:val="en-US"/>
        </w:rPr>
      </w:pPr>
    </w:p>
    <w:p w14:paraId="72492D84" w14:textId="77777777" w:rsidR="00392716" w:rsidRPr="002D3735" w:rsidRDefault="00392716" w:rsidP="00B826E3">
      <w:pPr>
        <w:pStyle w:val="Default"/>
        <w:spacing w:line="480" w:lineRule="auto"/>
        <w:jc w:val="both"/>
        <w:rPr>
          <w:sz w:val="22"/>
          <w:szCs w:val="22"/>
          <w:lang w:val="en-US"/>
        </w:rPr>
      </w:pPr>
    </w:p>
    <w:p w14:paraId="7C641996" w14:textId="77777777" w:rsidR="00392716" w:rsidRPr="002D3735" w:rsidRDefault="00392716" w:rsidP="00B826E3">
      <w:pPr>
        <w:pStyle w:val="Default"/>
        <w:spacing w:line="480" w:lineRule="auto"/>
        <w:jc w:val="both"/>
        <w:rPr>
          <w:sz w:val="22"/>
          <w:szCs w:val="22"/>
          <w:lang w:val="en-US"/>
        </w:rPr>
      </w:pPr>
    </w:p>
    <w:p w14:paraId="27367A6B" w14:textId="77777777" w:rsidR="00392716" w:rsidRPr="002D3735" w:rsidRDefault="00392716" w:rsidP="00B826E3">
      <w:pPr>
        <w:pStyle w:val="Default"/>
        <w:spacing w:line="480" w:lineRule="auto"/>
        <w:jc w:val="both"/>
        <w:rPr>
          <w:sz w:val="22"/>
          <w:szCs w:val="22"/>
          <w:lang w:val="en-US"/>
        </w:rPr>
      </w:pPr>
    </w:p>
    <w:p w14:paraId="70031623" w14:textId="77777777" w:rsidR="00392716" w:rsidRPr="002D3735" w:rsidRDefault="00392716" w:rsidP="00B826E3">
      <w:pPr>
        <w:pStyle w:val="Default"/>
        <w:spacing w:line="480" w:lineRule="auto"/>
        <w:jc w:val="both"/>
        <w:rPr>
          <w:sz w:val="22"/>
          <w:szCs w:val="22"/>
          <w:lang w:val="en-US"/>
        </w:rPr>
      </w:pPr>
    </w:p>
    <w:p w14:paraId="4175308E" w14:textId="77777777" w:rsidR="00392716" w:rsidRPr="002D3735" w:rsidRDefault="00392716" w:rsidP="00B826E3">
      <w:pPr>
        <w:pStyle w:val="Default"/>
        <w:spacing w:line="480" w:lineRule="auto"/>
        <w:jc w:val="both"/>
        <w:rPr>
          <w:sz w:val="22"/>
          <w:szCs w:val="22"/>
          <w:lang w:val="en-US"/>
        </w:rPr>
      </w:pPr>
    </w:p>
    <w:p w14:paraId="47D48A88" w14:textId="77777777" w:rsidR="00392716" w:rsidRPr="002D3735" w:rsidRDefault="00392716" w:rsidP="00B826E3">
      <w:pPr>
        <w:pStyle w:val="Default"/>
        <w:spacing w:line="480" w:lineRule="auto"/>
        <w:jc w:val="both"/>
        <w:rPr>
          <w:sz w:val="22"/>
          <w:szCs w:val="22"/>
          <w:lang w:val="en-US"/>
        </w:rPr>
      </w:pPr>
    </w:p>
    <w:p w14:paraId="3FD3602B" w14:textId="77777777" w:rsidR="00392716" w:rsidRPr="002D3735" w:rsidRDefault="00392716" w:rsidP="00B826E3">
      <w:pPr>
        <w:pStyle w:val="Default"/>
        <w:spacing w:line="480" w:lineRule="auto"/>
        <w:jc w:val="both"/>
        <w:rPr>
          <w:sz w:val="22"/>
          <w:szCs w:val="22"/>
          <w:lang w:val="en-US"/>
        </w:rPr>
      </w:pPr>
    </w:p>
    <w:p w14:paraId="2B1D2684" w14:textId="77777777" w:rsidR="00392716" w:rsidRPr="002D3735" w:rsidRDefault="00392716" w:rsidP="00B826E3">
      <w:pPr>
        <w:pStyle w:val="Default"/>
        <w:spacing w:line="480" w:lineRule="auto"/>
        <w:jc w:val="both"/>
        <w:rPr>
          <w:sz w:val="22"/>
          <w:szCs w:val="22"/>
          <w:lang w:val="en-US"/>
        </w:rPr>
      </w:pPr>
    </w:p>
    <w:p w14:paraId="185B6814" w14:textId="77777777" w:rsidR="00392716" w:rsidRPr="002D3735" w:rsidRDefault="00392716" w:rsidP="00B826E3">
      <w:pPr>
        <w:pStyle w:val="Default"/>
        <w:spacing w:line="480" w:lineRule="auto"/>
        <w:jc w:val="both"/>
        <w:rPr>
          <w:sz w:val="22"/>
          <w:szCs w:val="22"/>
          <w:lang w:val="en-US"/>
        </w:rPr>
      </w:pPr>
    </w:p>
    <w:p w14:paraId="05B47DBE" w14:textId="77777777" w:rsidR="00392716" w:rsidRPr="002D3735" w:rsidRDefault="00392716" w:rsidP="00B826E3">
      <w:pPr>
        <w:pStyle w:val="Default"/>
        <w:spacing w:line="480" w:lineRule="auto"/>
        <w:jc w:val="both"/>
        <w:rPr>
          <w:sz w:val="22"/>
          <w:szCs w:val="22"/>
          <w:lang w:val="en-US"/>
        </w:rPr>
      </w:pPr>
    </w:p>
    <w:p w14:paraId="78489785" w14:textId="77777777" w:rsidR="00392716" w:rsidRPr="002D3735" w:rsidRDefault="00392716" w:rsidP="00B826E3">
      <w:pPr>
        <w:pStyle w:val="Default"/>
        <w:spacing w:line="480" w:lineRule="auto"/>
        <w:jc w:val="both"/>
        <w:rPr>
          <w:sz w:val="22"/>
          <w:szCs w:val="22"/>
          <w:lang w:val="en-US"/>
        </w:rPr>
      </w:pPr>
    </w:p>
    <w:p w14:paraId="13E9BDAF" w14:textId="77777777" w:rsidR="00392716" w:rsidRPr="002D3735" w:rsidRDefault="00392716" w:rsidP="00B826E3">
      <w:pPr>
        <w:pStyle w:val="Default"/>
        <w:spacing w:line="480" w:lineRule="auto"/>
        <w:jc w:val="both"/>
        <w:rPr>
          <w:sz w:val="22"/>
          <w:szCs w:val="22"/>
          <w:lang w:val="en-US"/>
        </w:rPr>
      </w:pPr>
    </w:p>
    <w:p w14:paraId="091E9980" w14:textId="77777777" w:rsidR="00392716" w:rsidRPr="002D3735" w:rsidRDefault="00392716" w:rsidP="00B826E3">
      <w:pPr>
        <w:pStyle w:val="Default"/>
        <w:spacing w:line="480" w:lineRule="auto"/>
        <w:jc w:val="both"/>
        <w:rPr>
          <w:sz w:val="22"/>
          <w:szCs w:val="22"/>
          <w:lang w:val="en-US"/>
        </w:rPr>
      </w:pPr>
    </w:p>
    <w:p w14:paraId="75F37C71" w14:textId="77777777" w:rsidR="00392716" w:rsidRPr="002D3735" w:rsidRDefault="00392716" w:rsidP="00B826E3">
      <w:pPr>
        <w:pStyle w:val="Default"/>
        <w:spacing w:line="480" w:lineRule="auto"/>
        <w:jc w:val="both"/>
        <w:rPr>
          <w:sz w:val="22"/>
          <w:szCs w:val="22"/>
          <w:lang w:val="en-US"/>
        </w:rPr>
      </w:pPr>
    </w:p>
    <w:p w14:paraId="18F9FD0E" w14:textId="77777777" w:rsidR="00392716" w:rsidRPr="002D3735" w:rsidRDefault="00392716" w:rsidP="00B826E3">
      <w:pPr>
        <w:pStyle w:val="Default"/>
        <w:spacing w:line="480" w:lineRule="auto"/>
        <w:jc w:val="both"/>
        <w:rPr>
          <w:sz w:val="22"/>
          <w:szCs w:val="22"/>
          <w:lang w:val="en-US"/>
        </w:rPr>
      </w:pPr>
    </w:p>
    <w:p w14:paraId="496DBB42" w14:textId="77777777" w:rsidR="00392716" w:rsidRPr="002D3735" w:rsidRDefault="00392716" w:rsidP="00B826E3">
      <w:pPr>
        <w:pStyle w:val="Default"/>
        <w:spacing w:line="480" w:lineRule="auto"/>
        <w:jc w:val="both"/>
        <w:rPr>
          <w:sz w:val="22"/>
          <w:szCs w:val="22"/>
          <w:lang w:val="en-US"/>
        </w:rPr>
      </w:pPr>
    </w:p>
    <w:p w14:paraId="11B59D29" w14:textId="77777777" w:rsidR="00392716" w:rsidRPr="002D3735" w:rsidRDefault="00392716" w:rsidP="00B826E3">
      <w:pPr>
        <w:pStyle w:val="Default"/>
        <w:spacing w:line="480" w:lineRule="auto"/>
        <w:jc w:val="both"/>
        <w:rPr>
          <w:sz w:val="22"/>
          <w:szCs w:val="22"/>
          <w:lang w:val="en-US"/>
        </w:rPr>
      </w:pPr>
    </w:p>
    <w:p w14:paraId="5B8216D2" w14:textId="77777777" w:rsidR="0082520A" w:rsidRDefault="0082520A" w:rsidP="00B826E3">
      <w:pPr>
        <w:pStyle w:val="Default"/>
        <w:spacing w:line="480" w:lineRule="auto"/>
        <w:jc w:val="both"/>
        <w:rPr>
          <w:sz w:val="22"/>
          <w:szCs w:val="22"/>
          <w:lang w:val="en-US"/>
        </w:rPr>
      </w:pPr>
    </w:p>
    <w:p w14:paraId="0D8345D7" w14:textId="1FF41B37" w:rsidR="00B30246" w:rsidRPr="002713F4" w:rsidRDefault="00B30246" w:rsidP="002713F4">
      <w:pPr>
        <w:pStyle w:val="TITOLOTNR"/>
        <w:rPr>
          <w:sz w:val="24"/>
          <w:szCs w:val="24"/>
          <w:lang w:val="en-US"/>
        </w:rPr>
      </w:pPr>
      <w:bookmarkStart w:id="7" w:name="_Toc193649585"/>
      <w:r w:rsidRPr="002713F4">
        <w:rPr>
          <w:sz w:val="24"/>
          <w:szCs w:val="24"/>
          <w:lang w:val="en-US"/>
        </w:rPr>
        <w:lastRenderedPageBreak/>
        <w:t>GRAPHICAL ABSTRACT</w:t>
      </w:r>
      <w:bookmarkEnd w:id="7"/>
    </w:p>
    <w:p w14:paraId="04905DB8" w14:textId="77777777" w:rsidR="00B30246" w:rsidRDefault="00B30246" w:rsidP="00B826E3">
      <w:pPr>
        <w:pStyle w:val="Default"/>
        <w:spacing w:line="480" w:lineRule="auto"/>
        <w:jc w:val="both"/>
        <w:rPr>
          <w:sz w:val="22"/>
          <w:szCs w:val="22"/>
          <w:lang w:val="en-US"/>
        </w:rPr>
      </w:pPr>
    </w:p>
    <w:p w14:paraId="41306ADC" w14:textId="4827A37F" w:rsidR="00B30246" w:rsidRDefault="00B30246" w:rsidP="00B826E3">
      <w:pPr>
        <w:pStyle w:val="Default"/>
        <w:spacing w:line="480" w:lineRule="auto"/>
        <w:jc w:val="both"/>
        <w:rPr>
          <w:sz w:val="22"/>
          <w:szCs w:val="22"/>
          <w:lang w:val="en-US"/>
        </w:rPr>
      </w:pPr>
      <w:r>
        <w:rPr>
          <w:noProof/>
          <w:sz w:val="22"/>
          <w:szCs w:val="22"/>
          <w:lang w:val="en-US"/>
        </w:rPr>
        <w:drawing>
          <wp:inline distT="0" distB="0" distL="0" distR="0" wp14:anchorId="33B823C4" wp14:editId="66CFC281">
            <wp:extent cx="5481216" cy="3949700"/>
            <wp:effectExtent l="0" t="0" r="5715" b="0"/>
            <wp:docPr id="116196051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960517" name="Immagine 1161960517"/>
                    <pic:cNvPicPr/>
                  </pic:nvPicPr>
                  <pic:blipFill>
                    <a:blip r:embed="rId11">
                      <a:extLst>
                        <a:ext uri="{28A0092B-C50C-407E-A947-70E740481C1C}">
                          <a14:useLocalDpi xmlns:a14="http://schemas.microsoft.com/office/drawing/2010/main" val="0"/>
                        </a:ext>
                      </a:extLst>
                    </a:blip>
                    <a:stretch>
                      <a:fillRect/>
                    </a:stretch>
                  </pic:blipFill>
                  <pic:spPr>
                    <a:xfrm>
                      <a:off x="0" y="0"/>
                      <a:ext cx="5492472" cy="3957811"/>
                    </a:xfrm>
                    <a:prstGeom prst="rect">
                      <a:avLst/>
                    </a:prstGeom>
                  </pic:spPr>
                </pic:pic>
              </a:graphicData>
            </a:graphic>
          </wp:inline>
        </w:drawing>
      </w:r>
    </w:p>
    <w:p w14:paraId="7340E594" w14:textId="0DF8EE0C" w:rsidR="00B30246" w:rsidRPr="003368D2" w:rsidRDefault="003368D2" w:rsidP="00B30246">
      <w:pPr>
        <w:spacing w:line="480" w:lineRule="auto"/>
        <w:jc w:val="both"/>
        <w:rPr>
          <w:rFonts w:ascii="Times New Roman" w:eastAsia="Times New Roman" w:hAnsi="Times New Roman" w:cs="Times New Roman"/>
          <w:i/>
          <w:iCs/>
          <w:color w:val="000000"/>
        </w:rPr>
      </w:pPr>
      <w:bookmarkStart w:id="8" w:name="_Hlk179647239"/>
      <w:r>
        <w:rPr>
          <w:rFonts w:ascii="Times New Roman" w:eastAsia="Times New Roman" w:hAnsi="Times New Roman" w:cs="Times New Roman"/>
          <w:b/>
          <w:bCs/>
          <w:i/>
          <w:iCs/>
          <w:color w:val="000000"/>
        </w:rPr>
        <w:t>Graphical Abstract</w:t>
      </w:r>
      <w:r w:rsidR="00B30246" w:rsidRPr="003368D2">
        <w:rPr>
          <w:rFonts w:ascii="Times New Roman" w:eastAsia="Times New Roman" w:hAnsi="Times New Roman" w:cs="Times New Roman"/>
          <w:b/>
          <w:bCs/>
          <w:i/>
          <w:iCs/>
          <w:color w:val="000000"/>
        </w:rPr>
        <w:t xml:space="preserve">: </w:t>
      </w:r>
      <w:r w:rsidR="00B30246" w:rsidRPr="003368D2">
        <w:rPr>
          <w:rFonts w:ascii="Times New Roman" w:eastAsia="Times New Roman" w:hAnsi="Times New Roman" w:cs="Times New Roman"/>
          <w:i/>
          <w:iCs/>
          <w:color w:val="000000"/>
        </w:rPr>
        <w:t xml:space="preserve">Machine Learning approach for outcome prediction in AF patients. </w:t>
      </w:r>
      <w:r w:rsidR="00B30246" w:rsidRPr="003368D2">
        <w:rPr>
          <w:rFonts w:ascii="Times New Roman" w:eastAsia="Times New Roman" w:hAnsi="Times New Roman" w:cs="Times New Roman"/>
          <w:i/>
          <w:iCs/>
          <w:color w:val="000000"/>
          <w:vertAlign w:val="superscript"/>
        </w:rPr>
        <w:t>†</w:t>
      </w:r>
      <w:r w:rsidR="00B30246" w:rsidRPr="003368D2">
        <w:rPr>
          <w:rFonts w:ascii="Times New Roman" w:eastAsia="Times New Roman" w:hAnsi="Times New Roman" w:cs="Times New Roman"/>
          <w:i/>
          <w:iCs/>
          <w:color w:val="000000"/>
        </w:rPr>
        <w:t>Major Bleeding AUC is referred to the DOAC population. ML: machine learning; CV: cardiovascular; AUC: area under the curve; RBC: red blood cell count; BMI: body mass index; VKA: vitamin K antagonists; DOAC: direct oral anticoagulants</w:t>
      </w:r>
    </w:p>
    <w:bookmarkEnd w:id="8"/>
    <w:p w14:paraId="0D631474" w14:textId="77777777" w:rsidR="00B30246" w:rsidRPr="003368D2" w:rsidRDefault="00B30246" w:rsidP="00B826E3">
      <w:pPr>
        <w:pStyle w:val="Default"/>
        <w:spacing w:line="480" w:lineRule="auto"/>
        <w:jc w:val="both"/>
        <w:rPr>
          <w:i/>
          <w:iCs/>
          <w:sz w:val="22"/>
          <w:szCs w:val="22"/>
          <w:lang w:val="en-GB"/>
        </w:rPr>
      </w:pPr>
    </w:p>
    <w:p w14:paraId="7F6AF940" w14:textId="77777777" w:rsidR="00B30246" w:rsidRDefault="00B30246" w:rsidP="00B826E3">
      <w:pPr>
        <w:pStyle w:val="Default"/>
        <w:spacing w:line="480" w:lineRule="auto"/>
        <w:jc w:val="both"/>
        <w:rPr>
          <w:sz w:val="22"/>
          <w:szCs w:val="22"/>
          <w:lang w:val="en-GB"/>
        </w:rPr>
      </w:pPr>
    </w:p>
    <w:p w14:paraId="16CC4445" w14:textId="77777777" w:rsidR="00B30246" w:rsidRDefault="00B30246" w:rsidP="00B826E3">
      <w:pPr>
        <w:pStyle w:val="Default"/>
        <w:spacing w:line="480" w:lineRule="auto"/>
        <w:jc w:val="both"/>
        <w:rPr>
          <w:sz w:val="22"/>
          <w:szCs w:val="22"/>
          <w:lang w:val="en-GB"/>
        </w:rPr>
      </w:pPr>
    </w:p>
    <w:p w14:paraId="4FD0BDD0" w14:textId="77777777" w:rsidR="00B30246" w:rsidRPr="00B30246" w:rsidRDefault="00B30246" w:rsidP="00B826E3">
      <w:pPr>
        <w:pStyle w:val="Default"/>
        <w:spacing w:line="480" w:lineRule="auto"/>
        <w:jc w:val="both"/>
        <w:rPr>
          <w:sz w:val="22"/>
          <w:szCs w:val="22"/>
          <w:lang w:val="en-GB"/>
        </w:rPr>
      </w:pPr>
    </w:p>
    <w:p w14:paraId="012EEF08" w14:textId="77777777" w:rsidR="00B30246" w:rsidRDefault="00B30246" w:rsidP="00B826E3">
      <w:pPr>
        <w:pStyle w:val="Default"/>
        <w:spacing w:line="480" w:lineRule="auto"/>
        <w:jc w:val="both"/>
        <w:rPr>
          <w:sz w:val="22"/>
          <w:szCs w:val="22"/>
          <w:lang w:val="en-US"/>
        </w:rPr>
      </w:pPr>
    </w:p>
    <w:p w14:paraId="6370A398" w14:textId="77777777" w:rsidR="00B30246" w:rsidRPr="002D3735" w:rsidRDefault="00B30246" w:rsidP="00B826E3">
      <w:pPr>
        <w:pStyle w:val="Default"/>
        <w:spacing w:line="480" w:lineRule="auto"/>
        <w:jc w:val="both"/>
        <w:rPr>
          <w:sz w:val="22"/>
          <w:szCs w:val="22"/>
          <w:lang w:val="en-US"/>
        </w:rPr>
      </w:pPr>
    </w:p>
    <w:p w14:paraId="32C35B27" w14:textId="77777777" w:rsidR="002D3735" w:rsidRDefault="002D3735" w:rsidP="002713F4">
      <w:pPr>
        <w:pStyle w:val="TITOLOTNR"/>
        <w:rPr>
          <w:sz w:val="24"/>
          <w:szCs w:val="24"/>
        </w:rPr>
      </w:pPr>
      <w:bookmarkStart w:id="9" w:name="_Toc193649586"/>
      <w:r w:rsidRPr="002713F4">
        <w:rPr>
          <w:sz w:val="24"/>
          <w:szCs w:val="24"/>
        </w:rPr>
        <w:lastRenderedPageBreak/>
        <w:t>METHODS</w:t>
      </w:r>
      <w:bookmarkEnd w:id="9"/>
    </w:p>
    <w:p w14:paraId="35146575" w14:textId="77777777" w:rsidR="002713F4" w:rsidRPr="002713F4" w:rsidRDefault="002713F4" w:rsidP="002713F4">
      <w:pPr>
        <w:pStyle w:val="TITOLOTNR"/>
        <w:rPr>
          <w:sz w:val="24"/>
          <w:szCs w:val="24"/>
        </w:rPr>
      </w:pPr>
    </w:p>
    <w:p w14:paraId="0B8CAEF4" w14:textId="77777777" w:rsidR="002D3735" w:rsidRPr="00C95EA2" w:rsidRDefault="002D3735" w:rsidP="002D3735">
      <w:pPr>
        <w:spacing w:line="480" w:lineRule="auto"/>
        <w:jc w:val="both"/>
        <w:rPr>
          <w:rFonts w:ascii="Times New Roman" w:eastAsia="Times New Roman" w:hAnsi="Times New Roman" w:cs="Times New Roman"/>
          <w:b/>
          <w:i/>
          <w:color w:val="000000" w:themeColor="text1"/>
          <w:sz w:val="24"/>
          <w:szCs w:val="24"/>
          <w:u w:val="single"/>
        </w:rPr>
      </w:pPr>
      <w:r w:rsidRPr="00C95EA2">
        <w:rPr>
          <w:rFonts w:ascii="Times New Roman" w:eastAsia="Times New Roman" w:hAnsi="Times New Roman" w:cs="Times New Roman"/>
          <w:b/>
          <w:i/>
          <w:color w:val="000000" w:themeColor="text1"/>
          <w:sz w:val="24"/>
          <w:szCs w:val="24"/>
          <w:u w:val="single"/>
        </w:rPr>
        <w:t>Study population</w:t>
      </w:r>
    </w:p>
    <w:p w14:paraId="2F207A91" w14:textId="77777777" w:rsidR="002D3735" w:rsidRDefault="002D3735" w:rsidP="002D3735">
      <w:pPr>
        <w:spacing w:line="480" w:lineRule="auto"/>
        <w:contextualSpacing/>
        <w:jc w:val="both"/>
        <w:rPr>
          <w:rFonts w:ascii="Times New Roman" w:eastAsia="Times New Roman" w:hAnsi="Times New Roman" w:cs="Times New Roman"/>
          <w:bCs/>
          <w:sz w:val="24"/>
          <w:szCs w:val="24"/>
        </w:rPr>
      </w:pPr>
      <w:r w:rsidRPr="00C95EA2">
        <w:rPr>
          <w:rFonts w:ascii="Times New Roman" w:eastAsia="Times New Roman" w:hAnsi="Times New Roman" w:cs="Times New Roman"/>
          <w:bCs/>
          <w:color w:val="000000" w:themeColor="text1"/>
          <w:sz w:val="24"/>
          <w:szCs w:val="24"/>
        </w:rPr>
        <w:t xml:space="preserve">The data of the study were derived from </w:t>
      </w:r>
      <w:bookmarkStart w:id="10" w:name="_Hlk134353523"/>
      <w:r w:rsidRPr="00C95EA2">
        <w:rPr>
          <w:rFonts w:ascii="Times New Roman" w:eastAsia="Times New Roman" w:hAnsi="Times New Roman" w:cs="Times New Roman"/>
          <w:bCs/>
          <w:color w:val="000000" w:themeColor="text1"/>
          <w:sz w:val="24"/>
          <w:szCs w:val="24"/>
        </w:rPr>
        <w:t xml:space="preserve">the START-2 an independent, collaborative database that includes adult patients (&gt;18 years) who started an anticoagulant therapy for non-valvular </w:t>
      </w:r>
      <w:bookmarkEnd w:id="10"/>
      <w:r w:rsidRPr="00C95EA2">
        <w:rPr>
          <w:rFonts w:ascii="Times New Roman" w:eastAsia="Times New Roman" w:hAnsi="Times New Roman" w:cs="Times New Roman"/>
          <w:bCs/>
          <w:color w:val="000000" w:themeColor="text1"/>
          <w:sz w:val="24"/>
          <w:szCs w:val="24"/>
        </w:rPr>
        <w:t xml:space="preserve">AF. </w:t>
      </w:r>
      <w:r>
        <w:rPr>
          <w:rFonts w:ascii="Times New Roman" w:eastAsia="Times New Roman" w:hAnsi="Times New Roman" w:cs="Times New Roman"/>
          <w:bCs/>
          <w:color w:val="000000" w:themeColor="text1"/>
          <w:sz w:val="24"/>
          <w:szCs w:val="24"/>
        </w:rPr>
        <w:t>Exclusion c</w:t>
      </w:r>
      <w:r w:rsidRPr="00C95EA2">
        <w:rPr>
          <w:rFonts w:ascii="Times New Roman" w:eastAsia="Times New Roman" w:hAnsi="Times New Roman" w:cs="Times New Roman"/>
          <w:bCs/>
          <w:color w:val="000000" w:themeColor="text1"/>
          <w:sz w:val="24"/>
          <w:szCs w:val="24"/>
        </w:rPr>
        <w:t>riteria were represented by life expectancy &lt;6 months, and refusal of the patient to undergo follow-up visit</w:t>
      </w:r>
      <w:r>
        <w:rPr>
          <w:rFonts w:ascii="Times New Roman" w:eastAsia="Times New Roman" w:hAnsi="Times New Roman" w:cs="Times New Roman"/>
          <w:bCs/>
          <w:color w:val="000000" w:themeColor="text1"/>
          <w:sz w:val="24"/>
          <w:szCs w:val="24"/>
        </w:rPr>
        <w:t>s</w:t>
      </w:r>
      <w:r w:rsidRPr="00C95EA2">
        <w:rPr>
          <w:rFonts w:ascii="Times New Roman" w:eastAsia="Times New Roman" w:hAnsi="Times New Roman" w:cs="Times New Roman"/>
          <w:bCs/>
          <w:color w:val="000000" w:themeColor="text1"/>
          <w:sz w:val="24"/>
          <w:szCs w:val="24"/>
        </w:rPr>
        <w:t>. The START-Register procedures, ethical committee approval and data collecting have been previously described</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{"citationID":"NCd1mEG7","properties":{"formattedCitation":"\\super 15,16\\nosupersub{}","plainCitation":"15,16","noteIndex":0},"citationItems":[{"id":304,"uris":["http://zotero.org/users/local/51ctrMZy/items/YWUVP37J"],"itemData":{"id":304,"type":"article-journal","abstract":"START-Register--Survey on anTicoagulated pAtients RegisTer--is an independent, inception-cohort, observational, collaborative database aimed at recording prospectively the clinical history of adult patients starting anticoagulant treatment for any reason and using whatever drug. In this article we present the START-Register and give cross section baseline data focusing on non valvular atrial fibrillation (NVAF). Participants are asked to insert prospectively consecutive patients recorded as electronic file on the web-site of the registry. Required data are: demographic and clinical characteristics of patients, associated risk factors for stroke and bleeding, laboratory routine data, clinical indication for treatment, expected therapeutic range (in cases of treatment with vitamin K antagonists -VKAs). The follow-up is carried out to record: quality of treatment (for patients on VKAs), bleeding complications, thrombotic events, and the onset of any type of associated disease. To date 5252 patients have been enrolled; 97.6% were on VKAs because direct oral anticoagulants (DOAC) have been available in Italy only recently. The median age was 74 years [interquartile range (IQR) 64-80]; males 53.7%. This analysis is focused on the 3209 (61.1%) NVAF patients. Mean CHADS2 score was 2.1 ± 1.1, CHADSVASc score was 3.1 ± 1.3;median age was 76 years (IQR 70-81); 168 patients (5.3%) had severe renal failure [Creatinine clearance (CrCl) &lt;30 ml/min]. Moderate renal failure (CrCl 30-59 ml/min) was found in 1265 patients (39.5%). The analysis of the START-Register data shows that two-third of patients who started chronic anticoagulant treatment had NVAF, one-third of them was &gt; 80 years with high prevalence of renal failure.","container-title":"PloS One","DOI":"10.1371/journal.pone.0124719","ISSN":"1932-6203","issue":"5","journalAbbreviation":"PLoS One","language":"eng","note":"PMID: 26001109\nPMCID: PMC4441383","page":"e0124719","source":"PubMed","title":"The Italian START-Register on Anticoagulation with Focus on Atrial Fibrillation","volume":"10","author":[{"family":"Antonucci","given":"Emilia"},{"family":"Poli","given":"Daniela"},{"family":"Tosetto","given":"Alberto"},{"family":"Pengo","given":"Vittorio"},{"family":"Tripodi","given":"Armando"},{"family":"Magrini","given":"Nicola"},{"family":"Marongiu","given":"Francesco"},{"family":"Palareti","given":"Gualtiero"},{"literal":"START-Register"}],"issued":{"date-parts":[["2015"]]}}},{"id":601,"uris":["http://zotero.org/users/local/51ctrMZy/items/A4D5K834"],"itemData":{"id":601,"type":"article-journal","abstract":"The survey on anticoagulated patients register (START-Register) is an independent, prospective, inception-cohort observational study aimed at providing information on patients on vitamin K antagonists (VKAs) or direct oral anticoagulants (DOACs) in Italy. In this study, we describe the cohort of atrial fibrillation (AF) patients in the START-Register and report outcomes and changes in anticoagulant prescription from 2011 to 2021. The study included 11,078 AF patients, enrolled in 47 Italian centers distributed all over the Country; the median age was 77 years (range 18-99 years); 6029 (54.3%) were men; 5135 (46.4%) were on VKAs, and 5943 (53.6%) were on DOACs. Warfarin was the most prescribed VKA (98.4%), and apixaban was the most prescribed DOAC (31.6%). Among DOAC users, 4022 (67.7%) patients were naive to anticoagulation, and 2562 (43.1%) patients were treated with a reduced dose. DOAC patients were significantly older than VKA patients (median age 79 years vs 76 years respectively, P&amp;lt;0.001), but no gender difference was detected. The mean CHA2DS2VASc score was higher in DOAC users than in VKA users (3.7 vs 3.6; P=0.03). The mean HAS-BLED score was not different between the two groups. During follow-up, 542 bleeding events were recorded [2.44 per 100 patient-years (pt-yrs)]; 240 were major (1.08 per 100 pt-yrs), and 301 were clinically relevant non-major bleedings (1.34 per 100 pt-yrs). 146 thrombotic events were recorded during follow-up (0.66 per 100 pt-yrs). The total mortality rate was 3.5 per 100 pt-yrs; the mortality rate was 4.54 per 100 pt-yrs among patients on VKAs and 2.31 per 100 pt-yrs among patients on DOACs. During the last 10 years, in Italy, AF patient management has changed with the large spread of DOACs all over the Country. DOAC patients are frequently treated with reduced doses and show a lower mortality rate in comparison to patients on VKAs.","container-title":"Bleeding, Thrombosis, and Vascular Biology","DOI":"10.4081/btvb.2023.84","ISSN":"2785-5309","issue":"2","language":"en","license":"Copyright (c) 2023 The Author(s)","note":"number: 2","source":"btvb.org","title":"Management of anticoagulation in atrial fibrillation patients in Italy: insight from the &lt;i&gt;Atrial Fibrillation-Survey on Anticoagulated Patients Register&lt;/i&gt; (AF-START)","title-short":"Management of anticoagulation in atrial fibrillation patients in Italy","URL":"https://btvb.org/btvb/article/view/84","volume":"2","author":[{"family":"Poli","given":"Daniela"},{"family":"Ageno","given":"Walter"},{"family":"Antonucci","given":"Emilia"},{"family":"Bradamante","given":"Salvatore"},{"family":"Bucherini","given":"Eugenio"},{"family":"Chiarugi","given":"Paolo"},{"family":"Chistolini","given":"Antonio"},{"family":"Cosmi","given":"Benilde"},{"family":"Falanga","given":"Anna"},{"family":"Insana","given":"Antonio"},{"family":"Lione","given":"Domenico"},{"family":"Lombardi","given":"Rosa Maria"},{"family":"Malcangi","given":"Giuseppe"},{"family":"Marcucci","given":"Rossella"},{"family":"Martini","given":"Giuliana"},{"family":"Masciocco","given":"Lucilla"},{"family":"Paparo","given":"Carmelo"},{"family":"Pastori","given":"Daniele"},{"family":"Pedrini","given":"Simona"},{"family":"Pengo","given":"Vittorio"},{"family":"Pignatelli","given":"Pasquale"},{"family":"Toma","given":"Andrea"},{"family":"Testa","given":"Sophie"},{"family":"Palareti","given":"Gualtiero"}],"accessed":{"date-parts":[["2023",8,25]]},"issued":{"date-parts":[["2023",6,27]]}}}],"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15,16</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The analysis was done on the whole cohort of patients reporting outcome events from June 2011 to January 2021. Patient’s clinical features were recorded </w:t>
      </w:r>
      <w:r>
        <w:rPr>
          <w:rFonts w:ascii="Times New Roman" w:eastAsia="Times New Roman" w:hAnsi="Times New Roman" w:cs="Times New Roman"/>
          <w:bCs/>
          <w:color w:val="000000" w:themeColor="text1"/>
          <w:sz w:val="24"/>
          <w:szCs w:val="24"/>
        </w:rPr>
        <w:t xml:space="preserve">using a </w:t>
      </w:r>
      <w:r w:rsidRPr="00C95EA2">
        <w:rPr>
          <w:rFonts w:ascii="Times New Roman" w:eastAsia="Times New Roman" w:hAnsi="Times New Roman" w:cs="Times New Roman"/>
          <w:bCs/>
          <w:color w:val="000000" w:themeColor="text1"/>
          <w:sz w:val="24"/>
          <w:szCs w:val="24"/>
        </w:rPr>
        <w:t xml:space="preserve">web-based CRF (case report forms). Baseline data, demographics, clinical characteristics, associated risk factors for stroke and bleeding, laboratory data, clinical indication for treatment, therapeutic range expected (in cases of treatment with VKA), and use of concomitant drugs were collected. Serum creatinine levels were measured by local hospital laboratories, with creatinine clearance (CrCl) calculated </w:t>
      </w:r>
      <w:r w:rsidRPr="00247794">
        <w:rPr>
          <w:rFonts w:ascii="Times New Roman" w:eastAsia="Times New Roman" w:hAnsi="Times New Roman" w:cs="Times New Roman"/>
          <w:bCs/>
          <w:sz w:val="24"/>
          <w:szCs w:val="24"/>
        </w:rPr>
        <w:t xml:space="preserve">by the Cockroft-Gault formula. Renal failure was defined as a creatinine clearance &lt; 30 mL/min. Patients were stratified </w:t>
      </w:r>
      <w:r w:rsidRPr="00237D93">
        <w:rPr>
          <w:rFonts w:ascii="Times New Roman" w:hAnsi="Times New Roman" w:cs="Times New Roman"/>
          <w:sz w:val="24"/>
          <w:szCs w:val="24"/>
        </w:rPr>
        <w:t xml:space="preserve">for stroke risk evaluation according to </w:t>
      </w:r>
      <w:bookmarkStart w:id="11" w:name="_Hlk134351544"/>
      <w:r w:rsidRPr="00237D93">
        <w:rPr>
          <w:rFonts w:ascii="Times New Roman" w:hAnsi="Times New Roman" w:cs="Times New Roman"/>
          <w:sz w:val="24"/>
          <w:szCs w:val="24"/>
        </w:rPr>
        <w:t>the CHA</w:t>
      </w:r>
      <w:r w:rsidRPr="00347072">
        <w:rPr>
          <w:rFonts w:ascii="Times New Roman" w:hAnsi="Times New Roman" w:cs="Times New Roman"/>
          <w:sz w:val="24"/>
          <w:szCs w:val="24"/>
          <w:vertAlign w:val="subscript"/>
        </w:rPr>
        <w:t>2</w:t>
      </w:r>
      <w:r w:rsidRPr="00237D93">
        <w:rPr>
          <w:rFonts w:ascii="Times New Roman" w:hAnsi="Times New Roman" w:cs="Times New Roman"/>
          <w:sz w:val="24"/>
          <w:szCs w:val="24"/>
        </w:rPr>
        <w:t>DS</w:t>
      </w:r>
      <w:r w:rsidRPr="00347072">
        <w:rPr>
          <w:rFonts w:ascii="Times New Roman" w:hAnsi="Times New Roman" w:cs="Times New Roman"/>
          <w:sz w:val="24"/>
          <w:szCs w:val="24"/>
          <w:vertAlign w:val="subscript"/>
        </w:rPr>
        <w:t>2</w:t>
      </w:r>
      <w:r w:rsidRPr="00237D93">
        <w:rPr>
          <w:rFonts w:ascii="Times New Roman" w:hAnsi="Times New Roman" w:cs="Times New Roman"/>
          <w:sz w:val="24"/>
          <w:szCs w:val="24"/>
        </w:rPr>
        <w:t>VASc</w:t>
      </w:r>
      <w:r w:rsidRPr="00237D93">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{"citationID":"xClqS2gn","properties":{"formattedCitation":"\\super 17\\nosupersub{}","plainCitation":"17","noteIndex":0},"citationItems":[{"id":545,"uris":["http://zotero.org/users/local/51ctrMZy/items/TML69HSU"],"itemData":{"id":545,"type":"article-journal","abstract":"BACKGROUND: Contemporary clinical risk stratification schemata for predicting stroke and thromboembolism (TE) in patients with atrial fibrillation (AF) are largely derived from risk factors identified from trial cohorts. Thus, many potential risk factors have not been included.\nMETHODS: We refined the 2006 Birmingham/National Institute for Health and Clinical Excellence (NICE) stroke risk stratification schema into a risk factor-based approach by reclassifying and/or incorporating additional new risk factors where relevant. This schema was then compared with existing stroke risk stratification schema in a real-world cohort of patients with AF (n = 1,084) from the Euro Heart Survey for AF.\nRESULTS: Risk categorization differed widely between the different schemes compared. Patients classified as high risk ranged from 10.2% with the Framingham schema to 75.7% with the Birmingham 2009 schema. The classic CHADS(2) (Congestive heart failure, Hypertension, Age &gt; 75, Diabetes, prior Stroke/transient ischemic attack) schema categorized the largest proportion (61.9%) into the intermediate-risk strata, whereas the Birmingham 2009 schema classified 15.1% into this category. The Birmingham 2009 schema classified only 9.2% as low risk, whereas the Framingham scheme categorized 48.3% as low risk. Calculated C-statistics suggested modest predictive value of all schema for TE. The Birmingham 2009 schema fared marginally better (C-statistic, 0.606) than CHADS(2). However, those classified as low risk by the Birmingham 2009 and NICE schema were truly low risk with no TE events recorded, whereas TE events occurred in 1.4% of low-risk CHADS(2) subjects. When expressed as a scoring system, the Birmingham 2009 schema (CHA(2)DS(2)-VASc acronym) showed an increase in TE rate with increasing scores (P value for trend = .003).\nCONCLUSIONS: Our novel, simple stroke risk stratification schema, based on a risk factor approach, provides some improvement in predictive value for TE over the CHADS(2) schema, with low event rates in low-risk subjects and the classification of only a small proportion of subjects into the intermediate-risk category. This schema could improve our approach to stroke risk stratification in patients with AF.","container-title":"Chest","DOI":"10.1378/chest.09-1584","ISSN":"1931-3543","issue":"2","journalAbbreviation":"Chest","language":"eng","note":"PMID: 19762550","page":"263-272","source":"PubMed","title":"Refining clinical risk stratification for predicting stroke and thromboembolism in atrial fibrillation using a novel risk factor-based approach: the euro heart survey on atrial fibrillation","title-short":"Refining clinical risk stratification for predicting stroke and thromboembolism in atrial fibrillation using a novel risk factor-based approach","volume":"137","author":[{"family":"Lip","given":"Gregory Y. H."},{"family":"Nieuwlaat","given":"Robby"},{"family":"Pisters","given":"Ron"},{"family":"Lane","given":"Deirdre A."},{"family":"Crijns","given":"Harry J. G. M."}],"issued":{"date-parts":[["2010",2]]}}}],"schema":"https://github.com/citation-style-language/schema/raw/master/csl-citation.json"} </w:instrText>
      </w:r>
      <w:r w:rsidRPr="00237D93">
        <w:rPr>
          <w:rFonts w:ascii="Times New Roman" w:hAnsi="Times New Roman" w:cs="Times New Roman"/>
          <w:sz w:val="24"/>
          <w:szCs w:val="24"/>
        </w:rPr>
        <w:fldChar w:fldCharType="separate"/>
      </w:r>
      <w:r w:rsidRPr="00E47694">
        <w:rPr>
          <w:rFonts w:ascii="Times New Roman" w:hAnsi="Times New Roman" w:cs="Times New Roman"/>
          <w:sz w:val="24"/>
          <w:szCs w:val="24"/>
          <w:vertAlign w:val="superscript"/>
        </w:rPr>
        <w:t>17</w:t>
      </w:r>
      <w:r w:rsidRPr="00237D93">
        <w:rPr>
          <w:rFonts w:ascii="Times New Roman" w:hAnsi="Times New Roman" w:cs="Times New Roman"/>
          <w:sz w:val="24"/>
          <w:szCs w:val="24"/>
        </w:rPr>
        <w:fldChar w:fldCharType="end"/>
      </w:r>
      <w:r w:rsidRPr="00237D93">
        <w:rPr>
          <w:rFonts w:ascii="Times New Roman" w:hAnsi="Times New Roman" w:cs="Times New Roman"/>
          <w:sz w:val="24"/>
          <w:szCs w:val="24"/>
        </w:rPr>
        <w:t xml:space="preserve"> score</w:t>
      </w:r>
      <w:bookmarkEnd w:id="11"/>
      <w:r>
        <w:rPr>
          <w:rFonts w:ascii="Times New Roman" w:hAnsi="Times New Roman" w:cs="Times New Roman"/>
          <w:sz w:val="24"/>
          <w:szCs w:val="24"/>
        </w:rPr>
        <w:t>;</w:t>
      </w:r>
      <w:r w:rsidRPr="00237D93">
        <w:rPr>
          <w:rFonts w:ascii="Times New Roman" w:hAnsi="Times New Roman" w:cs="Times New Roman"/>
          <w:sz w:val="24"/>
          <w:szCs w:val="24"/>
        </w:rPr>
        <w:t xml:space="preserve"> baseline bleeding risk was evaluated </w:t>
      </w:r>
      <w:r>
        <w:rPr>
          <w:rFonts w:ascii="Times New Roman" w:hAnsi="Times New Roman" w:cs="Times New Roman"/>
          <w:sz w:val="24"/>
          <w:szCs w:val="24"/>
        </w:rPr>
        <w:t xml:space="preserve">with </w:t>
      </w:r>
      <w:r w:rsidRPr="00247794">
        <w:rPr>
          <w:rFonts w:ascii="Times New Roman" w:eastAsia="Times New Roman" w:hAnsi="Times New Roman" w:cs="Times New Roman"/>
          <w:bCs/>
          <w:sz w:val="24"/>
          <w:szCs w:val="24"/>
        </w:rPr>
        <w:t>the HAS-BLED</w:t>
      </w:r>
      <w:r w:rsidRPr="00247794">
        <w:rPr>
          <w:rFonts w:ascii="Times New Roman" w:eastAsia="Times New Roman" w:hAnsi="Times New Roman" w:cs="Times New Roman"/>
          <w:bCs/>
          <w:sz w:val="24"/>
          <w:szCs w:val="24"/>
          <w:vertAlign w:val="superscript"/>
        </w:rPr>
        <w:fldChar w:fldCharType="begin"/>
      </w:r>
      <w:r>
        <w:rPr>
          <w:rFonts w:ascii="Times New Roman" w:eastAsia="Times New Roman" w:hAnsi="Times New Roman" w:cs="Times New Roman"/>
          <w:bCs/>
          <w:sz w:val="24"/>
          <w:szCs w:val="24"/>
          <w:vertAlign w:val="superscript"/>
        </w:rPr>
        <w:instrText xml:space="preserve"> ADDIN ZOTERO_ITEM CSL_CITATION {"citationID":"5ectszaF","properties":{"formattedCitation":"\\super 18\\nosupersub{}","plainCitation":"18","noteIndex":0},"citationItems":[{"id":268,"uris":["http://zotero.org/users/local/51ctrMZy/items/3UI6L884"],"itemData":{"id":268,"type":"article-journal","abstract":"OBJECTIVE: Despite extensive use of oral anticoagulation (OAC) in patients with atrial fibrillation (AF) and the increased bleeding risk associated with such OAC use, no handy quantification tool for assessing this risk exists. We aimed to develop a practical risk score to estimate the 1-year risk for major bleeding (intracranial, hospitalization, hemoglobin decrease &gt; 2 g/L, and/or transfusion) in a cohort of real-world patients with AF.\nMETHODS: Based on 3,978 patients in the Euro Heart Survey on AF with complete follow-up, all univariate bleeding risk factors in this cohort were used in a multivariate analysis along with historical bleeding risk factors. A new bleeding risk score termed HAS-BLED (Hypertension, Abnormal renal/liver function, Stroke, Bleeding history or predisposition, Labile international normalized ratio, Elderly (&gt; 65 years), Drugs/alcohol concomitantly) was calculated, incorporating risk factors from the derivation cohort.\nRESULTS: Fifty-three (1.5%) major bleeds occurred during 1-year follow-up. The annual bleeding rate increased with increasing risk factors. The predictive accuracy in the overall population using significant risk factors in the derivation cohort (C statistic 0.72) was consistent when applied in several subgroups. Application of the new bleeding risk score (HAS-BLED) gave similar C statistics except where patients were receiving antiplatelet agents alone or no antithrombotic therapy, with C statistics of 0.91 and 0.85, respectively.\nCONCLUSION: This simple, novel bleeding risk score (HAS-BLED) provides a practical tool to assess the individual bleeding risk of real-world patients with AF, potentially supporting clinical decision making regarding antithrombotic therapy in patients with AF.","container-title":"Chest","DOI":"10.1378/chest.10-0134","ISSN":"1931-3543","issue":"5","journalAbbreviation":"Chest","language":"eng","note":"PMID: 20299623","page":"1093-1100","source":"PubMed","title":"A novel user-friendly score (HAS-BLED) to assess 1-year risk of major bleeding in patients with atrial fibrillation: the Euro Heart Survey","title-short":"A novel user-friendly score (HAS-BLED) to assess 1-year risk of major bleeding in patients with atrial fibrillation","volume":"138","author":[{"family":"Pisters","given":"Ron"},{"family":"Lane","given":"Deirdre A."},{"family":"Nieuwlaat","given":"Robby"},{"family":"Vos","given":"Cees B.","non-dropping-particle":"de"},{"family":"Crijns","given":"Harry J. G. M."},{"family":"Lip","given":"Gregory Y. H."}],"issued":{"date-parts":[["2010",11]]}}}],"schema":"https://github.com/citation-style-language/schema/raw/master/csl-citation.json"} </w:instrText>
      </w:r>
      <w:r w:rsidRPr="00247794">
        <w:rPr>
          <w:rFonts w:ascii="Times New Roman" w:eastAsia="Times New Roman" w:hAnsi="Times New Roman" w:cs="Times New Roman"/>
          <w:bCs/>
          <w:sz w:val="24"/>
          <w:szCs w:val="24"/>
          <w:vertAlign w:val="superscript"/>
        </w:rPr>
        <w:fldChar w:fldCharType="separate"/>
      </w:r>
      <w:r w:rsidRPr="00E47694">
        <w:rPr>
          <w:rFonts w:ascii="Times New Roman" w:hAnsi="Times New Roman" w:cs="Times New Roman"/>
          <w:sz w:val="24"/>
          <w:szCs w:val="24"/>
          <w:vertAlign w:val="superscript"/>
        </w:rPr>
        <w:t>18</w:t>
      </w:r>
      <w:r w:rsidRPr="00247794">
        <w:rPr>
          <w:rFonts w:ascii="Times New Roman" w:eastAsia="Times New Roman" w:hAnsi="Times New Roman" w:cs="Times New Roman"/>
          <w:bCs/>
          <w:sz w:val="24"/>
          <w:szCs w:val="24"/>
          <w:vertAlign w:val="superscript"/>
        </w:rPr>
        <w:fldChar w:fldCharType="end"/>
      </w:r>
      <w:r w:rsidRPr="00247794">
        <w:rPr>
          <w:rFonts w:ascii="Times New Roman" w:eastAsia="Times New Roman" w:hAnsi="Times New Roman" w:cs="Times New Roman"/>
          <w:bCs/>
          <w:sz w:val="24"/>
          <w:szCs w:val="24"/>
        </w:rPr>
        <w:t xml:space="preserve"> score. </w:t>
      </w:r>
    </w:p>
    <w:p w14:paraId="0C0AE1CC" w14:textId="77777777" w:rsidR="002D3735" w:rsidRDefault="002D3735" w:rsidP="002D3735">
      <w:pPr>
        <w:spacing w:line="480" w:lineRule="auto"/>
        <w:contextualSpacing/>
        <w:jc w:val="both"/>
        <w:rPr>
          <w:rFonts w:ascii="Times New Roman" w:eastAsia="Times New Roman" w:hAnsi="Times New Roman" w:cs="Times New Roman"/>
          <w:bCs/>
          <w:sz w:val="24"/>
          <w:szCs w:val="24"/>
        </w:rPr>
      </w:pPr>
    </w:p>
    <w:p w14:paraId="18850FC6" w14:textId="77777777" w:rsidR="002D3735" w:rsidRDefault="002D3735" w:rsidP="002D3735">
      <w:p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
          <w:i/>
          <w:color w:val="000000" w:themeColor="text1"/>
          <w:sz w:val="24"/>
          <w:szCs w:val="24"/>
          <w:u w:val="single"/>
        </w:rPr>
        <w:t>Study Endpoints</w:t>
      </w:r>
    </w:p>
    <w:p w14:paraId="43BAEF67" w14:textId="77777777" w:rsidR="002D3735" w:rsidRPr="002851A6" w:rsidRDefault="002D3735" w:rsidP="002D3735">
      <w:pPr>
        <w:spacing w:line="480" w:lineRule="auto"/>
        <w:jc w:val="both"/>
        <w:rPr>
          <w:rFonts w:ascii="Times New Roman" w:eastAsia="Times New Roman" w:hAnsi="Times New Roman" w:cs="Times New Roman"/>
          <w:bCs/>
          <w:sz w:val="24"/>
          <w:szCs w:val="24"/>
        </w:rPr>
      </w:pPr>
      <w:r w:rsidRPr="00247794">
        <w:rPr>
          <w:rFonts w:ascii="Times New Roman" w:eastAsia="Times New Roman" w:hAnsi="Times New Roman" w:cs="Times New Roman"/>
          <w:bCs/>
          <w:sz w:val="24"/>
          <w:szCs w:val="24"/>
        </w:rPr>
        <w:t>The centers involved provided detailed clinical reports of any relevant clinical outcome by regular follow-up of the patients enrolled.</w:t>
      </w:r>
      <w:r>
        <w:rPr>
          <w:rFonts w:ascii="Times New Roman" w:eastAsia="Times New Roman" w:hAnsi="Times New Roman" w:cs="Times New Roman"/>
          <w:bCs/>
          <w:sz w:val="24"/>
          <w:szCs w:val="24"/>
        </w:rPr>
        <w:t xml:space="preserve"> </w:t>
      </w:r>
      <w:r w:rsidRPr="00C571D6">
        <w:rPr>
          <w:rFonts w:ascii="Times New Roman" w:eastAsia="Times New Roman" w:hAnsi="Times New Roman" w:cs="Times New Roman"/>
          <w:bCs/>
          <w:sz w:val="24"/>
          <w:szCs w:val="24"/>
        </w:rPr>
        <w:t>Major bleeding</w:t>
      </w:r>
      <w:r>
        <w:rPr>
          <w:rFonts w:ascii="Times New Roman" w:eastAsia="Times New Roman" w:hAnsi="Times New Roman" w:cs="Times New Roman"/>
          <w:bCs/>
          <w:sz w:val="24"/>
          <w:szCs w:val="24"/>
        </w:rPr>
        <w:t xml:space="preserve"> </w:t>
      </w:r>
      <w:r w:rsidRPr="00C571D6">
        <w:rPr>
          <w:rFonts w:ascii="Times New Roman" w:eastAsia="Times New Roman" w:hAnsi="Times New Roman" w:cs="Times New Roman"/>
          <w:bCs/>
          <w:sz w:val="24"/>
          <w:szCs w:val="24"/>
        </w:rPr>
        <w:t xml:space="preserve">and clinically relevant </w:t>
      </w:r>
      <w:r>
        <w:rPr>
          <w:rFonts w:ascii="Times New Roman" w:eastAsia="Times New Roman" w:hAnsi="Times New Roman" w:cs="Times New Roman"/>
          <w:bCs/>
          <w:sz w:val="24"/>
          <w:szCs w:val="24"/>
        </w:rPr>
        <w:t>non-major</w:t>
      </w:r>
      <w:r w:rsidRPr="00C571D6">
        <w:rPr>
          <w:rFonts w:ascii="Times New Roman" w:eastAsia="Times New Roman" w:hAnsi="Times New Roman" w:cs="Times New Roman"/>
          <w:bCs/>
          <w:sz w:val="24"/>
          <w:szCs w:val="24"/>
        </w:rPr>
        <w:t xml:space="preserve"> bleeding (CRNMB) were defined according to the International </w:t>
      </w:r>
      <w:r w:rsidRPr="00C571D6">
        <w:rPr>
          <w:rFonts w:ascii="Times New Roman" w:eastAsia="Times New Roman" w:hAnsi="Times New Roman" w:cs="Times New Roman"/>
          <w:bCs/>
          <w:sz w:val="24"/>
          <w:szCs w:val="24"/>
        </w:rPr>
        <w:lastRenderedPageBreak/>
        <w:t>Society on Thrombosis and Hae</w:t>
      </w:r>
      <w:r w:rsidRPr="00C571D6">
        <w:rPr>
          <w:rFonts w:ascii="Times New Roman" w:hAnsi="Times New Roman" w:cs="Times New Roman"/>
          <w:sz w:val="24"/>
          <w:szCs w:val="24"/>
        </w:rPr>
        <w:t>mostasis</w:t>
      </w:r>
      <w:r>
        <w:rPr>
          <w:rFonts w:ascii="Times New Roman" w:hAnsi="Times New Roman" w:cs="Times New Roman"/>
          <w:sz w:val="24"/>
          <w:szCs w:val="24"/>
        </w:rPr>
        <w:t xml:space="preserve"> </w:t>
      </w:r>
      <w:r w:rsidRPr="00C571D6">
        <w:rPr>
          <w:rFonts w:ascii="Times New Roman" w:eastAsia="Times New Roman" w:hAnsi="Times New Roman" w:cs="Times New Roman"/>
          <w:bCs/>
          <w:sz w:val="24"/>
          <w:szCs w:val="24"/>
        </w:rPr>
        <w:t>classification</w:t>
      </w:r>
      <w:r w:rsidRPr="00C571D6">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{"citationID":"l6ZDXai5","properties":{"formattedCitation":"\\super 19\\nosupersub{}","plainCitation":"19","noteIndex":0},"citationItems":[{"id":551,"uris":["http://zotero.org/users/local/51ctrMZy/items/IBLG8RIY"],"itemData":{"id":551,"type":"article-journal","container-title":"Journal of thrombosis and haemostasis: JTH","DOI":"10.1111/jth.13140","ISSN":"1538-7836","issue":"11","journalAbbreviation":"J Thromb Haemost","language":"eng","note":"PMID: 26764429","page":"2119-2126","source":"PubMed","title":"Definition of clinically relevant non-major bleeding in studies of anticoagulants in atrial fibrillation and venous thromboembolic disease in non-surgical patients: communication from the SSC of the ISTH","title-short":"Definition of clinically relevant non-major bleeding in studies of anticoagulants in atrial fibrillation and venous thromboembolic disease in non-surgical patients","volume":"13","author":[{"family":"Kaatz","given":"S."},{"family":"Ahmad","given":"D."},{"family":"Spyropoulos","given":"A. C."},{"family":"Schulman","given":"S."},{"literal":"Subcommittee on Control of Anticoagulation"}],"issued":{"date-parts":[["2015",11]]}}}],"schema":"https://github.com/citation-style-language/schema/raw/master/csl-citation.json"} </w:instrText>
      </w:r>
      <w:r w:rsidRPr="00C571D6">
        <w:rPr>
          <w:rFonts w:ascii="Times New Roman" w:hAnsi="Times New Roman" w:cs="Times New Roman"/>
          <w:sz w:val="24"/>
          <w:szCs w:val="24"/>
        </w:rPr>
        <w:fldChar w:fldCharType="separate"/>
      </w:r>
      <w:r w:rsidRPr="00E47694">
        <w:rPr>
          <w:rFonts w:ascii="Times New Roman" w:hAnsi="Times New Roman" w:cs="Times New Roman"/>
          <w:sz w:val="24"/>
          <w:szCs w:val="24"/>
          <w:vertAlign w:val="superscript"/>
        </w:rPr>
        <w:t>19</w:t>
      </w:r>
      <w:r w:rsidRPr="00C571D6">
        <w:rPr>
          <w:rFonts w:ascii="Times New Roman" w:hAnsi="Times New Roman" w:cs="Times New Roman"/>
          <w:sz w:val="24"/>
          <w:szCs w:val="24"/>
        </w:rPr>
        <w:fldChar w:fldCharType="end"/>
      </w:r>
      <w:r w:rsidRPr="00C571D6">
        <w:rPr>
          <w:rFonts w:ascii="Times New Roman" w:hAnsi="Times New Roman" w:cs="Times New Roman"/>
          <w:sz w:val="24"/>
          <w:szCs w:val="24"/>
        </w:rPr>
        <w:t xml:space="preserve">. </w:t>
      </w:r>
      <w:r>
        <w:rPr>
          <w:rFonts w:ascii="Times New Roman" w:hAnsi="Times New Roman" w:cs="Times New Roman"/>
          <w:sz w:val="24"/>
          <w:szCs w:val="24"/>
        </w:rPr>
        <w:t>S</w:t>
      </w:r>
      <w:r w:rsidRPr="00C571D6">
        <w:rPr>
          <w:rFonts w:ascii="Times New Roman" w:hAnsi="Times New Roman" w:cs="Times New Roman"/>
          <w:sz w:val="24"/>
          <w:szCs w:val="24"/>
        </w:rPr>
        <w:t xml:space="preserve">troke was defined </w:t>
      </w:r>
      <w:r w:rsidRPr="00C95EA2">
        <w:rPr>
          <w:rFonts w:ascii="Times New Roman" w:hAnsi="Times New Roman" w:cs="Times New Roman"/>
          <w:color w:val="000000" w:themeColor="text1"/>
          <w:sz w:val="24"/>
          <w:szCs w:val="24"/>
        </w:rPr>
        <w:t xml:space="preserve">as the </w:t>
      </w:r>
      <w:r>
        <w:rPr>
          <w:rFonts w:ascii="Times New Roman" w:hAnsi="Times New Roman" w:cs="Times New Roman"/>
          <w:color w:val="000000" w:themeColor="text1"/>
          <w:sz w:val="24"/>
          <w:szCs w:val="24"/>
        </w:rPr>
        <w:t>onset</w:t>
      </w:r>
      <w:r w:rsidRPr="00C95EA2">
        <w:rPr>
          <w:rFonts w:ascii="Times New Roman" w:hAnsi="Times New Roman" w:cs="Times New Roman"/>
          <w:color w:val="000000" w:themeColor="text1"/>
          <w:sz w:val="24"/>
          <w:szCs w:val="24"/>
        </w:rPr>
        <w:t xml:space="preserve"> of focal neurological symptoms lasting at least 24 hours and supported by congruent ischemic lesions at CT or MRI scans. The cause of death was considered cardiovascular if due to myocardial infarction, heart failure, stroke, CV hemorrhage, or an unwitnessed death occurring within 24 h after the onset of </w:t>
      </w:r>
      <w:r w:rsidRPr="002851A6">
        <w:rPr>
          <w:rFonts w:ascii="Times New Roman" w:hAnsi="Times New Roman" w:cs="Times New Roman"/>
          <w:sz w:val="24"/>
          <w:szCs w:val="24"/>
        </w:rPr>
        <w:t>symptoms (e.g., sudden death</w:t>
      </w:r>
      <w:r w:rsidRPr="002851A6">
        <w:rPr>
          <w:rFonts w:ascii="Times New Roman" w:eastAsia="Times New Roman" w:hAnsi="Times New Roman" w:cs="Times New Roman"/>
          <w:spacing w:val="-10"/>
          <w:kern w:val="2"/>
          <w:sz w:val="24"/>
          <w:szCs w:val="32"/>
          <w:lang w:eastAsia="zh-CN"/>
        </w:rPr>
        <w:t>)</w:t>
      </w:r>
      <w:r w:rsidRPr="002851A6">
        <w:rPr>
          <w:rFonts w:ascii="Times New Roman" w:eastAsia="Times New Roman" w:hAnsi="Times New Roman" w:cs="Times New Roman"/>
          <w:spacing w:val="-10"/>
          <w:kern w:val="2"/>
          <w:sz w:val="24"/>
          <w:szCs w:val="32"/>
          <w:lang w:eastAsia="zh-CN"/>
        </w:rPr>
        <w:fldChar w:fldCharType="begin"/>
      </w:r>
      <w:r w:rsidRPr="002851A6">
        <w:rPr>
          <w:rFonts w:ascii="Times New Roman" w:eastAsia="Times New Roman" w:hAnsi="Times New Roman" w:cs="Times New Roman"/>
          <w:spacing w:val="-10"/>
          <w:kern w:val="2"/>
          <w:sz w:val="24"/>
          <w:szCs w:val="32"/>
          <w:lang w:eastAsia="zh-CN"/>
        </w:rPr>
        <w:instrText xml:space="preserve"> ADDIN ZOTERO_ITEM CSL_CITATION {"citationID":"O0h5oNXn","properties":{"formattedCitation":"\\super 20,21\\nosupersub{}","plainCitation":"20,21","noteIndex":0},"citationItems":[{"id":553,"uris":["http://zotero.org/users/local/51ctrMZy/items/RUI6VEZP"],"itemData":{"id":553,"type":"article-journal","abstract":"This publication describes uniform definitions for cardiovascular and stroke outcomes developed by the Standardized Data Collection for Cardiovascular Trials Initiative and the US Food and Drug Administration (FDA). The FDA established the Standardized Data Collection for Cardiovascular Trials Initiative in 2009 to simplify the design and conduct of clinical trials intended to support marketing applications. The writing committee recognizes that these definitions may be used in other types of clinical trials and clinical care processes where appropriate. Use of these definitions at the FDA has enhanced the ability to aggregate data within and across medical product development programs, conduct meta-analyses to evaluate cardiovascular safety, integrate data from multiple trials, and compare effectiveness of drugs and devices. Further study is needed to determine whether prospective data collection using these common definitions improves the design, conduct, and interpretability of the results of clinical trials.","container-title":"Circulation","DOI":"10.1161/CIRCULATIONAHA.117.033502","ISSN":"1524-4539","issue":"9","journalAbbreviation":"Circulation","language":"eng","note":"PMID: 29483172","page":"961-972","source":"PubMed","title":"2017 Cardiovascular and Stroke Endpoint Definitions for Clinical Trials","volume":"137","author":[{"family":"Hicks","given":"Karen A."},{"family":"Mahaffey","given":"Kenneth W."},{"family":"Mehran","given":"Roxana"},{"family":"Nissen","given":"Steven E."},{"family":"Wiviott","given":"Stephen D."},{"family":"Dunn","given":"Billy"},{"family":"Solomon","given":"Scott D."},{"family":"Marler","given":"John R."},{"family":"Teerlink","given":"John R."},{"family":"Farb","given":"Andrew"},{"family":"Morrow","given":"David A."},{"family":"Targum","given":"Shari L."},{"family":"Sila","given":"Cathy A."},{"family":"Hai","given":"Mary T. Thanh"},{"family":"Jaff","given":"Michael R."},{"family":"Joffe","given":"Hylton V."},{"family":"Cutlip","given":"Donald E."},{"family":"Desai","given":"Akshay S."},{"family":"Lewis","given":"Eldrin F."},{"family":"Gibson","given":"C. Michael"},{"family":"Landray","given":"Martin J."},{"family":"Lincoff","given":"A. Michael"},{"family":"White","given":"Christopher J."},{"family":"Brooks","given":"Steven S."},{"family":"Rosenfield","given":"Kenneth"},{"family":"Domanski","given":"Michael J."},{"family":"Lansky","given":"Alexandra J."},{"family":"McMurray","given":"John J. V."},{"family":"Tcheng","given":"James E."},{"family":"Steinhubl","given":"Steven R."},{"family":"Burton","given":"Paul"},{"family":"Mauri","given":"Laura"},{"family":"O'Connor","given":"Christopher M."},{"family":"Pfeffer","given":"Marc A."},{"family":"Hung","given":"H. M. James"},{"family":"Stockbridge","given":"Norman L."},{"family":"Chaitman","given":"Bernard R."},{"family":"Temple","given":"Robert J."},{"literal":"Standardized Data Collection for Cardiovascular Trials Initiative (SCTI)"}],"issued":{"date-parts":[["2018",2,27]]}}},{"id":556,"uris":["http://zotero.org/users/local/51ctrMZy/items/NW8HGZYL"],"itemData":{"id":556,"type":"article-journal","container-title":"World Health Organization Technical Report Series","ISSN":"0512-3054","journalAbbreviation":"World Health Organ Tech Rep Ser","language":"eng","note":"PMID: 3936284","page":"5-25","source":"PubMed","title":"Sudden cardiac death. Report of a WHO Scientific Group","volume":"726","issued":{"date-parts":[["1985"]]}}}],"schema":"https://github.com/citation-style-language/schema/raw/master/csl-citation.json"} </w:instrText>
      </w:r>
      <w:r w:rsidRPr="002851A6">
        <w:rPr>
          <w:rFonts w:ascii="Times New Roman" w:eastAsia="Times New Roman" w:hAnsi="Times New Roman" w:cs="Times New Roman"/>
          <w:spacing w:val="-10"/>
          <w:kern w:val="2"/>
          <w:sz w:val="24"/>
          <w:szCs w:val="32"/>
          <w:lang w:eastAsia="zh-CN"/>
        </w:rPr>
        <w:fldChar w:fldCharType="separate"/>
      </w:r>
      <w:r w:rsidRPr="002851A6">
        <w:rPr>
          <w:rFonts w:ascii="Times New Roman" w:hAnsi="Times New Roman" w:cs="Times New Roman"/>
          <w:sz w:val="24"/>
          <w:szCs w:val="24"/>
          <w:vertAlign w:val="superscript"/>
        </w:rPr>
        <w:t>20,21</w:t>
      </w:r>
      <w:r w:rsidRPr="002851A6">
        <w:rPr>
          <w:rFonts w:ascii="Times New Roman" w:eastAsia="Times New Roman" w:hAnsi="Times New Roman" w:cs="Times New Roman"/>
          <w:spacing w:val="-10"/>
          <w:kern w:val="2"/>
          <w:sz w:val="24"/>
          <w:szCs w:val="32"/>
          <w:lang w:eastAsia="zh-CN"/>
        </w:rPr>
        <w:fldChar w:fldCharType="end"/>
      </w:r>
      <w:r w:rsidRPr="002851A6">
        <w:rPr>
          <w:rFonts w:ascii="Times New Roman" w:eastAsia="Times New Roman" w:hAnsi="Times New Roman" w:cs="Times New Roman"/>
          <w:spacing w:val="-10"/>
          <w:kern w:val="2"/>
          <w:sz w:val="24"/>
          <w:szCs w:val="32"/>
          <w:lang w:eastAsia="zh-CN"/>
        </w:rPr>
        <w:t>. The study endpoint is represented by the ML risk</w:t>
      </w:r>
      <w:r w:rsidRPr="002851A6">
        <w:rPr>
          <w:rFonts w:ascii="Times New Roman" w:eastAsia="Times New Roman" w:hAnsi="Times New Roman" w:cs="Times New Roman"/>
          <w:bCs/>
          <w:sz w:val="24"/>
          <w:szCs w:val="24"/>
        </w:rPr>
        <w:t xml:space="preserve"> prediction of all-cause death, CV death, stroke, and major bleeding in a large cohort of anticoagulated patients with AF, considering the overall population and the two sub-groups (DOACs and VKA populations) in accordance to the specific anticoagulant strategy chosen. </w:t>
      </w:r>
    </w:p>
    <w:p w14:paraId="757F1F67" w14:textId="77777777" w:rsidR="002D3735" w:rsidRPr="00C95EA2" w:rsidRDefault="002D3735" w:rsidP="002D3735">
      <w:pPr>
        <w:spacing w:before="120" w:after="120" w:line="480" w:lineRule="auto"/>
        <w:jc w:val="both"/>
        <w:rPr>
          <w:rFonts w:ascii="Times New Roman" w:eastAsia="Times New Roman" w:hAnsi="Times New Roman" w:cs="Times New Roman"/>
          <w:bCs/>
          <w:iCs/>
          <w:color w:val="000000" w:themeColor="text1"/>
          <w:sz w:val="24"/>
          <w:szCs w:val="24"/>
        </w:rPr>
      </w:pPr>
    </w:p>
    <w:p w14:paraId="28E49C38" w14:textId="77777777" w:rsidR="002D3735" w:rsidRPr="00C95EA2" w:rsidRDefault="002D3735" w:rsidP="002D3735">
      <w:pPr>
        <w:spacing w:line="480" w:lineRule="auto"/>
        <w:jc w:val="both"/>
        <w:rPr>
          <w:rFonts w:ascii="Times New Roman" w:eastAsia="Times New Roman" w:hAnsi="Times New Roman" w:cs="Times New Roman"/>
          <w:b/>
          <w:i/>
          <w:color w:val="000000" w:themeColor="text1"/>
          <w:sz w:val="24"/>
          <w:szCs w:val="24"/>
          <w:u w:val="single"/>
        </w:rPr>
      </w:pPr>
      <w:r w:rsidRPr="00C95EA2">
        <w:rPr>
          <w:rFonts w:ascii="Times New Roman" w:eastAsia="Times New Roman" w:hAnsi="Times New Roman" w:cs="Times New Roman"/>
          <w:b/>
          <w:i/>
          <w:color w:val="000000" w:themeColor="text1"/>
          <w:sz w:val="24"/>
          <w:szCs w:val="24"/>
          <w:u w:val="single"/>
        </w:rPr>
        <w:t>Predictive Models</w:t>
      </w:r>
    </w:p>
    <w:p w14:paraId="6549D61A" w14:textId="77777777" w:rsidR="002D3735" w:rsidRPr="00C95EA2" w:rsidRDefault="002D3735" w:rsidP="002D3735">
      <w:pPr>
        <w:spacing w:before="120" w:after="120" w:line="480" w:lineRule="auto"/>
        <w:jc w:val="both"/>
        <w:rPr>
          <w:rFonts w:ascii="Times New Roman" w:hAnsi="Times New Roman" w:cs="Times New Roman"/>
          <w:b/>
          <w:bCs/>
          <w:i/>
          <w:iCs/>
          <w:color w:val="000000" w:themeColor="text1"/>
          <w:sz w:val="24"/>
          <w:szCs w:val="24"/>
        </w:rPr>
      </w:pPr>
      <w:bookmarkStart w:id="12" w:name="_Hlk144483177"/>
      <w:r w:rsidRPr="00B1333E">
        <w:rPr>
          <w:rFonts w:ascii="Times New Roman" w:eastAsia="Times New Roman" w:hAnsi="Times New Roman" w:cs="Times New Roman"/>
          <w:bCs/>
          <w:iCs/>
          <w:sz w:val="24"/>
          <w:szCs w:val="24"/>
        </w:rPr>
        <w:t xml:space="preserve">Different supervised ML models were used to assess the study endpoint. </w:t>
      </w:r>
      <w:r w:rsidRPr="00C95EA2">
        <w:rPr>
          <w:rFonts w:ascii="Times New Roman" w:eastAsia="Times New Roman" w:hAnsi="Times New Roman" w:cs="Times New Roman"/>
          <w:bCs/>
          <w:iCs/>
          <w:color w:val="000000" w:themeColor="text1"/>
          <w:sz w:val="24"/>
          <w:szCs w:val="24"/>
        </w:rPr>
        <w:t>Stepwise logistic regression (SLR) and gradient-boosted decision trees (GBDT)</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{"citationID":"OwjZk2sf","properties":{"formattedCitation":"\\super 22\\nosupersub{}","plainCitation":"22","noteIndex":0},"citationItems":[{"id":561,"uris":["http://zotero.org/users/local/51ctrMZy/items/CPJIH58Y"],"itemData":{"id":561,"type":"paper-conference","abstract":"Gradient Boosting Decision Tree (GBDT) is a popular machine learning algorithm, and has quite a few effective implementations such as XGBoost and pGBRT. Although many engineering optimizations have been adopted in these implementations, the efficiency and scalability are still unsatisfactory when the feature dimension is high and data size is large. A major reason is that for each feature, they need to scan all the data instances to estimate the information gain of all possible split points, which is very time consuming. To tackle this problem, we propose two novel techniques: Gradient-based One-Side Sampling (GOSS) and Exclusive Feature Bundling (EFB). With GOSS, we exclude a significant proportion of data instances with small gradients, and only use the rest to estimate the information gain. We prove that, since the data instances with larger gradients play a more important role in the computation of information gain, GOSS can obtain quite accurate estimation of the information gain with a much smaller data size. With EFB, we bundle mutually exclusive features (i.e., they rarely take nonzero values simultaneously), to reduce the number of features. We prove that finding the optimal bundling of exclusive features is NP-hard, but a greedy algorithm can achieve quite good approximation ratio (and thus can effectively reduce the number of features without hurting the accuracy of split point determination by much). We call our new GBDT implementation with GOSS and EFB LightGBM. Our experiments on multiple public datasets show that, LightGBM speeds up the training process of conventional GBDT by up to over 20 times while achieving almost the same accuracy.","event-title":"NIPS","source":"Semantic Scholar","title":"LightGBM: A Highly Efficient Gradient Boosting Decision Tree","title-short":"LightGBM","URL":"https://www.semanticscholar.org/paper/LightGBM%3A-A-Highly-Efficient-Gradient-Boosting-Tree-Ke-Meng/497e4b08279d69513e4d2313a7fd9a55dfb73273","author":[{"family":"Ke","given":"Guolin"},{"family":"Meng","given":"Qi"},{"family":"Finley","given":"Thomas"},{"family":"Wang","given":"Taifeng"},{"family":"Chen","given":"Wei"},{"family":"Ma","given":"Weidong"},{"family":"Ye","given":"Qiwei"},{"family":"Liu","given":"Tie-Yan"}],"accessed":{"date-parts":[["2023",5,14]]},"issued":{"date-parts":[["2017",12,4]]}}}],"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22</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were applied to predict all-cause death, CV death, stroke, and major bleeding individually. Diﬀerent types of </w:t>
      </w:r>
      <w:bookmarkStart w:id="13" w:name="_Hlk144483228"/>
      <w:r w:rsidRPr="00C95EA2">
        <w:rPr>
          <w:rFonts w:ascii="Times New Roman" w:eastAsia="Times New Roman" w:hAnsi="Times New Roman" w:cs="Times New Roman"/>
          <w:bCs/>
          <w:iCs/>
          <w:color w:val="000000" w:themeColor="text1"/>
          <w:sz w:val="24"/>
          <w:szCs w:val="24"/>
        </w:rPr>
        <w:t>multi-task neural networks (MTNN</w:t>
      </w:r>
      <w:bookmarkEnd w:id="13"/>
      <w:r w:rsidRPr="00C95EA2">
        <w:rPr>
          <w:rFonts w:ascii="Times New Roman" w:eastAsia="Times New Roman" w:hAnsi="Times New Roman" w:cs="Times New Roman"/>
          <w:bCs/>
          <w:iCs/>
          <w:color w:val="000000" w:themeColor="text1"/>
          <w:sz w:val="24"/>
          <w:szCs w:val="24"/>
        </w:rPr>
        <w:t>) we</w:t>
      </w:r>
      <w:bookmarkEnd w:id="12"/>
      <w:r w:rsidRPr="00C95EA2">
        <w:rPr>
          <w:rFonts w:ascii="Times New Roman" w:eastAsia="Times New Roman" w:hAnsi="Times New Roman" w:cs="Times New Roman"/>
          <w:bCs/>
          <w:iCs/>
          <w:color w:val="000000" w:themeColor="text1"/>
          <w:sz w:val="24"/>
          <w:szCs w:val="24"/>
        </w:rPr>
        <w:t xml:space="preserve">re trained to jointly predict the same outcomes. The ﬁrst predictive technique that was used was SLR, which is a method of ﬁtting regression models by iteratively testing the statistical significance of each independent variable and selecting the best ones (p-value &gt; 0.05). The second technique used was the GBDT, </w:t>
      </w:r>
      <w:r>
        <w:rPr>
          <w:rFonts w:ascii="Times New Roman" w:eastAsia="Times New Roman" w:hAnsi="Times New Roman" w:cs="Times New Roman"/>
          <w:bCs/>
          <w:iCs/>
          <w:color w:val="000000" w:themeColor="text1"/>
          <w:sz w:val="24"/>
          <w:szCs w:val="24"/>
        </w:rPr>
        <w:t>which</w:t>
      </w:r>
      <w:r w:rsidRPr="00C95EA2">
        <w:rPr>
          <w:rFonts w:ascii="Times New Roman" w:eastAsia="Times New Roman" w:hAnsi="Times New Roman" w:cs="Times New Roman"/>
          <w:bCs/>
          <w:iCs/>
          <w:color w:val="000000" w:themeColor="text1"/>
          <w:sz w:val="24"/>
          <w:szCs w:val="24"/>
        </w:rPr>
        <w:t xml:space="preserve"> combines (by voting) multiple weak models to form a strong model.  The number of estimators and the learning rate for GBDT were chosen to be 125 and 0.01</w:t>
      </w:r>
      <w:r>
        <w:rPr>
          <w:rFonts w:ascii="Times New Roman" w:eastAsia="Times New Roman" w:hAnsi="Times New Roman" w:cs="Times New Roman"/>
          <w:bCs/>
          <w:iCs/>
          <w:color w:val="000000" w:themeColor="text1"/>
          <w:sz w:val="24"/>
          <w:szCs w:val="24"/>
        </w:rPr>
        <w:t>,</w:t>
      </w:r>
      <w:r w:rsidRPr="00C95EA2">
        <w:rPr>
          <w:rFonts w:ascii="Times New Roman" w:eastAsia="Times New Roman" w:hAnsi="Times New Roman" w:cs="Times New Roman"/>
          <w:bCs/>
          <w:iCs/>
          <w:color w:val="000000" w:themeColor="text1"/>
          <w:sz w:val="24"/>
          <w:szCs w:val="24"/>
        </w:rPr>
        <w:t xml:space="preserve"> respectively</w:t>
      </w:r>
      <w:r>
        <w:rPr>
          <w:rFonts w:ascii="Times New Roman" w:eastAsia="Times New Roman" w:hAnsi="Times New Roman" w:cs="Times New Roman"/>
          <w:bCs/>
          <w:iCs/>
          <w:color w:val="000000" w:themeColor="text1"/>
          <w:sz w:val="24"/>
          <w:szCs w:val="24"/>
        </w:rPr>
        <w:t>,</w:t>
      </w:r>
      <w:r w:rsidRPr="00C95EA2">
        <w:rPr>
          <w:rFonts w:ascii="Times New Roman" w:eastAsia="Times New Roman" w:hAnsi="Times New Roman" w:cs="Times New Roman"/>
          <w:bCs/>
          <w:iCs/>
          <w:color w:val="000000" w:themeColor="text1"/>
          <w:sz w:val="24"/>
          <w:szCs w:val="24"/>
        </w:rPr>
        <w:t xml:space="preserve"> through a grid search. GBDT models can provide a list of the most important features used to make predictions. However, while the importance of a feature can indicate which features are generally most important for prediction, it does not reveal how the value of the feature influences it. SHAP </w:t>
      </w:r>
      <w:r w:rsidRPr="00C95EA2">
        <w:rPr>
          <w:rFonts w:ascii="Times New Roman" w:eastAsia="Times New Roman" w:hAnsi="Times New Roman" w:cs="Times New Roman"/>
          <w:bCs/>
          <w:iCs/>
          <w:color w:val="000000" w:themeColor="text1"/>
          <w:sz w:val="24"/>
          <w:szCs w:val="24"/>
        </w:rPr>
        <w:lastRenderedPageBreak/>
        <w:t>(SHapley Additive exPlanations), a game theory-based approach, was used to explain the model output</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{"citationID":"nGe5b3RQ","properties":{"formattedCitation":"\\super 23\\nosupersub{}","plainCitation":"23","noteIndex":0},"citationItems":[{"id":713,"uris":["http://zotero.org/users/local/51ctrMZy/items/SPC92ZEU"],"itemData":{"id":713,"type":"paper-conference","abstract":"Understanding why a model makes a certain prediction can be as crucial as the prediction's accuracy in many applications. However, the highest accuracy for large modern datasets is often achieved by complex models that even experts struggle to interpret, such as ensemble or deep learning models, creating a tension between accuracy and interpretability. In response, various methods have recently been proposed to help users interpret the predictions of complex models, but it is often unclear how these methods are related and when one method is preferable over another. To address this problem, we present a unified framework for interpreting predictions, SHAP (SHapley Additive exPlanations). SHAP assigns each feature an importance value for a particular prediction. Its novel components include: (1) the identification of a new class of additive feature importance measures, and (2) theoretical results showing there is a unique solution in this class with a set of desirable properties. The new class unifies six existing methods, notable because several recent methods in the class lack the proposed desirable properties. Based on insights from this unification, we present new methods that show improved computational performance and/or better consistency with human intuition than previous approaches.","container-title":"Advances in Neural Information Processing Systems","publisher":"Curran Associates, Inc.","source":"Neural Information Processing Systems","title":"A Unified Approach to Interpreting Model Predictions","URL":"https://papers.nips.cc/paper_files/paper/2017/hash/8a20a8621978632d76c43dfd28b67767-Abstract.html","volume":"30","author":[{"family":"Lundberg","given":"Scott M"},{"family":"Lee","given":"Su-In"}],"accessed":{"date-parts":[["2023",9,2]]},"issued":{"date-parts":[["2017"]]}}}],"schema":"https://github.com/citation-style-language/schema/raw/master/csl-citation.json"}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23</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SHAP assigns each feature an importance value for a specific prediction and connects optimal credit allocation with local explanations using classical Shapley values from game theory. </w:t>
      </w:r>
      <w:r>
        <w:rPr>
          <w:rFonts w:ascii="Times New Roman" w:eastAsia="Times New Roman" w:hAnsi="Times New Roman" w:cs="Times New Roman"/>
          <w:bCs/>
          <w:iCs/>
          <w:color w:val="000000" w:themeColor="text1"/>
          <w:sz w:val="24"/>
          <w:szCs w:val="24"/>
        </w:rPr>
        <w:t>Therefore</w:t>
      </w:r>
      <w:r w:rsidRPr="00C95EA2">
        <w:rPr>
          <w:rFonts w:ascii="Times New Roman" w:eastAsia="Times New Roman" w:hAnsi="Times New Roman" w:cs="Times New Roman"/>
          <w:bCs/>
          <w:iCs/>
          <w:color w:val="000000" w:themeColor="text1"/>
          <w:sz w:val="24"/>
          <w:szCs w:val="24"/>
        </w:rPr>
        <w:t>, it is possible to understand how the value of each feature influences the prediction. Some multi-task learning techniques using neural networks were also experimented, with either a simple shared-bottom architecture</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{"citationID":"AXNYZu0Y","properties":{"formattedCitation":"\\super 24\\nosupersub{}","plainCitation":"24","noteIndex":0},"citationItems":[{"id":720,"uris":["http://zotero.org/users/local/51ctrMZy/items/AZN5S7NK"],"itemData":{"id":720,"type":"paper-conference","abstract":"Hinton  [6]  proposed  that  generalization  in  artificial  neural  nets  should improve  if nets  learn  to represent the  domain's underlying  regularities.  Abu-Mustafa's  hints work  [1]  shows  that the  outputs  of a  backprop  net  can  be  used  as  inputs  through  which  domain(cid:173) specific  information can be given to the net.  We extend these ideas  by showing that a  backprop net learning many related tasks at the  same time can use these  tasks  as inductive  bias for  each other and  thus learn better.  We  identify five  mechanisms by which multitask  backprop improves generalization and give  empirical evidence that  multi task backprop generalizes  better  in real  domains.","container-title":"Advances in Neural Information Processing Systems","publisher":"MIT Press","source":"Neural Information Processing Systems","title":"Learning Many Related Tasks at the Same Time with Backpropagation","URL":"https://proceedings.neurips.cc/paper/1994/hash/0f840be9b8db4d3fbd5ba2ce59211f55-Abstract.html","volume":"7","author":[{"family":"Caruana","given":"Rich"}],"accessed":{"date-parts":[["2023",9,4]]},"issued":{"date-parts":[["1994"]]}}}],"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24</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or a </w:t>
      </w:r>
      <w:bookmarkStart w:id="14" w:name="_Hlk144483248"/>
      <w:r w:rsidRPr="00C95EA2">
        <w:rPr>
          <w:rFonts w:ascii="Times New Roman" w:eastAsia="Times New Roman" w:hAnsi="Times New Roman" w:cs="Times New Roman"/>
          <w:bCs/>
          <w:iCs/>
          <w:color w:val="000000" w:themeColor="text1"/>
          <w:sz w:val="24"/>
          <w:szCs w:val="24"/>
        </w:rPr>
        <w:t>Multi-Gate Mixture of Experts (MMoE)</w:t>
      </w:r>
      <w:bookmarkEnd w:id="14"/>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{"citationID":"Ooh10ZO3","properties":{"formattedCitation":"\\super 25\\nosupersub{}","plainCitation":"25","noteIndex":0},"citationItems":[{"id":564,"uris":["http://zotero.org/users/local/51ctrMZy/items/GJG24KIB"],"itemData":{"id":564,"type":"paper-conference","abstract":"Neural-based multi-task learning has been successfully used in many real-world large-scale applications such as recommendation systems. For example, in movie recommendations, beyond providing users movies which they tend to purchase and watch, the system might also optimize for users liking the movies afterwards. With multi-task learning, we aim to build a single model that learns these multiple goals and tasks simultaneously. However, the prediction quality of commonly used multi-task models is often sensitive to the relationships between tasks. It is therefore important to study the modeling tradeoffs between task-specific objectives and inter-task relationships. In this work, we propose a novel multi-task learning approach, Multi-gate Mixture-of-Experts (MMoE), which explicitly learns to model task relationships from data. We adapt the Mixture-of-Experts (MoE) structure to multi-task learning by sharing the expert submodels across all tasks, while also having a gating network trained to optimize each task. To validate our approach on data with different levels of task relatedness, we first apply it to a synthetic dataset where we control the task relatedness. We show that the proposed approach performs better than baseline methods when the tasks are less related. We also show that the MMoE structure results in an additional trainability benefit, depending on different levels of randomness in the training data and model initialization. Furthermore, we demonstrate the performance improvements by MMoE on real tasks including a binary classification benchmark, and a large-scale content recommendation system at Google.","collection-title":"KDD '18","container-title":"Proceedings of the 24th ACM SIGKDD International Conference on Knowledge Discovery &amp; Data Mining","DOI":"10.1145/3219819.3220007","event-place":"New York, NY, USA","ISBN":"978-1-4503-5552-0","page":"1930–1939","publisher":"Association for Computing Machinery","publisher-place":"New York, NY, USA","source":"ACM Digital Library","title":"Modeling Task Relationships in Multi-task Learning with Multi-gate Mixture-of-Experts","URL":"https://dl.acm.org/doi/10.1145/3219819.3220007","author":[{"family":"Ma","given":"Jiaqi"},{"family":"Zhao","given":"Zhe"},{"family":"Yi","given":"Xinyang"},{"family":"Chen","given":"Jilin"},{"family":"Hong","given":"Lichan"},{"family":"Chi","given":"Ed H."}],"accessed":{"date-parts":[["2023",5,14]]},"issued":{"date-parts":[["2018",7,19]]}}}],"schema":"https://github.com/citation-style-language/schema/raw/master/csl-citation.json"}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25</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The shared-bottom architecture had three dense layers with 128, 128 and 256 units, respectively, and RELU nonlinearities. Unlike SLR and GBDT, MMOE can learn both shared and task-speciﬁc features from the data. The MMOE approach had eight expert networks with 16 units each for the shared part and a layer of 32 </w:t>
      </w:r>
      <w:r w:rsidRPr="00B1333E">
        <w:rPr>
          <w:rFonts w:ascii="Times New Roman" w:eastAsia="Times New Roman" w:hAnsi="Times New Roman" w:cs="Times New Roman"/>
          <w:bCs/>
          <w:iCs/>
          <w:sz w:val="24"/>
          <w:szCs w:val="24"/>
        </w:rPr>
        <w:t>specialized units for each task. In both cases, Adam (number of epochs=100) was used to ﬁt the models</w:t>
      </w:r>
      <w:r w:rsidRPr="00B1333E">
        <w:rPr>
          <w:rFonts w:ascii="Times New Roman" w:eastAsia="Times New Roman" w:hAnsi="Times New Roman" w:cs="Times New Roman"/>
          <w:bCs/>
          <w:iCs/>
          <w:sz w:val="24"/>
          <w:szCs w:val="24"/>
        </w:rPr>
        <w:fldChar w:fldCharType="begin"/>
      </w:r>
      <w:r w:rsidRPr="00B1333E">
        <w:rPr>
          <w:rFonts w:ascii="Times New Roman" w:eastAsia="Times New Roman" w:hAnsi="Times New Roman" w:cs="Times New Roman"/>
          <w:bCs/>
          <w:iCs/>
          <w:sz w:val="24"/>
          <w:szCs w:val="24"/>
        </w:rPr>
        <w:instrText xml:space="preserve"> ADDIN ZOTERO_ITEM CSL_CITATION {"citationID":"7Ml5AmzC","properties":{"formattedCitation":"\\super 26\\nosupersub{}","plainCitation":"26","noteIndex":0},"citationItems":[{"id":566,"uris":["http://zotero.org/users/local/51ctrMZy/items/S47T364L"],"itemData":{"id":566,"type":"article","abstract":"We introduce Adam, an algorithm for first-order gradient-based optimization of stochastic objective functions, based on adaptive estimates of lower-order moments. The method is straightforward to implement, is computationally efficient, has little memory requirements, is invariant to diagonal rescaling of the gradients, and is well suited for problems that are large in terms of data and/or parameters. The method is also appropriate for non-stationary objectives and problems with very noisy and/or sparse gradients. The hyper-parameters have intuitive interpretations and typically require little tuning. Some connections to related algorithms, on which Adam was inspired, are discussed. We also analyze the theoretical convergence properties of the algorithm and provide a regret bound on the convergence rate that is comparable to the best known results under the online convex optimization framework. Empirical results demonstrate that Adam works well in practice and compares favorably to other stochastic optimization methods. Finally, we discuss AdaMax, a variant of Adam based on the infinity norm.","DOI":"10.48550/arXiv.1412.6980","note":"arXiv:1412.6980 [cs]","number":"arXiv:1412.6980","publisher":"arXiv","source":"arXiv.org","title":"Adam: A Method for Stochastic Optimization","title-short":"Adam","URL":"http://arxiv.org/abs/1412.6980","author":[{"family":"Kingma","given":"Diederik P."},{"family":"Ba","given":"Jimmy"}],"accessed":{"date-parts":[["2023",5,14]]},"issued":{"date-parts":[["2017",1,29]]}}}],"schema":"https://github.com/citation-style-language/schema/raw/master/csl-citation.json"} </w:instrText>
      </w:r>
      <w:r w:rsidRPr="00B1333E">
        <w:rPr>
          <w:rFonts w:ascii="Times New Roman" w:eastAsia="Times New Roman" w:hAnsi="Times New Roman" w:cs="Times New Roman"/>
          <w:bCs/>
          <w:iCs/>
          <w:sz w:val="24"/>
          <w:szCs w:val="24"/>
        </w:rPr>
        <w:fldChar w:fldCharType="separate"/>
      </w:r>
      <w:r w:rsidRPr="00B1333E">
        <w:rPr>
          <w:rFonts w:ascii="Times New Roman" w:hAnsi="Times New Roman" w:cs="Times New Roman"/>
          <w:sz w:val="24"/>
          <w:szCs w:val="24"/>
          <w:vertAlign w:val="superscript"/>
        </w:rPr>
        <w:t>26</w:t>
      </w:r>
      <w:r w:rsidRPr="00B1333E">
        <w:rPr>
          <w:rFonts w:ascii="Times New Roman" w:eastAsia="Times New Roman" w:hAnsi="Times New Roman" w:cs="Times New Roman"/>
          <w:bCs/>
          <w:iCs/>
          <w:sz w:val="24"/>
          <w:szCs w:val="24"/>
        </w:rPr>
        <w:fldChar w:fldCharType="end"/>
      </w:r>
      <w:r w:rsidRPr="00B1333E">
        <w:rPr>
          <w:rFonts w:ascii="Times New Roman" w:eastAsia="Times New Roman" w:hAnsi="Times New Roman" w:cs="Times New Roman"/>
          <w:bCs/>
          <w:iCs/>
          <w:sz w:val="24"/>
          <w:szCs w:val="24"/>
        </w:rPr>
        <w:t>. R</w:t>
      </w:r>
      <w:r w:rsidRPr="00B1333E">
        <w:rPr>
          <w:rFonts w:ascii="Times New Roman" w:hAnsi="Times New Roman"/>
          <w:sz w:val="24"/>
          <w:szCs w:val="24"/>
        </w:rPr>
        <w:t>egularization techniques such as L1/L2 regularization and dropout layers were used in neural networks to mitigate overfitting and create robust data representations.</w:t>
      </w:r>
      <w:r w:rsidRPr="00B1333E">
        <w:rPr>
          <w:rFonts w:ascii="Times New Roman" w:eastAsia="Times New Roman" w:hAnsi="Times New Roman" w:cs="Times New Roman"/>
          <w:bCs/>
          <w:iCs/>
          <w:sz w:val="24"/>
          <w:szCs w:val="24"/>
        </w:rPr>
        <w:t xml:space="preserve"> </w:t>
      </w:r>
      <w:r w:rsidRPr="00B1333E">
        <w:rPr>
          <w:rFonts w:ascii="Times New Roman" w:hAnsi="Times New Roman" w:cs="Times New Roman"/>
          <w:sz w:val="24"/>
          <w:szCs w:val="24"/>
        </w:rPr>
        <w:t xml:space="preserve">Baseline </w:t>
      </w:r>
      <w:r w:rsidRPr="00C95EA2">
        <w:rPr>
          <w:rFonts w:ascii="Times New Roman" w:hAnsi="Times New Roman" w:cs="Times New Roman"/>
          <w:color w:val="000000" w:themeColor="text1"/>
          <w:sz w:val="24"/>
          <w:szCs w:val="24"/>
        </w:rPr>
        <w:t xml:space="preserve">variables as reported on the registries’ CRF were used as potential predictors. In total, 68 variables were considered for all predictive models </w:t>
      </w:r>
      <w:r w:rsidRPr="00C95EA2">
        <w:rPr>
          <w:rFonts w:ascii="Times New Roman" w:hAnsi="Times New Roman" w:cs="Times New Roman"/>
          <w:b/>
          <w:bCs/>
          <w:i/>
          <w:iCs/>
          <w:color w:val="000000" w:themeColor="text1"/>
          <w:sz w:val="24"/>
          <w:szCs w:val="24"/>
        </w:rPr>
        <w:t>(Supplementary Material, Table 1)</w:t>
      </w:r>
    </w:p>
    <w:p w14:paraId="5CA78167" w14:textId="77777777" w:rsidR="002D3735" w:rsidRDefault="002D3735" w:rsidP="002D3735">
      <w:pPr>
        <w:spacing w:line="480" w:lineRule="auto"/>
        <w:jc w:val="both"/>
        <w:rPr>
          <w:rFonts w:ascii="Times New Roman" w:eastAsia="Times New Roman" w:hAnsi="Times New Roman" w:cs="Times New Roman"/>
          <w:bCs/>
          <w:iCs/>
          <w:color w:val="000000" w:themeColor="text1"/>
          <w:sz w:val="24"/>
          <w:szCs w:val="24"/>
        </w:rPr>
      </w:pPr>
    </w:p>
    <w:p w14:paraId="211C4415" w14:textId="77777777" w:rsidR="002D3735" w:rsidRPr="00C95EA2" w:rsidRDefault="002D3735" w:rsidP="002D3735">
      <w:pPr>
        <w:spacing w:line="480" w:lineRule="auto"/>
        <w:jc w:val="both"/>
        <w:rPr>
          <w:rFonts w:ascii="Times New Roman" w:eastAsia="Times New Roman" w:hAnsi="Times New Roman" w:cs="Times New Roman"/>
          <w:bCs/>
          <w:iCs/>
          <w:color w:val="000000" w:themeColor="text1"/>
          <w:sz w:val="24"/>
          <w:szCs w:val="24"/>
        </w:rPr>
      </w:pPr>
    </w:p>
    <w:p w14:paraId="546C902D" w14:textId="77777777" w:rsidR="002D3735" w:rsidRPr="00C95EA2" w:rsidRDefault="002D3735" w:rsidP="002D3735">
      <w:pPr>
        <w:spacing w:line="480" w:lineRule="auto"/>
        <w:jc w:val="both"/>
        <w:rPr>
          <w:rFonts w:ascii="Times New Roman" w:eastAsia="Times New Roman" w:hAnsi="Times New Roman" w:cs="Times New Roman"/>
          <w:b/>
          <w:iCs/>
          <w:color w:val="000000" w:themeColor="text1"/>
          <w:sz w:val="24"/>
          <w:szCs w:val="24"/>
        </w:rPr>
      </w:pPr>
      <w:r w:rsidRPr="00C95EA2">
        <w:rPr>
          <w:rFonts w:ascii="Times New Roman" w:eastAsia="Times New Roman" w:hAnsi="Times New Roman" w:cs="Times New Roman"/>
          <w:b/>
          <w:iCs/>
          <w:color w:val="000000" w:themeColor="text1"/>
          <w:sz w:val="24"/>
          <w:szCs w:val="24"/>
        </w:rPr>
        <w:t>Metrics and statistical analysis</w:t>
      </w:r>
    </w:p>
    <w:p w14:paraId="63E3F12D" w14:textId="77777777" w:rsidR="002D3735" w:rsidRPr="00C95EA2" w:rsidRDefault="002D3735" w:rsidP="002D3735">
      <w:pPr>
        <w:spacing w:line="480" w:lineRule="auto"/>
        <w:jc w:val="both"/>
        <w:rPr>
          <w:rFonts w:ascii="Times New Roman" w:eastAsia="Times New Roman" w:hAnsi="Times New Roman" w:cs="Times New Roman"/>
          <w:bCs/>
          <w:iCs/>
          <w:color w:val="000000" w:themeColor="text1"/>
          <w:sz w:val="24"/>
          <w:szCs w:val="24"/>
        </w:rPr>
      </w:pPr>
      <w:r w:rsidRPr="00C95EA2">
        <w:rPr>
          <w:rFonts w:ascii="Times New Roman" w:eastAsia="Times New Roman" w:hAnsi="Times New Roman" w:cs="Times New Roman"/>
          <w:bCs/>
          <w:iCs/>
          <w:color w:val="000000" w:themeColor="text1"/>
          <w:sz w:val="24"/>
          <w:szCs w:val="24"/>
        </w:rPr>
        <w:t>As a metric, the area under the ROC curve (AUC</w:t>
      </w:r>
      <w:r>
        <w:rPr>
          <w:rFonts w:ascii="Times New Roman" w:eastAsia="Times New Roman" w:hAnsi="Times New Roman" w:cs="Times New Roman"/>
          <w:bCs/>
          <w:iCs/>
          <w:color w:val="000000" w:themeColor="text1"/>
          <w:sz w:val="24"/>
          <w:szCs w:val="24"/>
        </w:rPr>
        <w:t>, Area Under the Curve</w:t>
      </w:r>
      <w:r w:rsidRPr="00C95EA2">
        <w:rPr>
          <w:rFonts w:ascii="Times New Roman" w:eastAsia="Times New Roman" w:hAnsi="Times New Roman" w:cs="Times New Roman"/>
          <w:bCs/>
          <w:iCs/>
          <w:color w:val="000000" w:themeColor="text1"/>
          <w:sz w:val="24"/>
          <w:szCs w:val="24"/>
        </w:rPr>
        <w:t xml:space="preserve">) was used in a 5-fold cross-validation, in which the data were divided into ﬁve subsets and each subset was used once as a test set, while the remaining subsets were used as training </w:t>
      </w:r>
      <w:r w:rsidRPr="00C95EA2">
        <w:rPr>
          <w:rFonts w:ascii="Times New Roman" w:eastAsia="Times New Roman" w:hAnsi="Times New Roman" w:cs="Times New Roman"/>
          <w:bCs/>
          <w:iCs/>
          <w:color w:val="000000" w:themeColor="text1"/>
          <w:sz w:val="24"/>
          <w:szCs w:val="24"/>
        </w:rPr>
        <w:lastRenderedPageBreak/>
        <w:t xml:space="preserve">sets. To ensure a correct stratiﬁcation of the data on the </w:t>
      </w:r>
      <w:r>
        <w:rPr>
          <w:rFonts w:ascii="Times New Roman" w:eastAsia="Times New Roman" w:hAnsi="Times New Roman" w:cs="Times New Roman"/>
          <w:bCs/>
          <w:iCs/>
          <w:color w:val="000000" w:themeColor="text1"/>
          <w:sz w:val="24"/>
          <w:szCs w:val="24"/>
        </w:rPr>
        <w:t xml:space="preserve">four </w:t>
      </w:r>
      <w:r w:rsidRPr="00C95EA2">
        <w:rPr>
          <w:rFonts w:ascii="Times New Roman" w:eastAsia="Times New Roman" w:hAnsi="Times New Roman" w:cs="Times New Roman"/>
          <w:bCs/>
          <w:iCs/>
          <w:color w:val="000000" w:themeColor="text1"/>
          <w:sz w:val="24"/>
          <w:szCs w:val="24"/>
        </w:rPr>
        <w:t>targets (death,</w:t>
      </w:r>
      <w:r>
        <w:rPr>
          <w:rFonts w:ascii="Times New Roman" w:eastAsia="Times New Roman" w:hAnsi="Times New Roman" w:cs="Times New Roman"/>
          <w:bCs/>
          <w:iCs/>
          <w:color w:val="000000" w:themeColor="text1"/>
          <w:sz w:val="24"/>
          <w:szCs w:val="24"/>
        </w:rPr>
        <w:t xml:space="preserve"> CV death</w:t>
      </w:r>
      <w:r w:rsidRPr="002851A6">
        <w:rPr>
          <w:rFonts w:ascii="Times New Roman" w:eastAsia="Times New Roman" w:hAnsi="Times New Roman" w:cs="Times New Roman"/>
          <w:bCs/>
          <w:iCs/>
          <w:sz w:val="24"/>
          <w:szCs w:val="24"/>
        </w:rPr>
        <w:t xml:space="preserve">, ischemic stroke </w:t>
      </w:r>
      <w:r w:rsidRPr="00C95EA2">
        <w:rPr>
          <w:rFonts w:ascii="Times New Roman" w:eastAsia="Times New Roman" w:hAnsi="Times New Roman" w:cs="Times New Roman"/>
          <w:bCs/>
          <w:iCs/>
          <w:color w:val="000000" w:themeColor="text1"/>
          <w:sz w:val="24"/>
          <w:szCs w:val="24"/>
        </w:rPr>
        <w:t>and major bleeding) on the folds, the technique of iterative stratiﬁcation</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{"citationID":"iEEnTJZT","properties":{"formattedCitation":"\\super 27\\nosupersub{}","plainCitation":"27","noteIndex":0},"citationItems":[{"id":576,"uris":["http://zotero.org/users/local/51ctrMZy/items/577V3R6F"],"itemData":{"id":576,"type":"chapter","abstract":"Stratiﬁed sampling is a sampling method that takes into account the existence of disjoint groups within a population and produces samples where the proportion of these groups is maintained. In single-label classiﬁcation tasks, groups are diﬀerentiated based on the value of the target variable. In multi-label learning tasks, however, where there are multiple target variables, it is not clear how stratiﬁed sampling could/should be performed. This paper investigates stratiﬁcation in the multi-label data context. It considers two stratiﬁcation methods for multi-label data and empirically compares them along with random sampling on a number of datasets and based on a number of evaluation criteria. The results reveal some interesting conclusions with respect to the utility of each method for particular types of multi-label datasets.","container-title":"Machine Learning and Knowledge Discovery in Databases","event-place":"Berlin, Heidelberg","ISBN":"978-3-642-23807-9","language":"en","note":"DOI: 10.1007/978-3-642-23808-6_10","page":"145–158","publisher":"Springer Berlin Heidelberg","publisher-place":"Berlin, Heidelberg","title":"On the Stratification of Multi-label Data","URL":"http://link.springer.com/10.1007/978-3-642-23808-6_10","volume":"6913","author":[{"family":"Sechidis","given":"Konstantinos"},{"family":"Tsoumakas","given":"Grigorios"},{"family":"Vlahavas","given":"Ioannis"}],"editor":[{"family":"Gunopulos","given":"Dimitrios"},{"family":"Hofmann","given":"Thomas"},{"family":"Malerba","given":"Donato"},{"family":"Vazirgiannis","given":"Michalis"}],"accessed":{"date-parts":[["2023",5,12]]},"issued":{"date-parts":[["2011"]]}}}],"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27</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was used, which is a method that divides a multi-label dataset by considering each label separately, beginning with the one with the fewest positive examples and progressing to the best represented one. </w:t>
      </w:r>
      <w:r>
        <w:rPr>
          <w:rFonts w:ascii="Times New Roman" w:eastAsia="Times New Roman" w:hAnsi="Times New Roman" w:cs="Times New Roman"/>
          <w:bCs/>
          <w:iCs/>
          <w:color w:val="000000" w:themeColor="text1"/>
          <w:sz w:val="24"/>
          <w:szCs w:val="24"/>
        </w:rPr>
        <w:t>Therefore</w:t>
      </w:r>
      <w:r w:rsidRPr="00C95EA2">
        <w:rPr>
          <w:rFonts w:ascii="Times New Roman" w:eastAsia="Times New Roman" w:hAnsi="Times New Roman" w:cs="Times New Roman"/>
          <w:bCs/>
          <w:iCs/>
          <w:color w:val="000000" w:themeColor="text1"/>
          <w:sz w:val="24"/>
          <w:szCs w:val="24"/>
        </w:rPr>
        <w:t>, each fold contains a balanced number of examples from each label combination. Pooled</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{"citationID":"pej3Ia2g","properties":{"formattedCitation":"\\super 28\\nosupersub{}","plainCitation":"28","noteIndex":0},"citationItems":[{"id":716,"uris":["http://zotero.org/users/local/51ctrMZy/items/IYCQ3KZK"],"itemData":{"id":716,"type":"article-journal","abstract":"Receiver operating characteristic (ROC) curves are a popular method of summarising the performance of classifiers. The ROC curve describes the separability of the distributions of predictions from a two-class classifier. There are a variety of situations in which an analyst seeks to aggregate multiple ROC curves into a single representative example. A number of methods of doing so are available; however, there is a degree of subtlety that is often overlooked when selecting the appropriate one. An important component of this relates to the interpretation of the decision process for which the classifier will be used. This paper summarises a number of methods of aggregation and carefully delineates the interpretations of each in order to inform their correct usage. A toy example is provided that highlights how an injudicious choice of aggregation method can lead to erroneous conclusions.","container-title":"Transactions on Machine Learning Research","ISSN":"2835-8856","language":"en","source":"openreview.net","title":"On Averaging ROC Curves","URL":"https://openreview.net/forum?id=FByH3qL87G&amp;referrer=%5BTMLR%5D(%2Fgroup%3Fid%3DTMLR)","author":[{"family":"Hogan","given":"Jack"},{"family":"Adams","given":"Niall M."}],"accessed":{"date-parts":[["2023",9,2]]},"issued":{"date-parts":[["2023",2,8]]}}}],"schema":"https://github.com/citation-style-language/schema/raw/master/csl-citation.json"}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28</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ROC curves were compared using the DeLong test</w:t>
      </w:r>
      <w:r w:rsidRPr="00C95EA2">
        <w:rPr>
          <w:rFonts w:ascii="Times New Roman" w:eastAsia="Times New Roman" w:hAnsi="Times New Roman" w:cs="Times New Roman"/>
          <w:bCs/>
          <w:iCs/>
          <w:color w:val="000000" w:themeColor="text1"/>
          <w:sz w:val="24"/>
          <w:szCs w:val="24"/>
        </w:rPr>
        <w:fldChar w:fldCharType="begin"/>
      </w:r>
      <w:r>
        <w:rPr>
          <w:rFonts w:ascii="Times New Roman" w:eastAsia="Times New Roman" w:hAnsi="Times New Roman" w:cs="Times New Roman"/>
          <w:bCs/>
          <w:iCs/>
          <w:color w:val="000000" w:themeColor="text1"/>
          <w:sz w:val="24"/>
          <w:szCs w:val="24"/>
        </w:rPr>
        <w:instrText xml:space="preserve"> ADDIN ZOTERO_ITEM CSL_CITATION {"citationID":"9JV8gyXo","properties":{"formattedCitation":"\\super 29\\nosupersub{}","plainCitation":"29","noteIndex":0},"citationItems":[{"id":571,"uris":["http://zotero.org/users/local/51ctrMZy/items/BJN45U5I"],"itemData":{"id":571,"type":"article-journal","abstract":"Methods of evaluating and comparing the performance of diagnostic tests are of increasing importance as new tests are developed and marketed. When a test is based on an observed variable that lies on a continuous or graded scale, an assessment of the overall value of the test can be made through the use of a receiver operating characteristic (ROC) curve. The curve is constructed by varying the cutpoint used to determine which values of the observed variable will be considered abnormal and then plotting the resulting sensitivities against the corresponding false positive rates. When two or more empirical curves are constructed based on tests performed on the same individuals, statistical analysis on differences between curves must take into account the correlated nature of the data. This paper presents a nonparametric approach to the analysis of areas under correlated ROC curves, by using the theory on generalized U-statistics to generate an estimated covariance matrix.","container-title":"Biometrics","ISSN":"0006-341X","issue":"3","journalAbbreviation":"Biometrics","language":"eng","note":"PMID: 3203132","page":"837-845","source":"PubMed","title":"Comparing the areas under two or more correlated receiver operating characteristic curves: a nonparametric approach","title-short":"Comparing the areas under two or more correlated receiver operating characteristic curves","volume":"44","author":[{"family":"DeLong","given":"E. R."},{"family":"DeLong","given":"D. M."},{"family":"Clarke-Pearson","given":"D. L."}],"issued":{"date-parts":[["1988",9]]}}}],"schema":"https://github.com/citation-style-language/schema/raw/master/csl-citation.json"} </w:instrText>
      </w:r>
      <w:r w:rsidRPr="00C95EA2">
        <w:rPr>
          <w:rFonts w:ascii="Times New Roman" w:eastAsia="Times New Roman" w:hAnsi="Times New Roman" w:cs="Times New Roman"/>
          <w:bCs/>
          <w:iCs/>
          <w:color w:val="000000" w:themeColor="text1"/>
          <w:sz w:val="24"/>
          <w:szCs w:val="24"/>
        </w:rPr>
        <w:fldChar w:fldCharType="separate"/>
      </w:r>
      <w:r w:rsidRPr="001B11DE">
        <w:rPr>
          <w:rFonts w:ascii="Times New Roman" w:hAnsi="Times New Roman" w:cs="Times New Roman"/>
          <w:sz w:val="24"/>
          <w:szCs w:val="24"/>
          <w:vertAlign w:val="superscript"/>
        </w:rPr>
        <w:t>29</w:t>
      </w:r>
      <w:r w:rsidRPr="00C95EA2">
        <w:rPr>
          <w:rFonts w:ascii="Times New Roman" w:eastAsia="Times New Roman" w:hAnsi="Times New Roman" w:cs="Times New Roman"/>
          <w:bCs/>
          <w:iCs/>
          <w:color w:val="000000" w:themeColor="text1"/>
          <w:sz w:val="24"/>
          <w:szCs w:val="24"/>
        </w:rPr>
        <w:fldChar w:fldCharType="end"/>
      </w:r>
      <w:r w:rsidRPr="00C95EA2">
        <w:rPr>
          <w:rFonts w:ascii="Times New Roman" w:eastAsia="Times New Roman" w:hAnsi="Times New Roman" w:cs="Times New Roman"/>
          <w:bCs/>
          <w:iCs/>
          <w:color w:val="000000" w:themeColor="text1"/>
          <w:sz w:val="24"/>
          <w:szCs w:val="24"/>
        </w:rPr>
        <w:t xml:space="preserve">.  </w:t>
      </w:r>
      <w:r w:rsidRPr="00C95EA2">
        <w:rPr>
          <w:rFonts w:ascii="Times New Roman" w:eastAsia="Times New Roman" w:hAnsi="Times New Roman" w:cs="Times New Roman"/>
          <w:color w:val="000000" w:themeColor="text1"/>
          <w:sz w:val="24"/>
          <w:szCs w:val="24"/>
        </w:rPr>
        <w:t xml:space="preserve">Continuous variables were expressed as mean (M) and standard deviation (SD) while categorical variables as number (n) and percentage (%). </w:t>
      </w:r>
      <w:r w:rsidRPr="00C95EA2">
        <w:rPr>
          <w:rFonts w:ascii="Times New Roman" w:hAnsi="Times New Roman" w:cs="Times New Roman"/>
          <w:color w:val="000000" w:themeColor="text1"/>
          <w:sz w:val="24"/>
          <w:szCs w:val="24"/>
        </w:rPr>
        <w:t xml:space="preserve">Differences between continuous values were assessed using the unpaired t-test, categorical variables were compared by the Chi-square test or Fisher exact test, as appropriate. The incidence of </w:t>
      </w:r>
      <w:r>
        <w:rPr>
          <w:rFonts w:ascii="Times New Roman" w:hAnsi="Times New Roman" w:cs="Times New Roman"/>
          <w:color w:val="000000" w:themeColor="text1"/>
          <w:sz w:val="24"/>
          <w:szCs w:val="24"/>
        </w:rPr>
        <w:t xml:space="preserve">death, ischemic events and </w:t>
      </w:r>
      <w:r w:rsidRPr="00C95EA2">
        <w:rPr>
          <w:rFonts w:ascii="Times New Roman" w:hAnsi="Times New Roman" w:cs="Times New Roman"/>
          <w:color w:val="000000" w:themeColor="text1"/>
          <w:sz w:val="24"/>
          <w:szCs w:val="24"/>
        </w:rPr>
        <w:t xml:space="preserve">bleeding were calculated by dividing the number of events by the person time at risk. The incidence rate ratio with the 95% confidence interval (95%CI) was calculated. P-values &lt;0.05 were considered statistically significant. </w:t>
      </w:r>
      <w:r w:rsidRPr="00C95EA2">
        <w:rPr>
          <w:rFonts w:ascii="Times New Roman" w:eastAsia="Times New Roman" w:hAnsi="Times New Roman" w:cs="Times New Roman"/>
          <w:color w:val="000000" w:themeColor="text1"/>
          <w:sz w:val="24"/>
          <w:szCs w:val="24"/>
        </w:rPr>
        <w:t xml:space="preserve">Statistical analysis was performed with SPSS Statistics version 22 (IBM Corporation) </w:t>
      </w:r>
      <w:r w:rsidRPr="00C95EA2">
        <w:rPr>
          <w:rFonts w:ascii="Times New Roman" w:hAnsi="Times New Roman" w:cs="Times New Roman"/>
          <w:color w:val="000000" w:themeColor="text1"/>
          <w:sz w:val="24"/>
          <w:szCs w:val="24"/>
        </w:rPr>
        <w:t>and Stata V.14 statistical software package (StataCorp, College Station, Texas, USA)</w:t>
      </w:r>
      <w:r>
        <w:rPr>
          <w:rFonts w:ascii="Times New Roman" w:hAnsi="Times New Roman" w:cs="Times New Roman"/>
          <w:color w:val="000000" w:themeColor="text1"/>
          <w:sz w:val="24"/>
          <w:szCs w:val="24"/>
        </w:rPr>
        <w:t>.</w:t>
      </w:r>
      <w:r w:rsidRPr="00C95EA2">
        <w:rPr>
          <w:rFonts w:ascii="Times New Roman" w:eastAsia="Times New Roman" w:hAnsi="Times New Roman" w:cs="Times New Roman"/>
          <w:color w:val="000000" w:themeColor="text1"/>
          <w:sz w:val="24"/>
          <w:szCs w:val="24"/>
        </w:rPr>
        <w:t xml:space="preserve"> </w:t>
      </w:r>
    </w:p>
    <w:p w14:paraId="3AA83B97" w14:textId="77777777" w:rsidR="002D3735" w:rsidRPr="00C95EA2" w:rsidRDefault="002D3735" w:rsidP="002D3735">
      <w:pPr>
        <w:spacing w:line="480" w:lineRule="auto"/>
        <w:jc w:val="both"/>
        <w:rPr>
          <w:rFonts w:ascii="Times New Roman" w:eastAsia="Times New Roman" w:hAnsi="Times New Roman" w:cs="Times New Roman"/>
          <w:color w:val="000000" w:themeColor="text1"/>
          <w:sz w:val="24"/>
          <w:szCs w:val="24"/>
        </w:rPr>
      </w:pPr>
    </w:p>
    <w:p w14:paraId="6B2FD5D5" w14:textId="77777777" w:rsidR="00CF561B" w:rsidRPr="002D3735" w:rsidRDefault="00CF561B" w:rsidP="009B21B6">
      <w:pPr>
        <w:spacing w:line="480" w:lineRule="auto"/>
        <w:jc w:val="center"/>
        <w:rPr>
          <w:rFonts w:ascii="Times New Roman" w:hAnsi="Times New Roman" w:cs="Times New Roman"/>
        </w:rPr>
      </w:pPr>
    </w:p>
    <w:p w14:paraId="252B495C" w14:textId="77777777" w:rsidR="0082520A" w:rsidRPr="002D3735" w:rsidRDefault="0082520A" w:rsidP="00CF561B">
      <w:pPr>
        <w:spacing w:line="480" w:lineRule="auto"/>
        <w:jc w:val="both"/>
        <w:rPr>
          <w:rFonts w:ascii="Times New Roman" w:hAnsi="Times New Roman" w:cs="Times New Roman"/>
          <w:lang w:val="en-US"/>
        </w:rPr>
      </w:pPr>
    </w:p>
    <w:p w14:paraId="08AA275E" w14:textId="77777777" w:rsidR="00DA79D1" w:rsidRPr="002D3735" w:rsidRDefault="00DA79D1" w:rsidP="00CF561B">
      <w:pPr>
        <w:spacing w:line="480" w:lineRule="auto"/>
        <w:jc w:val="both"/>
        <w:rPr>
          <w:rFonts w:ascii="Times New Roman" w:hAnsi="Times New Roman" w:cs="Times New Roman"/>
          <w:lang w:val="en-US"/>
        </w:rPr>
      </w:pPr>
    </w:p>
    <w:p w14:paraId="02B4E591" w14:textId="77777777" w:rsidR="00DA79D1" w:rsidRPr="002D3735" w:rsidRDefault="00DA79D1" w:rsidP="00CF561B">
      <w:pPr>
        <w:spacing w:line="480" w:lineRule="auto"/>
        <w:jc w:val="both"/>
        <w:rPr>
          <w:rFonts w:ascii="Times New Roman" w:hAnsi="Times New Roman" w:cs="Times New Roman"/>
          <w:lang w:val="en-US"/>
        </w:rPr>
      </w:pPr>
    </w:p>
    <w:p w14:paraId="70D7A9CA" w14:textId="77777777" w:rsidR="00DA79D1" w:rsidRPr="002D3735" w:rsidRDefault="00DA79D1" w:rsidP="00CF561B">
      <w:pPr>
        <w:spacing w:line="480" w:lineRule="auto"/>
        <w:jc w:val="both"/>
        <w:rPr>
          <w:rFonts w:ascii="Times New Roman" w:hAnsi="Times New Roman" w:cs="Times New Roman"/>
          <w:lang w:val="en-US"/>
        </w:rPr>
      </w:pPr>
    </w:p>
    <w:p w14:paraId="1C999A7B" w14:textId="77777777" w:rsidR="00DA79D1" w:rsidRPr="002D3735" w:rsidRDefault="00DA79D1" w:rsidP="00CF561B">
      <w:pPr>
        <w:spacing w:line="480" w:lineRule="auto"/>
        <w:jc w:val="both"/>
        <w:rPr>
          <w:rFonts w:ascii="Times New Roman" w:hAnsi="Times New Roman" w:cs="Times New Roman"/>
          <w:lang w:val="en-US"/>
        </w:rPr>
      </w:pPr>
    </w:p>
    <w:p w14:paraId="42346331" w14:textId="77777777" w:rsidR="002D3735" w:rsidRDefault="002D3735" w:rsidP="002713F4">
      <w:pPr>
        <w:pStyle w:val="TITOLOTNR"/>
        <w:rPr>
          <w:sz w:val="24"/>
          <w:szCs w:val="24"/>
        </w:rPr>
      </w:pPr>
      <w:bookmarkStart w:id="15" w:name="_Toc193649587"/>
      <w:r w:rsidRPr="002713F4">
        <w:rPr>
          <w:sz w:val="24"/>
          <w:szCs w:val="24"/>
        </w:rPr>
        <w:lastRenderedPageBreak/>
        <w:t>RESULTS</w:t>
      </w:r>
      <w:bookmarkEnd w:id="15"/>
    </w:p>
    <w:p w14:paraId="6C07C426" w14:textId="77777777" w:rsidR="002713F4" w:rsidRPr="002713F4" w:rsidRDefault="002713F4" w:rsidP="002713F4">
      <w:pPr>
        <w:pStyle w:val="TITOLOTNR"/>
        <w:rPr>
          <w:sz w:val="24"/>
          <w:szCs w:val="24"/>
        </w:rPr>
      </w:pPr>
    </w:p>
    <w:p w14:paraId="6ECE1575" w14:textId="77777777" w:rsidR="002D3735" w:rsidRPr="00C95EA2" w:rsidRDefault="002D3735" w:rsidP="002D3735">
      <w:pPr>
        <w:spacing w:line="480" w:lineRule="auto"/>
        <w:jc w:val="both"/>
        <w:rPr>
          <w:rFonts w:ascii="Times New Roman" w:eastAsia="Times New Roman" w:hAnsi="Times New Roman" w:cs="Times New Roman"/>
          <w:b/>
          <w:i/>
          <w:color w:val="000000" w:themeColor="text1"/>
          <w:sz w:val="24"/>
          <w:szCs w:val="24"/>
          <w:u w:val="single"/>
        </w:rPr>
      </w:pPr>
      <w:r w:rsidRPr="00C95EA2">
        <w:rPr>
          <w:rFonts w:ascii="Times New Roman" w:eastAsia="Times New Roman" w:hAnsi="Times New Roman" w:cs="Times New Roman"/>
          <w:b/>
          <w:i/>
          <w:color w:val="000000" w:themeColor="text1"/>
          <w:sz w:val="24"/>
          <w:szCs w:val="24"/>
          <w:u w:val="single"/>
        </w:rPr>
        <w:t>Study population</w:t>
      </w:r>
    </w:p>
    <w:p w14:paraId="731A0E5B" w14:textId="77777777" w:rsidR="002D3735" w:rsidRDefault="002D3735" w:rsidP="002D3735">
      <w:pPr>
        <w:spacing w:line="480" w:lineRule="auto"/>
        <w:contextualSpacing/>
        <w:jc w:val="both"/>
        <w:rPr>
          <w:rFonts w:ascii="Times New Roman" w:hAnsi="Times New Roman" w:cs="Times New Roman"/>
          <w:sz w:val="24"/>
          <w:szCs w:val="24"/>
        </w:rPr>
      </w:pPr>
      <w:bookmarkStart w:id="16" w:name="_Hlk144483669"/>
      <w:r w:rsidRPr="00C95EA2">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study</w:t>
      </w:r>
      <w:r w:rsidRPr="00C95EA2">
        <w:rPr>
          <w:rFonts w:ascii="Times New Roman" w:hAnsi="Times New Roman" w:cs="Times New Roman"/>
          <w:color w:val="000000" w:themeColor="text1"/>
          <w:sz w:val="24"/>
          <w:szCs w:val="24"/>
        </w:rPr>
        <w:t xml:space="preserve"> population consisted of 11078 patients</w:t>
      </w:r>
      <w:r>
        <w:rPr>
          <w:rFonts w:ascii="Times New Roman" w:hAnsi="Times New Roman" w:cs="Times New Roman"/>
          <w:color w:val="000000" w:themeColor="text1"/>
          <w:sz w:val="24"/>
          <w:szCs w:val="24"/>
        </w:rPr>
        <w:t>, m</w:t>
      </w:r>
      <w:r w:rsidRPr="00C95EA2">
        <w:rPr>
          <w:rFonts w:ascii="Times New Roman" w:hAnsi="Times New Roman" w:cs="Times New Roman"/>
          <w:color w:val="000000" w:themeColor="text1"/>
          <w:sz w:val="24"/>
          <w:szCs w:val="24"/>
        </w:rPr>
        <w:t>e</w:t>
      </w:r>
      <w:r>
        <w:rPr>
          <w:rFonts w:ascii="Times New Roman" w:hAnsi="Times New Roman" w:cs="Times New Roman"/>
          <w:color w:val="000000" w:themeColor="text1"/>
          <w:sz w:val="24"/>
          <w:szCs w:val="24"/>
        </w:rPr>
        <w:t>dian</w:t>
      </w:r>
      <w:r w:rsidRPr="00C95EA2">
        <w:rPr>
          <w:rFonts w:ascii="Times New Roman" w:hAnsi="Times New Roman" w:cs="Times New Roman"/>
          <w:color w:val="000000" w:themeColor="text1"/>
          <w:sz w:val="24"/>
          <w:szCs w:val="24"/>
        </w:rPr>
        <w:t xml:space="preserve"> age </w:t>
      </w:r>
      <w:r>
        <w:rPr>
          <w:rFonts w:ascii="Times New Roman" w:hAnsi="Times New Roman" w:cs="Times New Roman"/>
          <w:color w:val="000000" w:themeColor="text1"/>
          <w:sz w:val="24"/>
          <w:szCs w:val="24"/>
        </w:rPr>
        <w:t>was</w:t>
      </w:r>
      <w:r w:rsidRPr="00C95EA2">
        <w:rPr>
          <w:rFonts w:ascii="Times New Roman" w:hAnsi="Times New Roman" w:cs="Times New Roman"/>
          <w:color w:val="000000" w:themeColor="text1"/>
          <w:sz w:val="24"/>
          <w:szCs w:val="24"/>
        </w:rPr>
        <w:t xml:space="preserve"> 77 years </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IQR 71-83</w:t>
      </w:r>
      <w:r>
        <w:rPr>
          <w:rFonts w:ascii="Times New Roman" w:hAnsi="Times New Roman" w:cs="Times New Roman"/>
          <w:color w:val="000000" w:themeColor="text1"/>
          <w:sz w:val="24"/>
          <w:szCs w:val="24"/>
        </w:rPr>
        <w:t xml:space="preserve">) and </w:t>
      </w:r>
      <w:r w:rsidRPr="00C95EA2">
        <w:rPr>
          <w:rFonts w:ascii="Times New Roman" w:hAnsi="Times New Roman" w:cs="Times New Roman"/>
          <w:color w:val="000000" w:themeColor="text1"/>
          <w:sz w:val="24"/>
          <w:szCs w:val="24"/>
        </w:rPr>
        <w:t xml:space="preserve">6029 </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54.3%</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 xml:space="preserve"> were males. Patients were followed </w:t>
      </w:r>
      <w:r>
        <w:rPr>
          <w:rFonts w:ascii="Times New Roman" w:hAnsi="Times New Roman" w:cs="Times New Roman"/>
          <w:color w:val="000000" w:themeColor="text1"/>
          <w:sz w:val="24"/>
          <w:szCs w:val="24"/>
        </w:rPr>
        <w:t xml:space="preserve">up </w:t>
      </w:r>
      <w:r w:rsidRPr="00C95EA2">
        <w:rPr>
          <w:rFonts w:ascii="Times New Roman" w:hAnsi="Times New Roman" w:cs="Times New Roman"/>
          <w:color w:val="000000" w:themeColor="text1"/>
          <w:sz w:val="24"/>
          <w:szCs w:val="24"/>
        </w:rPr>
        <w:t xml:space="preserve">for a median time of 1.5 years </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IQR 1.0-2.6</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 xml:space="preserve">, with a maximum of 9.7 years. </w:t>
      </w:r>
      <w:r>
        <w:rPr>
          <w:rFonts w:ascii="Times New Roman" w:hAnsi="Times New Roman" w:cs="Times New Roman"/>
          <w:color w:val="000000" w:themeColor="text1"/>
          <w:sz w:val="24"/>
          <w:szCs w:val="24"/>
        </w:rPr>
        <w:t xml:space="preserve">Detailed baseline </w:t>
      </w:r>
      <w:r w:rsidRPr="00C95EA2">
        <w:rPr>
          <w:rFonts w:ascii="Times New Roman" w:hAnsi="Times New Roman" w:cs="Times New Roman"/>
          <w:color w:val="000000" w:themeColor="text1"/>
          <w:sz w:val="24"/>
          <w:szCs w:val="24"/>
        </w:rPr>
        <w:t xml:space="preserve">characteristics of the study </w:t>
      </w:r>
      <w:r>
        <w:rPr>
          <w:rFonts w:ascii="Times New Roman" w:hAnsi="Times New Roman" w:cs="Times New Roman"/>
          <w:color w:val="000000" w:themeColor="text1"/>
          <w:sz w:val="24"/>
          <w:szCs w:val="24"/>
        </w:rPr>
        <w:t xml:space="preserve">population </w:t>
      </w:r>
      <w:r w:rsidRPr="00C95EA2">
        <w:rPr>
          <w:rFonts w:ascii="Times New Roman" w:hAnsi="Times New Roman" w:cs="Times New Roman"/>
          <w:color w:val="000000" w:themeColor="text1"/>
          <w:sz w:val="24"/>
          <w:szCs w:val="24"/>
        </w:rPr>
        <w:t xml:space="preserve">are reported in </w:t>
      </w:r>
      <w:r w:rsidRPr="00C95EA2">
        <w:rPr>
          <w:rFonts w:ascii="Times New Roman" w:hAnsi="Times New Roman" w:cs="Times New Roman"/>
          <w:b/>
          <w:bCs/>
          <w:i/>
          <w:iCs/>
          <w:color w:val="000000" w:themeColor="text1"/>
          <w:sz w:val="24"/>
          <w:szCs w:val="24"/>
        </w:rPr>
        <w:t>Table 1</w:t>
      </w:r>
      <w:r w:rsidRPr="00C95EA2">
        <w:rPr>
          <w:rFonts w:ascii="Times New Roman" w:hAnsi="Times New Roman" w:cs="Times New Roman"/>
          <w:color w:val="000000" w:themeColor="text1"/>
          <w:sz w:val="24"/>
          <w:szCs w:val="24"/>
        </w:rPr>
        <w:t xml:space="preserve">. Regarding the anticoagulant treatment, 5135 (46.4%) were on VKA </w:t>
      </w:r>
      <w:r>
        <w:rPr>
          <w:rFonts w:ascii="Times New Roman" w:hAnsi="Times New Roman" w:cs="Times New Roman"/>
          <w:color w:val="000000" w:themeColor="text1"/>
          <w:sz w:val="24"/>
          <w:szCs w:val="24"/>
        </w:rPr>
        <w:t>and</w:t>
      </w:r>
      <w:r w:rsidRPr="00C95EA2">
        <w:rPr>
          <w:rFonts w:ascii="Times New Roman" w:hAnsi="Times New Roman" w:cs="Times New Roman"/>
          <w:color w:val="000000" w:themeColor="text1"/>
          <w:sz w:val="24"/>
          <w:szCs w:val="24"/>
        </w:rPr>
        <w:t xml:space="preserve"> 5943 (53.6%) were on DOACs</w:t>
      </w:r>
      <w:bookmarkEnd w:id="16"/>
      <w:r w:rsidRPr="00C95EA2">
        <w:rPr>
          <w:rFonts w:ascii="Times New Roman" w:hAnsi="Times New Roman" w:cs="Times New Roman"/>
          <w:color w:val="000000" w:themeColor="text1"/>
          <w:sz w:val="24"/>
          <w:szCs w:val="24"/>
        </w:rPr>
        <w:t xml:space="preserve">, of </w:t>
      </w:r>
      <w:r>
        <w:rPr>
          <w:rFonts w:ascii="Times New Roman" w:hAnsi="Times New Roman" w:cs="Times New Roman"/>
          <w:color w:val="000000" w:themeColor="text1"/>
          <w:sz w:val="24"/>
          <w:szCs w:val="24"/>
        </w:rPr>
        <w:t>whom</w:t>
      </w:r>
      <w:r w:rsidRPr="00C95EA2">
        <w:rPr>
          <w:rFonts w:ascii="Times New Roman" w:hAnsi="Times New Roman" w:cs="Times New Roman"/>
          <w:color w:val="000000" w:themeColor="text1"/>
          <w:sz w:val="24"/>
          <w:szCs w:val="24"/>
        </w:rPr>
        <w:t xml:space="preserve"> 2562 (43.1%) were treated with a reduced dose.</w:t>
      </w:r>
      <w:r w:rsidRPr="00C95EA2">
        <w:rPr>
          <w:color w:val="000000" w:themeColor="text1"/>
          <w:sz w:val="24"/>
          <w:szCs w:val="24"/>
        </w:rPr>
        <w:t xml:space="preserve"> </w:t>
      </w:r>
      <w:r w:rsidRPr="00C95EA2">
        <w:rPr>
          <w:rFonts w:ascii="Times New Roman" w:hAnsi="Times New Roman" w:cs="Times New Roman"/>
          <w:color w:val="000000" w:themeColor="text1"/>
          <w:sz w:val="24"/>
          <w:szCs w:val="24"/>
        </w:rPr>
        <w:t xml:space="preserve">Median age </w:t>
      </w:r>
      <w:r>
        <w:rPr>
          <w:rFonts w:ascii="Times New Roman" w:hAnsi="Times New Roman" w:cs="Times New Roman"/>
          <w:color w:val="000000" w:themeColor="text1"/>
          <w:sz w:val="24"/>
          <w:szCs w:val="24"/>
        </w:rPr>
        <w:t xml:space="preserve">was </w:t>
      </w:r>
      <w:r w:rsidRPr="00C95EA2">
        <w:rPr>
          <w:rFonts w:ascii="Times New Roman" w:hAnsi="Times New Roman" w:cs="Times New Roman"/>
          <w:color w:val="000000" w:themeColor="text1"/>
          <w:sz w:val="24"/>
          <w:szCs w:val="24"/>
        </w:rPr>
        <w:t xml:space="preserve">higher in VKA patients than in DOAC patients (79 vs. 76 years, p&lt;0.001), while </w:t>
      </w:r>
      <w:r>
        <w:rPr>
          <w:rFonts w:ascii="Times New Roman" w:hAnsi="Times New Roman" w:cs="Times New Roman"/>
          <w:color w:val="000000" w:themeColor="text1"/>
          <w:sz w:val="24"/>
          <w:szCs w:val="24"/>
        </w:rPr>
        <w:t>sex</w:t>
      </w:r>
      <w:r w:rsidRPr="00C95EA2">
        <w:rPr>
          <w:rFonts w:ascii="Times New Roman" w:hAnsi="Times New Roman" w:cs="Times New Roman"/>
          <w:color w:val="000000" w:themeColor="text1"/>
          <w:sz w:val="24"/>
          <w:szCs w:val="24"/>
        </w:rPr>
        <w:t xml:space="preserve"> distribution </w:t>
      </w:r>
      <w:r>
        <w:rPr>
          <w:rFonts w:ascii="Times New Roman" w:hAnsi="Times New Roman" w:cs="Times New Roman"/>
          <w:color w:val="000000" w:themeColor="text1"/>
          <w:sz w:val="24"/>
          <w:szCs w:val="24"/>
        </w:rPr>
        <w:t>did</w:t>
      </w:r>
      <w:r w:rsidRPr="00C95EA2">
        <w:rPr>
          <w:rFonts w:ascii="Times New Roman" w:hAnsi="Times New Roman" w:cs="Times New Roman"/>
          <w:color w:val="000000" w:themeColor="text1"/>
          <w:sz w:val="24"/>
          <w:szCs w:val="24"/>
        </w:rPr>
        <w:t xml:space="preserve"> not differ between the two </w:t>
      </w:r>
      <w:r w:rsidRPr="008A1BC2">
        <w:rPr>
          <w:rFonts w:ascii="Times New Roman" w:hAnsi="Times New Roman" w:cs="Times New Roman"/>
          <w:sz w:val="24"/>
          <w:szCs w:val="24"/>
        </w:rPr>
        <w:t>groups. The rate of paroxysmal AF, hypertension, thrombocytopenia, history of previous bleeding, stroke</w:t>
      </w:r>
      <w:r>
        <w:rPr>
          <w:rFonts w:ascii="Times New Roman" w:hAnsi="Times New Roman" w:cs="Times New Roman"/>
          <w:sz w:val="24"/>
          <w:szCs w:val="24"/>
        </w:rPr>
        <w:t>,</w:t>
      </w:r>
      <w:r w:rsidRPr="008A1BC2">
        <w:rPr>
          <w:rFonts w:ascii="Times New Roman" w:hAnsi="Times New Roman" w:cs="Times New Roman"/>
          <w:sz w:val="24"/>
          <w:szCs w:val="24"/>
        </w:rPr>
        <w:t xml:space="preserve"> and dementia was higher in the DOAC population, while, coronary artery disease, heart failure and renal failure were more common in VKA patients. </w:t>
      </w:r>
      <w:r>
        <w:rPr>
          <w:rFonts w:ascii="Times New Roman" w:hAnsi="Times New Roman" w:cs="Times New Roman"/>
          <w:sz w:val="24"/>
          <w:szCs w:val="24"/>
        </w:rPr>
        <w:t>T</w:t>
      </w:r>
      <w:r w:rsidRPr="008A1BC2">
        <w:rPr>
          <w:rFonts w:ascii="Times New Roman" w:hAnsi="Times New Roman" w:cs="Times New Roman"/>
          <w:sz w:val="24"/>
          <w:szCs w:val="24"/>
        </w:rPr>
        <w:t xml:space="preserve">he mean HAS-BLED </w:t>
      </w:r>
      <w:r>
        <w:rPr>
          <w:rFonts w:ascii="Times New Roman" w:hAnsi="Times New Roman" w:cs="Times New Roman"/>
          <w:sz w:val="24"/>
          <w:szCs w:val="24"/>
        </w:rPr>
        <w:t>was</w:t>
      </w:r>
      <w:r w:rsidRPr="008A1BC2">
        <w:rPr>
          <w:rFonts w:ascii="Times New Roman" w:hAnsi="Times New Roman" w:cs="Times New Roman"/>
          <w:sz w:val="24"/>
          <w:szCs w:val="24"/>
        </w:rPr>
        <w:t xml:space="preserve"> </w:t>
      </w:r>
      <w:r w:rsidRPr="00281E53">
        <w:rPr>
          <w:rFonts w:ascii="Times New Roman" w:hAnsi="Times New Roman" w:cs="Times New Roman"/>
          <w:sz w:val="24"/>
          <w:szCs w:val="24"/>
        </w:rPr>
        <w:t xml:space="preserve">2.1 ± 0.8 in the overall population and did not differ </w:t>
      </w:r>
      <w:r w:rsidRPr="008A1BC2">
        <w:rPr>
          <w:rFonts w:ascii="Times New Roman" w:hAnsi="Times New Roman" w:cs="Times New Roman"/>
          <w:sz w:val="24"/>
          <w:szCs w:val="24"/>
        </w:rPr>
        <w:t>between the two groups (</w:t>
      </w:r>
      <w:r>
        <w:rPr>
          <w:rFonts w:ascii="Times New Roman" w:hAnsi="Times New Roman" w:cs="Times New Roman"/>
          <w:sz w:val="24"/>
          <w:szCs w:val="24"/>
        </w:rPr>
        <w:t xml:space="preserve">VKA: </w:t>
      </w:r>
      <w:r w:rsidRPr="008A1BC2">
        <w:rPr>
          <w:rFonts w:ascii="Times New Roman" w:hAnsi="Times New Roman" w:cs="Times New Roman"/>
          <w:sz w:val="24"/>
          <w:szCs w:val="24"/>
        </w:rPr>
        <w:t xml:space="preserve">2.0 ±0.9 vs. </w:t>
      </w:r>
      <w:r>
        <w:rPr>
          <w:rFonts w:ascii="Times New Roman" w:hAnsi="Times New Roman" w:cs="Times New Roman"/>
          <w:sz w:val="24"/>
          <w:szCs w:val="24"/>
        </w:rPr>
        <w:t xml:space="preserve">DOACs: </w:t>
      </w:r>
      <w:r w:rsidRPr="008A1BC2">
        <w:rPr>
          <w:rFonts w:ascii="Times New Roman" w:hAnsi="Times New Roman" w:cs="Times New Roman"/>
          <w:sz w:val="24"/>
          <w:szCs w:val="24"/>
        </w:rPr>
        <w:t>2.1 ± 0.8</w:t>
      </w:r>
      <w:r>
        <w:rPr>
          <w:rFonts w:ascii="Times New Roman" w:hAnsi="Times New Roman" w:cs="Times New Roman"/>
          <w:sz w:val="24"/>
          <w:szCs w:val="24"/>
        </w:rPr>
        <w:t>;</w:t>
      </w:r>
      <w:r w:rsidRPr="008A1BC2">
        <w:rPr>
          <w:rFonts w:ascii="Times New Roman" w:hAnsi="Times New Roman" w:cs="Times New Roman"/>
          <w:sz w:val="24"/>
          <w:szCs w:val="24"/>
        </w:rPr>
        <w:t xml:space="preserve"> p</w:t>
      </w:r>
      <w:r w:rsidDel="00281E53">
        <w:rPr>
          <w:rFonts w:ascii="Times New Roman" w:hAnsi="Times New Roman" w:cs="Times New Roman"/>
          <w:sz w:val="24"/>
          <w:szCs w:val="24"/>
        </w:rPr>
        <w:t xml:space="preserve"> </w:t>
      </w:r>
      <w:r w:rsidRPr="008A1BC2">
        <w:rPr>
          <w:rFonts w:ascii="Times New Roman" w:hAnsi="Times New Roman" w:cs="Times New Roman"/>
          <w:sz w:val="24"/>
          <w:szCs w:val="24"/>
        </w:rPr>
        <w:t>=0.4)</w:t>
      </w:r>
      <w:r>
        <w:rPr>
          <w:rFonts w:ascii="Times New Roman" w:hAnsi="Times New Roman" w:cs="Times New Roman"/>
          <w:sz w:val="24"/>
          <w:szCs w:val="24"/>
        </w:rPr>
        <w:t xml:space="preserve">; </w:t>
      </w:r>
      <w:r w:rsidRPr="008A1BC2">
        <w:rPr>
          <w:rFonts w:ascii="Times New Roman" w:hAnsi="Times New Roman" w:cs="Times New Roman"/>
          <w:sz w:val="24"/>
          <w:szCs w:val="24"/>
        </w:rPr>
        <w:t xml:space="preserve">the mean </w:t>
      </w:r>
      <w:bookmarkStart w:id="17" w:name="_Hlk124454868"/>
      <w:r w:rsidRPr="008A1BC2">
        <w:rPr>
          <w:rFonts w:ascii="Times New Roman" w:hAnsi="Times New Roman" w:cs="Times New Roman"/>
          <w:sz w:val="24"/>
          <w:szCs w:val="24"/>
        </w:rPr>
        <w:t>CHA</w:t>
      </w:r>
      <w:r w:rsidRPr="00DC2DB4">
        <w:rPr>
          <w:rFonts w:ascii="Times New Roman" w:hAnsi="Times New Roman" w:cs="Times New Roman"/>
          <w:sz w:val="24"/>
          <w:szCs w:val="24"/>
          <w:vertAlign w:val="subscript"/>
        </w:rPr>
        <w:t>2</w:t>
      </w:r>
      <w:r w:rsidRPr="008A1BC2">
        <w:rPr>
          <w:rFonts w:ascii="Times New Roman" w:hAnsi="Times New Roman" w:cs="Times New Roman"/>
          <w:sz w:val="24"/>
          <w:szCs w:val="24"/>
        </w:rPr>
        <w:t>DS</w:t>
      </w:r>
      <w:r w:rsidRPr="00DC2DB4">
        <w:rPr>
          <w:rFonts w:ascii="Times New Roman" w:hAnsi="Times New Roman" w:cs="Times New Roman"/>
          <w:sz w:val="24"/>
          <w:szCs w:val="24"/>
          <w:vertAlign w:val="subscript"/>
        </w:rPr>
        <w:t>2</w:t>
      </w:r>
      <w:r w:rsidRPr="008A1BC2">
        <w:rPr>
          <w:rFonts w:ascii="Times New Roman" w:hAnsi="Times New Roman" w:cs="Times New Roman"/>
          <w:sz w:val="24"/>
          <w:szCs w:val="24"/>
        </w:rPr>
        <w:t>VASc score</w:t>
      </w:r>
      <w:r>
        <w:rPr>
          <w:rFonts w:ascii="Times New Roman" w:hAnsi="Times New Roman" w:cs="Times New Roman"/>
          <w:sz w:val="24"/>
          <w:szCs w:val="24"/>
        </w:rPr>
        <w:t xml:space="preserve"> was 3.7</w:t>
      </w:r>
      <w:r w:rsidRPr="008A1BC2">
        <w:rPr>
          <w:rFonts w:ascii="Times New Roman" w:hAnsi="Times New Roman" w:cs="Times New Roman"/>
          <w:sz w:val="24"/>
          <w:szCs w:val="24"/>
        </w:rPr>
        <w:t xml:space="preserve"> </w:t>
      </w:r>
      <w:bookmarkEnd w:id="17"/>
      <w:r w:rsidRPr="009D7DAD">
        <w:rPr>
          <w:rFonts w:ascii="Times New Roman" w:hAnsi="Times New Roman" w:cs="Times New Roman"/>
          <w:sz w:val="24"/>
          <w:szCs w:val="24"/>
        </w:rPr>
        <w:t>±</w:t>
      </w:r>
      <w:r>
        <w:rPr>
          <w:rFonts w:ascii="Times New Roman" w:hAnsi="Times New Roman" w:cs="Times New Roman"/>
          <w:sz w:val="24"/>
          <w:szCs w:val="24"/>
        </w:rPr>
        <w:t xml:space="preserve"> 1.5 in the total cohort, </w:t>
      </w:r>
      <w:r w:rsidRPr="008A1BC2">
        <w:rPr>
          <w:rFonts w:ascii="Times New Roman" w:hAnsi="Times New Roman" w:cs="Times New Roman"/>
          <w:sz w:val="24"/>
          <w:szCs w:val="24"/>
        </w:rPr>
        <w:t>slightly higher in DOAC than VKA users (3.7</w:t>
      </w:r>
      <w:r>
        <w:rPr>
          <w:rFonts w:ascii="Times New Roman" w:hAnsi="Times New Roman" w:cs="Times New Roman"/>
          <w:sz w:val="24"/>
          <w:szCs w:val="24"/>
        </w:rPr>
        <w:t xml:space="preserve"> </w:t>
      </w:r>
      <w:r w:rsidRPr="005D1016">
        <w:rPr>
          <w:rFonts w:ascii="Times New Roman" w:hAnsi="Times New Roman" w:cs="Times New Roman"/>
          <w:sz w:val="24"/>
          <w:szCs w:val="24"/>
        </w:rPr>
        <w:t>±</w:t>
      </w:r>
      <w:r w:rsidRPr="008A1BC2">
        <w:rPr>
          <w:rFonts w:ascii="Times New Roman" w:hAnsi="Times New Roman" w:cs="Times New Roman"/>
          <w:sz w:val="24"/>
          <w:szCs w:val="24"/>
        </w:rPr>
        <w:t xml:space="preserve"> </w:t>
      </w:r>
      <w:r>
        <w:rPr>
          <w:rFonts w:ascii="Times New Roman" w:hAnsi="Times New Roman" w:cs="Times New Roman"/>
          <w:sz w:val="24"/>
          <w:szCs w:val="24"/>
        </w:rPr>
        <w:t>1.</w:t>
      </w:r>
      <w:r w:rsidRPr="009B468C">
        <w:rPr>
          <w:rFonts w:ascii="Times New Roman" w:hAnsi="Times New Roman" w:cs="Times New Roman"/>
          <w:sz w:val="24"/>
          <w:szCs w:val="24"/>
        </w:rPr>
        <w:t xml:space="preserve">6 </w:t>
      </w:r>
      <w:r w:rsidRPr="008A1BC2">
        <w:rPr>
          <w:rFonts w:ascii="Times New Roman" w:hAnsi="Times New Roman" w:cs="Times New Roman"/>
          <w:sz w:val="24"/>
          <w:szCs w:val="24"/>
        </w:rPr>
        <w:t>vs 3.</w:t>
      </w:r>
      <w:r w:rsidRPr="009B468C">
        <w:rPr>
          <w:rFonts w:ascii="Times New Roman" w:hAnsi="Times New Roman" w:cs="Times New Roman"/>
          <w:sz w:val="24"/>
          <w:szCs w:val="24"/>
        </w:rPr>
        <w:t>6 ±1.5;</w:t>
      </w:r>
      <w:r w:rsidRPr="008A1BC2">
        <w:rPr>
          <w:rFonts w:ascii="Times New Roman" w:hAnsi="Times New Roman" w:cs="Times New Roman"/>
          <w:sz w:val="24"/>
          <w:szCs w:val="24"/>
        </w:rPr>
        <w:t xml:space="preserve"> p</w:t>
      </w:r>
      <w:r w:rsidDel="00281E53">
        <w:rPr>
          <w:rFonts w:ascii="Times New Roman" w:hAnsi="Times New Roman" w:cs="Times New Roman"/>
          <w:sz w:val="24"/>
          <w:szCs w:val="24"/>
        </w:rPr>
        <w:t xml:space="preserve"> </w:t>
      </w:r>
      <w:r w:rsidRPr="008A1BC2">
        <w:rPr>
          <w:rFonts w:ascii="Times New Roman" w:hAnsi="Times New Roman" w:cs="Times New Roman"/>
          <w:sz w:val="24"/>
          <w:szCs w:val="24"/>
        </w:rPr>
        <w:t xml:space="preserve">=0.03). </w:t>
      </w:r>
    </w:p>
    <w:p w14:paraId="49A5A5C7" w14:textId="77777777" w:rsidR="002D3735" w:rsidRDefault="002D3735" w:rsidP="002D3735">
      <w:pPr>
        <w:spacing w:line="480" w:lineRule="auto"/>
        <w:contextualSpacing/>
        <w:jc w:val="both"/>
        <w:rPr>
          <w:rFonts w:ascii="Times New Roman" w:hAnsi="Times New Roman" w:cs="Times New Roman"/>
          <w:sz w:val="24"/>
          <w:szCs w:val="24"/>
        </w:rPr>
      </w:pPr>
    </w:p>
    <w:tbl>
      <w:tblPr>
        <w:tblStyle w:val="Grigliatabella"/>
        <w:tblW w:w="0" w:type="auto"/>
        <w:tblInd w:w="0" w:type="dxa"/>
        <w:tblLook w:val="04A0" w:firstRow="1" w:lastRow="0" w:firstColumn="1" w:lastColumn="0" w:noHBand="0" w:noVBand="1"/>
      </w:tblPr>
      <w:tblGrid>
        <w:gridCol w:w="2420"/>
        <w:gridCol w:w="1798"/>
        <w:gridCol w:w="1631"/>
        <w:gridCol w:w="1504"/>
        <w:gridCol w:w="857"/>
      </w:tblGrid>
      <w:tr w:rsidR="002D3735" w:rsidRPr="00C571D6" w14:paraId="1F369741" w14:textId="77777777" w:rsidTr="005D0E34">
        <w:tc>
          <w:tcPr>
            <w:tcW w:w="2830" w:type="dxa"/>
            <w:tcBorders>
              <w:top w:val="single" w:sz="4" w:space="0" w:color="auto"/>
              <w:left w:val="single" w:sz="4" w:space="0" w:color="auto"/>
              <w:bottom w:val="single" w:sz="4" w:space="0" w:color="auto"/>
              <w:right w:val="single" w:sz="4" w:space="0" w:color="auto"/>
            </w:tcBorders>
          </w:tcPr>
          <w:p w14:paraId="7A823448" w14:textId="77777777" w:rsidR="002D3735" w:rsidRPr="00406DFF" w:rsidRDefault="002D3735" w:rsidP="005D0E34">
            <w:pPr>
              <w:rPr>
                <w:sz w:val="20"/>
                <w:szCs w:val="20"/>
              </w:rPr>
            </w:pPr>
          </w:p>
        </w:tc>
        <w:tc>
          <w:tcPr>
            <w:tcW w:w="2127" w:type="dxa"/>
            <w:tcBorders>
              <w:top w:val="single" w:sz="4" w:space="0" w:color="auto"/>
              <w:left w:val="single" w:sz="4" w:space="0" w:color="auto"/>
              <w:bottom w:val="single" w:sz="4" w:space="0" w:color="auto"/>
              <w:right w:val="single" w:sz="4" w:space="0" w:color="auto"/>
            </w:tcBorders>
            <w:hideMark/>
          </w:tcPr>
          <w:p w14:paraId="701CB998" w14:textId="77777777" w:rsidR="002D3735" w:rsidRPr="007A434E" w:rsidRDefault="002D3735" w:rsidP="005D0E34">
            <w:pPr>
              <w:jc w:val="center"/>
              <w:rPr>
                <w:rFonts w:ascii="Times New Roman" w:hAnsi="Times New Roman" w:cs="Times New Roman"/>
                <w:sz w:val="20"/>
                <w:szCs w:val="20"/>
              </w:rPr>
            </w:pPr>
            <w:r>
              <w:rPr>
                <w:rFonts w:ascii="Times New Roman" w:hAnsi="Times New Roman" w:cs="Times New Roman"/>
                <w:sz w:val="20"/>
                <w:szCs w:val="20"/>
              </w:rPr>
              <w:t>Overall population</w:t>
            </w:r>
          </w:p>
        </w:tc>
        <w:tc>
          <w:tcPr>
            <w:tcW w:w="1984" w:type="dxa"/>
            <w:tcBorders>
              <w:top w:val="single" w:sz="4" w:space="0" w:color="auto"/>
              <w:left w:val="single" w:sz="4" w:space="0" w:color="auto"/>
              <w:bottom w:val="single" w:sz="4" w:space="0" w:color="auto"/>
              <w:right w:val="single" w:sz="4" w:space="0" w:color="auto"/>
            </w:tcBorders>
            <w:hideMark/>
          </w:tcPr>
          <w:p w14:paraId="1908FDC6" w14:textId="77777777" w:rsidR="002D3735" w:rsidRPr="007A434E" w:rsidRDefault="002D3735" w:rsidP="005D0E34">
            <w:pPr>
              <w:jc w:val="center"/>
              <w:rPr>
                <w:rFonts w:ascii="Times New Roman" w:hAnsi="Times New Roman" w:cs="Times New Roman"/>
                <w:sz w:val="20"/>
                <w:szCs w:val="20"/>
              </w:rPr>
            </w:pPr>
            <w:r w:rsidRPr="007A434E">
              <w:rPr>
                <w:rFonts w:ascii="Times New Roman" w:hAnsi="Times New Roman" w:cs="Times New Roman"/>
                <w:sz w:val="20"/>
                <w:szCs w:val="20"/>
              </w:rPr>
              <w:t>Patients on VKAs</w:t>
            </w:r>
          </w:p>
        </w:tc>
        <w:tc>
          <w:tcPr>
            <w:tcW w:w="1795" w:type="dxa"/>
            <w:tcBorders>
              <w:top w:val="single" w:sz="4" w:space="0" w:color="auto"/>
              <w:left w:val="single" w:sz="4" w:space="0" w:color="auto"/>
              <w:bottom w:val="single" w:sz="4" w:space="0" w:color="auto"/>
              <w:right w:val="single" w:sz="4" w:space="0" w:color="auto"/>
            </w:tcBorders>
            <w:hideMark/>
          </w:tcPr>
          <w:p w14:paraId="08FC4AA8" w14:textId="77777777" w:rsidR="002D3735" w:rsidRPr="007A434E" w:rsidRDefault="002D3735" w:rsidP="005D0E34">
            <w:pPr>
              <w:jc w:val="center"/>
              <w:rPr>
                <w:rFonts w:ascii="Times New Roman" w:hAnsi="Times New Roman" w:cs="Times New Roman"/>
                <w:sz w:val="20"/>
                <w:szCs w:val="20"/>
              </w:rPr>
            </w:pPr>
            <w:r w:rsidRPr="007A434E">
              <w:rPr>
                <w:rFonts w:ascii="Times New Roman" w:hAnsi="Times New Roman" w:cs="Times New Roman"/>
                <w:sz w:val="20"/>
                <w:szCs w:val="20"/>
              </w:rPr>
              <w:t>Patients on DOACs</w:t>
            </w:r>
          </w:p>
        </w:tc>
        <w:tc>
          <w:tcPr>
            <w:tcW w:w="892" w:type="dxa"/>
            <w:tcBorders>
              <w:top w:val="single" w:sz="4" w:space="0" w:color="auto"/>
              <w:left w:val="single" w:sz="4" w:space="0" w:color="auto"/>
              <w:bottom w:val="single" w:sz="4" w:space="0" w:color="auto"/>
              <w:right w:val="single" w:sz="4" w:space="0" w:color="auto"/>
            </w:tcBorders>
            <w:hideMark/>
          </w:tcPr>
          <w:p w14:paraId="51C8CB93" w14:textId="77777777" w:rsidR="002D3735" w:rsidRPr="007A434E" w:rsidRDefault="002D3735" w:rsidP="005D0E34">
            <w:pPr>
              <w:jc w:val="center"/>
              <w:rPr>
                <w:rFonts w:ascii="Times New Roman" w:hAnsi="Times New Roman" w:cs="Times New Roman"/>
                <w:sz w:val="20"/>
                <w:szCs w:val="20"/>
              </w:rPr>
            </w:pPr>
            <w:r w:rsidRPr="007A434E">
              <w:rPr>
                <w:rFonts w:ascii="Times New Roman" w:hAnsi="Times New Roman" w:cs="Times New Roman"/>
                <w:sz w:val="20"/>
                <w:szCs w:val="20"/>
              </w:rPr>
              <w:t>p-value</w:t>
            </w:r>
          </w:p>
        </w:tc>
      </w:tr>
      <w:tr w:rsidR="002D3735" w:rsidRPr="00C571D6" w14:paraId="10D6FBEB"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0C554BB8"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Patients,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3F4680A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11078</w:t>
            </w:r>
          </w:p>
        </w:tc>
        <w:tc>
          <w:tcPr>
            <w:tcW w:w="1984" w:type="dxa"/>
            <w:tcBorders>
              <w:top w:val="single" w:sz="4" w:space="0" w:color="auto"/>
              <w:left w:val="single" w:sz="4" w:space="0" w:color="auto"/>
              <w:bottom w:val="single" w:sz="4" w:space="0" w:color="auto"/>
              <w:right w:val="single" w:sz="4" w:space="0" w:color="auto"/>
            </w:tcBorders>
            <w:hideMark/>
          </w:tcPr>
          <w:p w14:paraId="0EC3347C"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5135 (46.4)</w:t>
            </w:r>
          </w:p>
        </w:tc>
        <w:tc>
          <w:tcPr>
            <w:tcW w:w="1795" w:type="dxa"/>
            <w:tcBorders>
              <w:top w:val="single" w:sz="4" w:space="0" w:color="auto"/>
              <w:left w:val="single" w:sz="4" w:space="0" w:color="auto"/>
              <w:bottom w:val="single" w:sz="4" w:space="0" w:color="auto"/>
              <w:right w:val="single" w:sz="4" w:space="0" w:color="auto"/>
            </w:tcBorders>
            <w:hideMark/>
          </w:tcPr>
          <w:p w14:paraId="71C11F0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5943 (53.6)</w:t>
            </w:r>
          </w:p>
        </w:tc>
        <w:tc>
          <w:tcPr>
            <w:tcW w:w="892" w:type="dxa"/>
            <w:tcBorders>
              <w:top w:val="single" w:sz="4" w:space="0" w:color="auto"/>
              <w:left w:val="single" w:sz="4" w:space="0" w:color="auto"/>
              <w:bottom w:val="single" w:sz="4" w:space="0" w:color="auto"/>
              <w:right w:val="single" w:sz="4" w:space="0" w:color="auto"/>
            </w:tcBorders>
          </w:tcPr>
          <w:p w14:paraId="18D079A2" w14:textId="77777777" w:rsidR="002D3735" w:rsidRPr="00406DFF" w:rsidRDefault="002D3735" w:rsidP="005D0E34">
            <w:pPr>
              <w:jc w:val="center"/>
              <w:rPr>
                <w:rFonts w:ascii="Times New Roman" w:hAnsi="Times New Roman" w:cs="Times New Roman"/>
                <w:sz w:val="20"/>
                <w:szCs w:val="20"/>
              </w:rPr>
            </w:pPr>
          </w:p>
        </w:tc>
      </w:tr>
      <w:tr w:rsidR="002D3735" w:rsidRPr="00C571D6" w14:paraId="7F89A144"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228B2576"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Males,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4F28F77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6029 (54.3)</w:t>
            </w:r>
          </w:p>
        </w:tc>
        <w:tc>
          <w:tcPr>
            <w:tcW w:w="1984" w:type="dxa"/>
            <w:tcBorders>
              <w:top w:val="single" w:sz="4" w:space="0" w:color="auto"/>
              <w:left w:val="single" w:sz="4" w:space="0" w:color="auto"/>
              <w:bottom w:val="single" w:sz="4" w:space="0" w:color="auto"/>
              <w:right w:val="single" w:sz="4" w:space="0" w:color="auto"/>
            </w:tcBorders>
            <w:hideMark/>
          </w:tcPr>
          <w:p w14:paraId="71AA2A4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2825 (55.0)</w:t>
            </w:r>
          </w:p>
        </w:tc>
        <w:tc>
          <w:tcPr>
            <w:tcW w:w="1795" w:type="dxa"/>
            <w:tcBorders>
              <w:top w:val="single" w:sz="4" w:space="0" w:color="auto"/>
              <w:left w:val="single" w:sz="4" w:space="0" w:color="auto"/>
              <w:bottom w:val="single" w:sz="4" w:space="0" w:color="auto"/>
              <w:right w:val="single" w:sz="4" w:space="0" w:color="auto"/>
            </w:tcBorders>
            <w:hideMark/>
          </w:tcPr>
          <w:p w14:paraId="2825D44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3191 (53.7)</w:t>
            </w:r>
          </w:p>
        </w:tc>
        <w:tc>
          <w:tcPr>
            <w:tcW w:w="892" w:type="dxa"/>
            <w:tcBorders>
              <w:top w:val="single" w:sz="4" w:space="0" w:color="auto"/>
              <w:left w:val="single" w:sz="4" w:space="0" w:color="auto"/>
              <w:bottom w:val="single" w:sz="4" w:space="0" w:color="auto"/>
              <w:right w:val="single" w:sz="4" w:space="0" w:color="auto"/>
            </w:tcBorders>
            <w:hideMark/>
          </w:tcPr>
          <w:p w14:paraId="4E4D1E2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0.2</w:t>
            </w:r>
          </w:p>
        </w:tc>
      </w:tr>
      <w:tr w:rsidR="002D3735" w:rsidRPr="00C571D6" w14:paraId="199C9B2F"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5DFCA044"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Median age (range) [IQR]</w:t>
            </w:r>
          </w:p>
        </w:tc>
        <w:tc>
          <w:tcPr>
            <w:tcW w:w="2127" w:type="dxa"/>
            <w:tcBorders>
              <w:top w:val="single" w:sz="4" w:space="0" w:color="auto"/>
              <w:left w:val="single" w:sz="4" w:space="0" w:color="auto"/>
              <w:bottom w:val="single" w:sz="4" w:space="0" w:color="auto"/>
              <w:right w:val="single" w:sz="4" w:space="0" w:color="auto"/>
            </w:tcBorders>
            <w:hideMark/>
          </w:tcPr>
          <w:p w14:paraId="3F9D4691"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77 (18-99) [71-83]</w:t>
            </w:r>
          </w:p>
        </w:tc>
        <w:tc>
          <w:tcPr>
            <w:tcW w:w="1984" w:type="dxa"/>
            <w:tcBorders>
              <w:top w:val="single" w:sz="4" w:space="0" w:color="auto"/>
              <w:left w:val="single" w:sz="4" w:space="0" w:color="auto"/>
              <w:bottom w:val="single" w:sz="4" w:space="0" w:color="auto"/>
              <w:right w:val="single" w:sz="4" w:space="0" w:color="auto"/>
            </w:tcBorders>
            <w:hideMark/>
          </w:tcPr>
          <w:p w14:paraId="0FA8F7C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76 (18-98) [70-82]</w:t>
            </w:r>
          </w:p>
        </w:tc>
        <w:tc>
          <w:tcPr>
            <w:tcW w:w="1795" w:type="dxa"/>
            <w:tcBorders>
              <w:top w:val="single" w:sz="4" w:space="0" w:color="auto"/>
              <w:left w:val="single" w:sz="4" w:space="0" w:color="auto"/>
              <w:bottom w:val="single" w:sz="4" w:space="0" w:color="auto"/>
              <w:right w:val="single" w:sz="4" w:space="0" w:color="auto"/>
            </w:tcBorders>
            <w:hideMark/>
          </w:tcPr>
          <w:p w14:paraId="6037461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79 (20-99) [72-84]</w:t>
            </w:r>
          </w:p>
        </w:tc>
        <w:tc>
          <w:tcPr>
            <w:tcW w:w="892" w:type="dxa"/>
            <w:tcBorders>
              <w:top w:val="single" w:sz="4" w:space="0" w:color="auto"/>
              <w:left w:val="single" w:sz="4" w:space="0" w:color="auto"/>
              <w:bottom w:val="single" w:sz="4" w:space="0" w:color="auto"/>
              <w:right w:val="single" w:sz="4" w:space="0" w:color="auto"/>
            </w:tcBorders>
            <w:hideMark/>
          </w:tcPr>
          <w:p w14:paraId="4389D42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0807B72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27FA2AB3"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Age &gt; 75 years,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4344D99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6896 (62.2)</w:t>
            </w:r>
          </w:p>
        </w:tc>
        <w:tc>
          <w:tcPr>
            <w:tcW w:w="1984" w:type="dxa"/>
            <w:tcBorders>
              <w:top w:val="single" w:sz="4" w:space="0" w:color="auto"/>
              <w:left w:val="single" w:sz="4" w:space="0" w:color="auto"/>
              <w:bottom w:val="single" w:sz="4" w:space="0" w:color="auto"/>
              <w:right w:val="single" w:sz="4" w:space="0" w:color="auto"/>
            </w:tcBorders>
            <w:hideMark/>
          </w:tcPr>
          <w:p w14:paraId="435C310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2390 (57.1)</w:t>
            </w:r>
          </w:p>
        </w:tc>
        <w:tc>
          <w:tcPr>
            <w:tcW w:w="1795" w:type="dxa"/>
            <w:tcBorders>
              <w:top w:val="single" w:sz="4" w:space="0" w:color="auto"/>
              <w:left w:val="single" w:sz="4" w:space="0" w:color="auto"/>
              <w:bottom w:val="single" w:sz="4" w:space="0" w:color="auto"/>
              <w:right w:val="single" w:sz="4" w:space="0" w:color="auto"/>
            </w:tcBorders>
            <w:hideMark/>
          </w:tcPr>
          <w:p w14:paraId="42D2863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3966 (66.7)</w:t>
            </w:r>
          </w:p>
        </w:tc>
        <w:tc>
          <w:tcPr>
            <w:tcW w:w="892" w:type="dxa"/>
            <w:tcBorders>
              <w:top w:val="single" w:sz="4" w:space="0" w:color="auto"/>
              <w:left w:val="single" w:sz="4" w:space="0" w:color="auto"/>
              <w:bottom w:val="single" w:sz="4" w:space="0" w:color="auto"/>
              <w:right w:val="single" w:sz="4" w:space="0" w:color="auto"/>
            </w:tcBorders>
            <w:hideMark/>
          </w:tcPr>
          <w:p w14:paraId="21745C5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2F554719"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2B09E71A"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Median follow-up, years</w:t>
            </w:r>
          </w:p>
          <w:p w14:paraId="35F3900F"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(range) [IQR]</w:t>
            </w:r>
          </w:p>
        </w:tc>
        <w:tc>
          <w:tcPr>
            <w:tcW w:w="2127" w:type="dxa"/>
            <w:tcBorders>
              <w:top w:val="single" w:sz="4" w:space="0" w:color="auto"/>
              <w:left w:val="single" w:sz="4" w:space="0" w:color="auto"/>
              <w:bottom w:val="single" w:sz="4" w:space="0" w:color="auto"/>
              <w:right w:val="single" w:sz="4" w:space="0" w:color="auto"/>
            </w:tcBorders>
            <w:hideMark/>
          </w:tcPr>
          <w:p w14:paraId="5BEA717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1.5 (0.1-9.7)</w:t>
            </w:r>
          </w:p>
          <w:p w14:paraId="4C0F5F7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[1.0-2.6]</w:t>
            </w:r>
          </w:p>
        </w:tc>
        <w:tc>
          <w:tcPr>
            <w:tcW w:w="1984" w:type="dxa"/>
            <w:tcBorders>
              <w:top w:val="single" w:sz="4" w:space="0" w:color="auto"/>
              <w:left w:val="single" w:sz="4" w:space="0" w:color="auto"/>
              <w:bottom w:val="single" w:sz="4" w:space="0" w:color="auto"/>
              <w:right w:val="single" w:sz="4" w:space="0" w:color="auto"/>
            </w:tcBorders>
            <w:hideMark/>
          </w:tcPr>
          <w:p w14:paraId="04CDF01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1.9 (0.1-9.7)</w:t>
            </w:r>
          </w:p>
          <w:p w14:paraId="6B7F402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[0.9-3.5]</w:t>
            </w:r>
          </w:p>
        </w:tc>
        <w:tc>
          <w:tcPr>
            <w:tcW w:w="1795" w:type="dxa"/>
            <w:tcBorders>
              <w:top w:val="single" w:sz="4" w:space="0" w:color="auto"/>
              <w:left w:val="single" w:sz="4" w:space="0" w:color="auto"/>
              <w:bottom w:val="single" w:sz="4" w:space="0" w:color="auto"/>
              <w:right w:val="single" w:sz="4" w:space="0" w:color="auto"/>
            </w:tcBorders>
            <w:hideMark/>
          </w:tcPr>
          <w:p w14:paraId="0BCCBD5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 (0.1-8.9)</w:t>
            </w:r>
          </w:p>
          <w:p w14:paraId="4888435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[1.0-2.0]</w:t>
            </w:r>
          </w:p>
        </w:tc>
        <w:tc>
          <w:tcPr>
            <w:tcW w:w="892" w:type="dxa"/>
            <w:tcBorders>
              <w:top w:val="single" w:sz="4" w:space="0" w:color="auto"/>
              <w:left w:val="single" w:sz="4" w:space="0" w:color="auto"/>
              <w:bottom w:val="single" w:sz="4" w:space="0" w:color="auto"/>
              <w:right w:val="single" w:sz="4" w:space="0" w:color="auto"/>
            </w:tcBorders>
            <w:hideMark/>
          </w:tcPr>
          <w:p w14:paraId="2E8B414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7373E788"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759543EC"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Paroxysmal AF,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A5BBDA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2340 (</w:t>
            </w:r>
            <w:r>
              <w:rPr>
                <w:rFonts w:ascii="Times New Roman" w:hAnsi="Times New Roman" w:cs="Times New Roman"/>
                <w:sz w:val="20"/>
                <w:szCs w:val="20"/>
              </w:rPr>
              <w:t>21</w:t>
            </w:r>
            <w:r w:rsidRPr="00406DFF">
              <w:rPr>
                <w:rFonts w:ascii="Times New Roman" w:hAnsi="Times New Roman" w:cs="Times New Roman"/>
                <w:sz w:val="20"/>
                <w:szCs w:val="20"/>
              </w:rPr>
              <w:t>.</w:t>
            </w:r>
            <w:r>
              <w:rPr>
                <w:rFonts w:ascii="Times New Roman" w:hAnsi="Times New Roman" w:cs="Times New Roman"/>
                <w:sz w:val="20"/>
                <w:szCs w:val="20"/>
              </w:rPr>
              <w:t>1</w:t>
            </w:r>
            <w:r w:rsidRPr="00406DFF">
              <w:rPr>
                <w:rFonts w:ascii="Times New Roman" w:hAnsi="Times New Roman" w:cs="Times New Roman"/>
                <w:sz w:val="20"/>
                <w:szCs w:val="20"/>
              </w:rPr>
              <w:t>)</w:t>
            </w:r>
          </w:p>
        </w:tc>
        <w:tc>
          <w:tcPr>
            <w:tcW w:w="1984" w:type="dxa"/>
            <w:tcBorders>
              <w:top w:val="single" w:sz="4" w:space="0" w:color="auto"/>
              <w:left w:val="single" w:sz="4" w:space="0" w:color="auto"/>
              <w:bottom w:val="single" w:sz="4" w:space="0" w:color="auto"/>
              <w:right w:val="single" w:sz="4" w:space="0" w:color="auto"/>
            </w:tcBorders>
            <w:hideMark/>
          </w:tcPr>
          <w:p w14:paraId="2C869DE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1682 (32.8)</w:t>
            </w:r>
          </w:p>
        </w:tc>
        <w:tc>
          <w:tcPr>
            <w:tcW w:w="1795" w:type="dxa"/>
            <w:tcBorders>
              <w:top w:val="single" w:sz="4" w:space="0" w:color="auto"/>
              <w:left w:val="single" w:sz="4" w:space="0" w:color="auto"/>
              <w:bottom w:val="single" w:sz="4" w:space="0" w:color="auto"/>
              <w:right w:val="single" w:sz="4" w:space="0" w:color="auto"/>
            </w:tcBorders>
            <w:hideMark/>
          </w:tcPr>
          <w:p w14:paraId="4365A89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2340 (39.6)</w:t>
            </w:r>
          </w:p>
        </w:tc>
        <w:tc>
          <w:tcPr>
            <w:tcW w:w="892" w:type="dxa"/>
            <w:tcBorders>
              <w:top w:val="single" w:sz="4" w:space="0" w:color="auto"/>
              <w:left w:val="single" w:sz="4" w:space="0" w:color="auto"/>
              <w:bottom w:val="single" w:sz="4" w:space="0" w:color="auto"/>
              <w:right w:val="single" w:sz="4" w:space="0" w:color="auto"/>
            </w:tcBorders>
            <w:hideMark/>
          </w:tcPr>
          <w:p w14:paraId="2E00E592"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738A2C0A"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40862FE9"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Hypertension,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6E8DFD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8889 (80.2)</w:t>
            </w:r>
          </w:p>
        </w:tc>
        <w:tc>
          <w:tcPr>
            <w:tcW w:w="1984" w:type="dxa"/>
            <w:tcBorders>
              <w:top w:val="single" w:sz="4" w:space="0" w:color="auto"/>
              <w:left w:val="single" w:sz="4" w:space="0" w:color="auto"/>
              <w:bottom w:val="single" w:sz="4" w:space="0" w:color="auto"/>
              <w:right w:val="single" w:sz="4" w:space="0" w:color="auto"/>
            </w:tcBorders>
            <w:hideMark/>
          </w:tcPr>
          <w:p w14:paraId="5EE1733C"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4002 (77.9)</w:t>
            </w:r>
          </w:p>
        </w:tc>
        <w:tc>
          <w:tcPr>
            <w:tcW w:w="1795" w:type="dxa"/>
            <w:tcBorders>
              <w:top w:val="single" w:sz="4" w:space="0" w:color="auto"/>
              <w:left w:val="single" w:sz="4" w:space="0" w:color="auto"/>
              <w:bottom w:val="single" w:sz="4" w:space="0" w:color="auto"/>
              <w:right w:val="single" w:sz="4" w:space="0" w:color="auto"/>
            </w:tcBorders>
            <w:hideMark/>
          </w:tcPr>
          <w:p w14:paraId="0A0E9D2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4887 (82.2)</w:t>
            </w:r>
          </w:p>
        </w:tc>
        <w:tc>
          <w:tcPr>
            <w:tcW w:w="892" w:type="dxa"/>
            <w:tcBorders>
              <w:top w:val="single" w:sz="4" w:space="0" w:color="auto"/>
              <w:left w:val="single" w:sz="4" w:space="0" w:color="auto"/>
              <w:bottom w:val="single" w:sz="4" w:space="0" w:color="auto"/>
              <w:right w:val="single" w:sz="4" w:space="0" w:color="auto"/>
            </w:tcBorders>
            <w:hideMark/>
          </w:tcPr>
          <w:p w14:paraId="6DAF277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62863741"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16C868CE"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Diabetes Mellitus,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2169735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2275 (20.5)</w:t>
            </w:r>
          </w:p>
        </w:tc>
        <w:tc>
          <w:tcPr>
            <w:tcW w:w="1984" w:type="dxa"/>
            <w:tcBorders>
              <w:top w:val="single" w:sz="4" w:space="0" w:color="auto"/>
              <w:left w:val="single" w:sz="4" w:space="0" w:color="auto"/>
              <w:bottom w:val="single" w:sz="4" w:space="0" w:color="auto"/>
              <w:right w:val="single" w:sz="4" w:space="0" w:color="auto"/>
            </w:tcBorders>
            <w:hideMark/>
          </w:tcPr>
          <w:p w14:paraId="657A958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1048 (20.4)</w:t>
            </w:r>
          </w:p>
        </w:tc>
        <w:tc>
          <w:tcPr>
            <w:tcW w:w="1795" w:type="dxa"/>
            <w:tcBorders>
              <w:top w:val="single" w:sz="4" w:space="0" w:color="auto"/>
              <w:left w:val="single" w:sz="4" w:space="0" w:color="auto"/>
              <w:bottom w:val="single" w:sz="4" w:space="0" w:color="auto"/>
              <w:right w:val="single" w:sz="4" w:space="0" w:color="auto"/>
            </w:tcBorders>
            <w:hideMark/>
          </w:tcPr>
          <w:p w14:paraId="2AC7AD2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1226 (20.6)</w:t>
            </w:r>
          </w:p>
        </w:tc>
        <w:tc>
          <w:tcPr>
            <w:tcW w:w="892" w:type="dxa"/>
            <w:tcBorders>
              <w:top w:val="single" w:sz="4" w:space="0" w:color="auto"/>
              <w:left w:val="single" w:sz="4" w:space="0" w:color="auto"/>
              <w:bottom w:val="single" w:sz="4" w:space="0" w:color="auto"/>
              <w:right w:val="single" w:sz="4" w:space="0" w:color="auto"/>
            </w:tcBorders>
            <w:hideMark/>
          </w:tcPr>
          <w:p w14:paraId="494B22E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0.8</w:t>
            </w:r>
          </w:p>
        </w:tc>
      </w:tr>
      <w:tr w:rsidR="002D3735" w:rsidRPr="00C571D6" w14:paraId="06117135"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52029BD1"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Heart failure,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49208DA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2115 (19.1)</w:t>
            </w:r>
          </w:p>
        </w:tc>
        <w:tc>
          <w:tcPr>
            <w:tcW w:w="1984" w:type="dxa"/>
            <w:tcBorders>
              <w:top w:val="single" w:sz="4" w:space="0" w:color="auto"/>
              <w:left w:val="single" w:sz="4" w:space="0" w:color="auto"/>
              <w:bottom w:val="single" w:sz="4" w:space="0" w:color="auto"/>
              <w:right w:val="single" w:sz="4" w:space="0" w:color="auto"/>
            </w:tcBorders>
            <w:hideMark/>
          </w:tcPr>
          <w:p w14:paraId="00E6E24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1046 (20.4)</w:t>
            </w:r>
          </w:p>
        </w:tc>
        <w:tc>
          <w:tcPr>
            <w:tcW w:w="1795" w:type="dxa"/>
            <w:tcBorders>
              <w:top w:val="single" w:sz="4" w:space="0" w:color="auto"/>
              <w:left w:val="single" w:sz="4" w:space="0" w:color="auto"/>
              <w:bottom w:val="single" w:sz="4" w:space="0" w:color="auto"/>
              <w:right w:val="single" w:sz="4" w:space="0" w:color="auto"/>
            </w:tcBorders>
            <w:hideMark/>
          </w:tcPr>
          <w:p w14:paraId="3483E13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1069 (18.0)</w:t>
            </w:r>
          </w:p>
        </w:tc>
        <w:tc>
          <w:tcPr>
            <w:tcW w:w="892" w:type="dxa"/>
            <w:tcBorders>
              <w:top w:val="single" w:sz="4" w:space="0" w:color="auto"/>
              <w:left w:val="single" w:sz="4" w:space="0" w:color="auto"/>
              <w:bottom w:val="single" w:sz="4" w:space="0" w:color="auto"/>
              <w:right w:val="single" w:sz="4" w:space="0" w:color="auto"/>
            </w:tcBorders>
            <w:hideMark/>
          </w:tcPr>
          <w:p w14:paraId="4263B48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0.001</w:t>
            </w:r>
          </w:p>
        </w:tc>
      </w:tr>
      <w:tr w:rsidR="002D3735" w:rsidRPr="00C571D6" w14:paraId="379087E2"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6630A511"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lastRenderedPageBreak/>
              <w:t xml:space="preserve">Coronary Artery Disease,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3395A7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1869 (16.9)</w:t>
            </w:r>
          </w:p>
        </w:tc>
        <w:tc>
          <w:tcPr>
            <w:tcW w:w="1984" w:type="dxa"/>
            <w:tcBorders>
              <w:top w:val="single" w:sz="4" w:space="0" w:color="auto"/>
              <w:left w:val="single" w:sz="4" w:space="0" w:color="auto"/>
              <w:bottom w:val="single" w:sz="4" w:space="0" w:color="auto"/>
              <w:right w:val="single" w:sz="4" w:space="0" w:color="auto"/>
            </w:tcBorders>
            <w:hideMark/>
          </w:tcPr>
          <w:p w14:paraId="7A50402C"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1019 (19.9)</w:t>
            </w:r>
          </w:p>
        </w:tc>
        <w:tc>
          <w:tcPr>
            <w:tcW w:w="1795" w:type="dxa"/>
            <w:tcBorders>
              <w:top w:val="single" w:sz="4" w:space="0" w:color="auto"/>
              <w:left w:val="single" w:sz="4" w:space="0" w:color="auto"/>
              <w:bottom w:val="single" w:sz="4" w:space="0" w:color="auto"/>
              <w:right w:val="single" w:sz="4" w:space="0" w:color="auto"/>
            </w:tcBorders>
            <w:hideMark/>
          </w:tcPr>
          <w:p w14:paraId="73BAD9F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848 (14.3)</w:t>
            </w:r>
          </w:p>
        </w:tc>
        <w:tc>
          <w:tcPr>
            <w:tcW w:w="892" w:type="dxa"/>
            <w:tcBorders>
              <w:top w:val="single" w:sz="4" w:space="0" w:color="auto"/>
              <w:left w:val="single" w:sz="4" w:space="0" w:color="auto"/>
              <w:bottom w:val="single" w:sz="4" w:space="0" w:color="auto"/>
              <w:right w:val="single" w:sz="4" w:space="0" w:color="auto"/>
            </w:tcBorders>
            <w:hideMark/>
          </w:tcPr>
          <w:p w14:paraId="6249781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647F32D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3EB9C32A" w14:textId="77777777" w:rsidR="002D3735" w:rsidRPr="00406DFF" w:rsidRDefault="002D3735" w:rsidP="005D0E34">
            <w:pPr>
              <w:rPr>
                <w:rFonts w:ascii="Times New Roman" w:hAnsi="Times New Roman" w:cs="Times New Roman"/>
                <w:sz w:val="20"/>
                <w:szCs w:val="20"/>
              </w:rPr>
            </w:pPr>
            <w:bookmarkStart w:id="18" w:name="_Hlk124436838"/>
            <w:r w:rsidRPr="00406DFF">
              <w:rPr>
                <w:rFonts w:ascii="Times New Roman" w:hAnsi="Times New Roman" w:cs="Times New Roman"/>
                <w:sz w:val="20"/>
                <w:szCs w:val="20"/>
              </w:rPr>
              <w:t>Peripheral Arterial Disease</w:t>
            </w:r>
            <w:bookmarkEnd w:id="18"/>
            <w:r w:rsidRPr="00406DFF">
              <w:rPr>
                <w:rFonts w:ascii="Times New Roman" w:hAnsi="Times New Roman" w:cs="Times New Roman"/>
                <w:sz w:val="20"/>
                <w:szCs w:val="20"/>
              </w:rPr>
              <w:t xml:space="preserve">,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78108D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648 (5.8)</w:t>
            </w:r>
          </w:p>
        </w:tc>
        <w:tc>
          <w:tcPr>
            <w:tcW w:w="1984" w:type="dxa"/>
            <w:tcBorders>
              <w:top w:val="single" w:sz="4" w:space="0" w:color="auto"/>
              <w:left w:val="single" w:sz="4" w:space="0" w:color="auto"/>
              <w:bottom w:val="single" w:sz="4" w:space="0" w:color="auto"/>
              <w:right w:val="single" w:sz="4" w:space="0" w:color="auto"/>
            </w:tcBorders>
            <w:hideMark/>
          </w:tcPr>
          <w:p w14:paraId="2C3CC6C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332 (6.5)</w:t>
            </w:r>
          </w:p>
        </w:tc>
        <w:tc>
          <w:tcPr>
            <w:tcW w:w="1795" w:type="dxa"/>
            <w:tcBorders>
              <w:top w:val="single" w:sz="4" w:space="0" w:color="auto"/>
              <w:left w:val="single" w:sz="4" w:space="0" w:color="auto"/>
              <w:bottom w:val="single" w:sz="4" w:space="0" w:color="auto"/>
              <w:right w:val="single" w:sz="4" w:space="0" w:color="auto"/>
            </w:tcBorders>
            <w:hideMark/>
          </w:tcPr>
          <w:p w14:paraId="32A242E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316 (5.3)</w:t>
            </w:r>
          </w:p>
        </w:tc>
        <w:tc>
          <w:tcPr>
            <w:tcW w:w="892" w:type="dxa"/>
            <w:tcBorders>
              <w:top w:val="single" w:sz="4" w:space="0" w:color="auto"/>
              <w:left w:val="single" w:sz="4" w:space="0" w:color="auto"/>
              <w:bottom w:val="single" w:sz="4" w:space="0" w:color="auto"/>
              <w:right w:val="single" w:sz="4" w:space="0" w:color="auto"/>
            </w:tcBorders>
            <w:hideMark/>
          </w:tcPr>
          <w:p w14:paraId="15EDF29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0.004</w:t>
            </w:r>
          </w:p>
        </w:tc>
      </w:tr>
      <w:tr w:rsidR="002D3735" w:rsidRPr="00C571D6" w14:paraId="6913D75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7ECE223E"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COPD,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450490F2"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1355 (12.2)</w:t>
            </w:r>
          </w:p>
        </w:tc>
        <w:tc>
          <w:tcPr>
            <w:tcW w:w="1984" w:type="dxa"/>
            <w:tcBorders>
              <w:top w:val="single" w:sz="4" w:space="0" w:color="auto"/>
              <w:left w:val="single" w:sz="4" w:space="0" w:color="auto"/>
              <w:bottom w:val="single" w:sz="4" w:space="0" w:color="auto"/>
              <w:right w:val="single" w:sz="4" w:space="0" w:color="auto"/>
            </w:tcBorders>
            <w:hideMark/>
          </w:tcPr>
          <w:p w14:paraId="5B39677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623 (12.1)</w:t>
            </w:r>
          </w:p>
        </w:tc>
        <w:tc>
          <w:tcPr>
            <w:tcW w:w="1795" w:type="dxa"/>
            <w:tcBorders>
              <w:top w:val="single" w:sz="4" w:space="0" w:color="auto"/>
              <w:left w:val="single" w:sz="4" w:space="0" w:color="auto"/>
              <w:bottom w:val="single" w:sz="4" w:space="0" w:color="auto"/>
              <w:right w:val="single" w:sz="4" w:space="0" w:color="auto"/>
            </w:tcBorders>
            <w:hideMark/>
          </w:tcPr>
          <w:p w14:paraId="4442E1A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732 (12.3)</w:t>
            </w:r>
          </w:p>
        </w:tc>
        <w:tc>
          <w:tcPr>
            <w:tcW w:w="892" w:type="dxa"/>
            <w:tcBorders>
              <w:top w:val="single" w:sz="4" w:space="0" w:color="auto"/>
              <w:left w:val="single" w:sz="4" w:space="0" w:color="auto"/>
              <w:bottom w:val="single" w:sz="4" w:space="0" w:color="auto"/>
              <w:right w:val="single" w:sz="4" w:space="0" w:color="auto"/>
            </w:tcBorders>
            <w:hideMark/>
          </w:tcPr>
          <w:p w14:paraId="54D7779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0.03</w:t>
            </w:r>
          </w:p>
        </w:tc>
      </w:tr>
      <w:tr w:rsidR="002D3735" w:rsidRPr="00C571D6" w14:paraId="0F3F6BFC"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3938E545"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Active Cancer,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56C0588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308 (2.8)</w:t>
            </w:r>
          </w:p>
        </w:tc>
        <w:tc>
          <w:tcPr>
            <w:tcW w:w="1984" w:type="dxa"/>
            <w:tcBorders>
              <w:top w:val="single" w:sz="4" w:space="0" w:color="auto"/>
              <w:left w:val="single" w:sz="4" w:space="0" w:color="auto"/>
              <w:bottom w:val="single" w:sz="4" w:space="0" w:color="auto"/>
              <w:right w:val="single" w:sz="4" w:space="0" w:color="auto"/>
            </w:tcBorders>
            <w:hideMark/>
          </w:tcPr>
          <w:p w14:paraId="2C11831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140 (2.7)</w:t>
            </w:r>
          </w:p>
        </w:tc>
        <w:tc>
          <w:tcPr>
            <w:tcW w:w="1795" w:type="dxa"/>
            <w:tcBorders>
              <w:top w:val="single" w:sz="4" w:space="0" w:color="auto"/>
              <w:left w:val="single" w:sz="4" w:space="0" w:color="auto"/>
              <w:bottom w:val="single" w:sz="4" w:space="0" w:color="auto"/>
              <w:right w:val="single" w:sz="4" w:space="0" w:color="auto"/>
            </w:tcBorders>
            <w:hideMark/>
          </w:tcPr>
          <w:p w14:paraId="36DFFFB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168 (2.8)</w:t>
            </w:r>
          </w:p>
        </w:tc>
        <w:tc>
          <w:tcPr>
            <w:tcW w:w="892" w:type="dxa"/>
            <w:tcBorders>
              <w:top w:val="single" w:sz="4" w:space="0" w:color="auto"/>
              <w:left w:val="single" w:sz="4" w:space="0" w:color="auto"/>
              <w:bottom w:val="single" w:sz="4" w:space="0" w:color="auto"/>
              <w:right w:val="single" w:sz="4" w:space="0" w:color="auto"/>
            </w:tcBorders>
            <w:hideMark/>
          </w:tcPr>
          <w:p w14:paraId="4A613BC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0.5</w:t>
            </w:r>
          </w:p>
        </w:tc>
      </w:tr>
      <w:tr w:rsidR="002D3735" w:rsidRPr="00C571D6" w14:paraId="64283539"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0F1E4D7C"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Dementia,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188F449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341 (3.1)</w:t>
            </w:r>
          </w:p>
        </w:tc>
        <w:tc>
          <w:tcPr>
            <w:tcW w:w="1984" w:type="dxa"/>
            <w:tcBorders>
              <w:top w:val="single" w:sz="4" w:space="0" w:color="auto"/>
              <w:left w:val="single" w:sz="4" w:space="0" w:color="auto"/>
              <w:bottom w:val="single" w:sz="4" w:space="0" w:color="auto"/>
              <w:right w:val="single" w:sz="4" w:space="0" w:color="auto"/>
            </w:tcBorders>
            <w:hideMark/>
          </w:tcPr>
          <w:p w14:paraId="4B475E0C"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113 (2.2)</w:t>
            </w:r>
          </w:p>
        </w:tc>
        <w:tc>
          <w:tcPr>
            <w:tcW w:w="1795" w:type="dxa"/>
            <w:tcBorders>
              <w:top w:val="single" w:sz="4" w:space="0" w:color="auto"/>
              <w:left w:val="single" w:sz="4" w:space="0" w:color="auto"/>
              <w:bottom w:val="single" w:sz="4" w:space="0" w:color="auto"/>
              <w:right w:val="single" w:sz="4" w:space="0" w:color="auto"/>
            </w:tcBorders>
            <w:hideMark/>
          </w:tcPr>
          <w:p w14:paraId="0BEFE29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228 (3.8)</w:t>
            </w:r>
          </w:p>
        </w:tc>
        <w:tc>
          <w:tcPr>
            <w:tcW w:w="892" w:type="dxa"/>
            <w:tcBorders>
              <w:top w:val="single" w:sz="4" w:space="0" w:color="auto"/>
              <w:left w:val="single" w:sz="4" w:space="0" w:color="auto"/>
              <w:bottom w:val="single" w:sz="4" w:space="0" w:color="auto"/>
              <w:right w:val="single" w:sz="4" w:space="0" w:color="auto"/>
            </w:tcBorders>
            <w:hideMark/>
          </w:tcPr>
          <w:p w14:paraId="0CD50B8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583FA858"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758EBD38"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Anemia,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FFE14A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300 (2.7)</w:t>
            </w:r>
          </w:p>
        </w:tc>
        <w:tc>
          <w:tcPr>
            <w:tcW w:w="1984" w:type="dxa"/>
            <w:tcBorders>
              <w:top w:val="single" w:sz="4" w:space="0" w:color="auto"/>
              <w:left w:val="single" w:sz="4" w:space="0" w:color="auto"/>
              <w:bottom w:val="single" w:sz="4" w:space="0" w:color="auto"/>
              <w:right w:val="single" w:sz="4" w:space="0" w:color="auto"/>
            </w:tcBorders>
            <w:hideMark/>
          </w:tcPr>
          <w:p w14:paraId="516B996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145 (2.8)</w:t>
            </w:r>
          </w:p>
        </w:tc>
        <w:tc>
          <w:tcPr>
            <w:tcW w:w="1795" w:type="dxa"/>
            <w:tcBorders>
              <w:top w:val="single" w:sz="4" w:space="0" w:color="auto"/>
              <w:left w:val="single" w:sz="4" w:space="0" w:color="auto"/>
              <w:bottom w:val="single" w:sz="4" w:space="0" w:color="auto"/>
              <w:right w:val="single" w:sz="4" w:space="0" w:color="auto"/>
            </w:tcBorders>
            <w:hideMark/>
          </w:tcPr>
          <w:p w14:paraId="27E8973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155 (2.6)</w:t>
            </w:r>
          </w:p>
        </w:tc>
        <w:tc>
          <w:tcPr>
            <w:tcW w:w="892" w:type="dxa"/>
            <w:tcBorders>
              <w:top w:val="single" w:sz="4" w:space="0" w:color="auto"/>
              <w:left w:val="single" w:sz="4" w:space="0" w:color="auto"/>
              <w:bottom w:val="single" w:sz="4" w:space="0" w:color="auto"/>
              <w:right w:val="single" w:sz="4" w:space="0" w:color="auto"/>
            </w:tcBorders>
            <w:hideMark/>
          </w:tcPr>
          <w:p w14:paraId="20FE564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0.5</w:t>
            </w:r>
          </w:p>
        </w:tc>
      </w:tr>
      <w:tr w:rsidR="002D3735" w:rsidRPr="00C571D6" w14:paraId="6A82175F"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1D2A22AB"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Frequent fall,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7480C6C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221 (2.0)</w:t>
            </w:r>
          </w:p>
        </w:tc>
        <w:tc>
          <w:tcPr>
            <w:tcW w:w="1984" w:type="dxa"/>
            <w:tcBorders>
              <w:top w:val="single" w:sz="4" w:space="0" w:color="auto"/>
              <w:left w:val="single" w:sz="4" w:space="0" w:color="auto"/>
              <w:bottom w:val="single" w:sz="4" w:space="0" w:color="auto"/>
              <w:right w:val="single" w:sz="4" w:space="0" w:color="auto"/>
            </w:tcBorders>
            <w:hideMark/>
          </w:tcPr>
          <w:p w14:paraId="0B566CC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109 (2.1)</w:t>
            </w:r>
          </w:p>
        </w:tc>
        <w:tc>
          <w:tcPr>
            <w:tcW w:w="1795" w:type="dxa"/>
            <w:tcBorders>
              <w:top w:val="single" w:sz="4" w:space="0" w:color="auto"/>
              <w:left w:val="single" w:sz="4" w:space="0" w:color="auto"/>
              <w:bottom w:val="single" w:sz="4" w:space="0" w:color="auto"/>
              <w:right w:val="single" w:sz="4" w:space="0" w:color="auto"/>
            </w:tcBorders>
            <w:hideMark/>
          </w:tcPr>
          <w:p w14:paraId="0D98CA6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112 (1.9)</w:t>
            </w:r>
          </w:p>
        </w:tc>
        <w:tc>
          <w:tcPr>
            <w:tcW w:w="892" w:type="dxa"/>
            <w:tcBorders>
              <w:top w:val="single" w:sz="4" w:space="0" w:color="auto"/>
              <w:left w:val="single" w:sz="4" w:space="0" w:color="auto"/>
              <w:bottom w:val="single" w:sz="4" w:space="0" w:color="auto"/>
              <w:right w:val="single" w:sz="4" w:space="0" w:color="auto"/>
            </w:tcBorders>
            <w:hideMark/>
          </w:tcPr>
          <w:p w14:paraId="399A2B7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0.7</w:t>
            </w:r>
          </w:p>
        </w:tc>
      </w:tr>
      <w:tr w:rsidR="002D3735" w:rsidRPr="00C571D6" w14:paraId="602962C0"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1BC7789F"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Previous bleeding,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4E6B2ED2"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412 (3.7)</w:t>
            </w:r>
          </w:p>
        </w:tc>
        <w:tc>
          <w:tcPr>
            <w:tcW w:w="1984" w:type="dxa"/>
            <w:tcBorders>
              <w:top w:val="single" w:sz="4" w:space="0" w:color="auto"/>
              <w:left w:val="single" w:sz="4" w:space="0" w:color="auto"/>
              <w:bottom w:val="single" w:sz="4" w:space="0" w:color="auto"/>
              <w:right w:val="single" w:sz="4" w:space="0" w:color="auto"/>
            </w:tcBorders>
            <w:hideMark/>
          </w:tcPr>
          <w:p w14:paraId="00F01DF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122 (2.4)</w:t>
            </w:r>
          </w:p>
        </w:tc>
        <w:tc>
          <w:tcPr>
            <w:tcW w:w="1795" w:type="dxa"/>
            <w:tcBorders>
              <w:top w:val="single" w:sz="4" w:space="0" w:color="auto"/>
              <w:left w:val="single" w:sz="4" w:space="0" w:color="auto"/>
              <w:bottom w:val="single" w:sz="4" w:space="0" w:color="auto"/>
              <w:right w:val="single" w:sz="4" w:space="0" w:color="auto"/>
            </w:tcBorders>
            <w:hideMark/>
          </w:tcPr>
          <w:p w14:paraId="16B9260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290 (4.9)</w:t>
            </w:r>
          </w:p>
        </w:tc>
        <w:tc>
          <w:tcPr>
            <w:tcW w:w="892" w:type="dxa"/>
            <w:tcBorders>
              <w:top w:val="single" w:sz="4" w:space="0" w:color="auto"/>
              <w:left w:val="single" w:sz="4" w:space="0" w:color="auto"/>
              <w:bottom w:val="single" w:sz="4" w:space="0" w:color="auto"/>
              <w:right w:val="single" w:sz="4" w:space="0" w:color="auto"/>
            </w:tcBorders>
            <w:hideMark/>
          </w:tcPr>
          <w:p w14:paraId="57F4A9F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274EAC4C"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2EBE4534"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Previous Stroke,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5471B37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1688 (15.2)</w:t>
            </w:r>
          </w:p>
        </w:tc>
        <w:tc>
          <w:tcPr>
            <w:tcW w:w="1984" w:type="dxa"/>
            <w:tcBorders>
              <w:top w:val="single" w:sz="4" w:space="0" w:color="auto"/>
              <w:left w:val="single" w:sz="4" w:space="0" w:color="auto"/>
              <w:bottom w:val="single" w:sz="4" w:space="0" w:color="auto"/>
              <w:right w:val="single" w:sz="4" w:space="0" w:color="auto"/>
            </w:tcBorders>
            <w:hideMark/>
          </w:tcPr>
          <w:p w14:paraId="28FF5C7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725 (14.1)</w:t>
            </w:r>
          </w:p>
        </w:tc>
        <w:tc>
          <w:tcPr>
            <w:tcW w:w="1795" w:type="dxa"/>
            <w:tcBorders>
              <w:top w:val="single" w:sz="4" w:space="0" w:color="auto"/>
              <w:left w:val="single" w:sz="4" w:space="0" w:color="auto"/>
              <w:bottom w:val="single" w:sz="4" w:space="0" w:color="auto"/>
              <w:right w:val="single" w:sz="4" w:space="0" w:color="auto"/>
            </w:tcBorders>
            <w:hideMark/>
          </w:tcPr>
          <w:p w14:paraId="678BE2F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963 (16.2)</w:t>
            </w:r>
          </w:p>
        </w:tc>
        <w:tc>
          <w:tcPr>
            <w:tcW w:w="892" w:type="dxa"/>
            <w:tcBorders>
              <w:top w:val="single" w:sz="4" w:space="0" w:color="auto"/>
              <w:left w:val="single" w:sz="4" w:space="0" w:color="auto"/>
              <w:bottom w:val="single" w:sz="4" w:space="0" w:color="auto"/>
              <w:right w:val="single" w:sz="4" w:space="0" w:color="auto"/>
            </w:tcBorders>
            <w:hideMark/>
          </w:tcPr>
          <w:p w14:paraId="7C8F7A2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0.004</w:t>
            </w:r>
          </w:p>
        </w:tc>
      </w:tr>
      <w:tr w:rsidR="002D3735" w:rsidRPr="00C571D6" w14:paraId="33312A5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1034B003"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eGFR &lt; 30 mL/min</w:t>
            </w:r>
          </w:p>
        </w:tc>
        <w:tc>
          <w:tcPr>
            <w:tcW w:w="2127" w:type="dxa"/>
            <w:tcBorders>
              <w:top w:val="single" w:sz="4" w:space="0" w:color="auto"/>
              <w:left w:val="single" w:sz="4" w:space="0" w:color="auto"/>
              <w:bottom w:val="single" w:sz="4" w:space="0" w:color="auto"/>
              <w:right w:val="single" w:sz="4" w:space="0" w:color="auto"/>
            </w:tcBorders>
            <w:hideMark/>
          </w:tcPr>
          <w:p w14:paraId="505112B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560 (5.1)</w:t>
            </w:r>
          </w:p>
        </w:tc>
        <w:tc>
          <w:tcPr>
            <w:tcW w:w="1984" w:type="dxa"/>
            <w:tcBorders>
              <w:top w:val="single" w:sz="4" w:space="0" w:color="auto"/>
              <w:left w:val="single" w:sz="4" w:space="0" w:color="auto"/>
              <w:bottom w:val="single" w:sz="4" w:space="0" w:color="auto"/>
              <w:right w:val="single" w:sz="4" w:space="0" w:color="auto"/>
            </w:tcBorders>
            <w:hideMark/>
          </w:tcPr>
          <w:p w14:paraId="5148F0F1"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369 (7.2)</w:t>
            </w:r>
          </w:p>
        </w:tc>
        <w:tc>
          <w:tcPr>
            <w:tcW w:w="1795" w:type="dxa"/>
            <w:tcBorders>
              <w:top w:val="single" w:sz="4" w:space="0" w:color="auto"/>
              <w:left w:val="single" w:sz="4" w:space="0" w:color="auto"/>
              <w:bottom w:val="single" w:sz="4" w:space="0" w:color="auto"/>
              <w:right w:val="single" w:sz="4" w:space="0" w:color="auto"/>
            </w:tcBorders>
            <w:hideMark/>
          </w:tcPr>
          <w:p w14:paraId="7650394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191 (3.2)</w:t>
            </w:r>
          </w:p>
        </w:tc>
        <w:tc>
          <w:tcPr>
            <w:tcW w:w="892" w:type="dxa"/>
            <w:tcBorders>
              <w:top w:val="single" w:sz="4" w:space="0" w:color="auto"/>
              <w:left w:val="single" w:sz="4" w:space="0" w:color="auto"/>
              <w:bottom w:val="single" w:sz="4" w:space="0" w:color="auto"/>
              <w:right w:val="single" w:sz="4" w:space="0" w:color="auto"/>
            </w:tcBorders>
            <w:hideMark/>
          </w:tcPr>
          <w:p w14:paraId="7EB2FA1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60EADF81"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0031E0F7"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Antiplatelet drugs,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14900E4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1306 (11.8)</w:t>
            </w:r>
          </w:p>
        </w:tc>
        <w:tc>
          <w:tcPr>
            <w:tcW w:w="1984" w:type="dxa"/>
            <w:tcBorders>
              <w:top w:val="single" w:sz="4" w:space="0" w:color="auto"/>
              <w:left w:val="single" w:sz="4" w:space="0" w:color="auto"/>
              <w:bottom w:val="single" w:sz="4" w:space="0" w:color="auto"/>
              <w:right w:val="single" w:sz="4" w:space="0" w:color="auto"/>
            </w:tcBorders>
            <w:hideMark/>
          </w:tcPr>
          <w:p w14:paraId="75810D5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707 (13.8)</w:t>
            </w:r>
          </w:p>
        </w:tc>
        <w:tc>
          <w:tcPr>
            <w:tcW w:w="1795" w:type="dxa"/>
            <w:tcBorders>
              <w:top w:val="single" w:sz="4" w:space="0" w:color="auto"/>
              <w:left w:val="single" w:sz="4" w:space="0" w:color="auto"/>
              <w:bottom w:val="single" w:sz="4" w:space="0" w:color="auto"/>
              <w:right w:val="single" w:sz="4" w:space="0" w:color="auto"/>
            </w:tcBorders>
            <w:hideMark/>
          </w:tcPr>
          <w:p w14:paraId="72E8BBD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599 (10.1)</w:t>
            </w:r>
          </w:p>
        </w:tc>
        <w:tc>
          <w:tcPr>
            <w:tcW w:w="892" w:type="dxa"/>
            <w:tcBorders>
              <w:top w:val="single" w:sz="4" w:space="0" w:color="auto"/>
              <w:left w:val="single" w:sz="4" w:space="0" w:color="auto"/>
              <w:bottom w:val="single" w:sz="4" w:space="0" w:color="auto"/>
              <w:right w:val="single" w:sz="4" w:space="0" w:color="auto"/>
            </w:tcBorders>
            <w:hideMark/>
          </w:tcPr>
          <w:p w14:paraId="657BFEC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3BDE16D5"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2D8D3A52"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Mean CHA</w:t>
            </w:r>
            <w:r w:rsidRPr="00406DFF">
              <w:rPr>
                <w:rFonts w:ascii="Times New Roman" w:hAnsi="Times New Roman" w:cs="Times New Roman"/>
                <w:sz w:val="20"/>
                <w:szCs w:val="20"/>
                <w:vertAlign w:val="subscript"/>
              </w:rPr>
              <w:t>2</w:t>
            </w:r>
            <w:r w:rsidRPr="00406DFF">
              <w:rPr>
                <w:rFonts w:ascii="Times New Roman" w:hAnsi="Times New Roman" w:cs="Times New Roman"/>
                <w:sz w:val="20"/>
                <w:szCs w:val="20"/>
              </w:rPr>
              <w:t>DS</w:t>
            </w:r>
            <w:r w:rsidRPr="00406DFF">
              <w:rPr>
                <w:rFonts w:ascii="Times New Roman" w:hAnsi="Times New Roman" w:cs="Times New Roman"/>
                <w:sz w:val="20"/>
                <w:szCs w:val="20"/>
                <w:vertAlign w:val="subscript"/>
              </w:rPr>
              <w:t>2</w:t>
            </w:r>
            <w:r w:rsidRPr="00406DFF">
              <w:rPr>
                <w:rFonts w:ascii="Times New Roman" w:hAnsi="Times New Roman" w:cs="Times New Roman"/>
                <w:sz w:val="20"/>
                <w:szCs w:val="20"/>
              </w:rPr>
              <w:t>VASc score (SD)</w:t>
            </w:r>
          </w:p>
        </w:tc>
        <w:tc>
          <w:tcPr>
            <w:tcW w:w="2127" w:type="dxa"/>
            <w:tcBorders>
              <w:top w:val="single" w:sz="4" w:space="0" w:color="auto"/>
              <w:left w:val="single" w:sz="4" w:space="0" w:color="auto"/>
              <w:bottom w:val="single" w:sz="4" w:space="0" w:color="auto"/>
              <w:right w:val="single" w:sz="4" w:space="0" w:color="auto"/>
            </w:tcBorders>
            <w:hideMark/>
          </w:tcPr>
          <w:p w14:paraId="1E032931"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3.7 (1.5)</w:t>
            </w:r>
          </w:p>
        </w:tc>
        <w:tc>
          <w:tcPr>
            <w:tcW w:w="1984" w:type="dxa"/>
            <w:tcBorders>
              <w:top w:val="single" w:sz="4" w:space="0" w:color="auto"/>
              <w:left w:val="single" w:sz="4" w:space="0" w:color="auto"/>
              <w:bottom w:val="single" w:sz="4" w:space="0" w:color="auto"/>
              <w:right w:val="single" w:sz="4" w:space="0" w:color="auto"/>
            </w:tcBorders>
            <w:hideMark/>
          </w:tcPr>
          <w:p w14:paraId="7A5008A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3.6 (1.6)</w:t>
            </w:r>
          </w:p>
        </w:tc>
        <w:tc>
          <w:tcPr>
            <w:tcW w:w="1795" w:type="dxa"/>
            <w:tcBorders>
              <w:top w:val="single" w:sz="4" w:space="0" w:color="auto"/>
              <w:left w:val="single" w:sz="4" w:space="0" w:color="auto"/>
              <w:bottom w:val="single" w:sz="4" w:space="0" w:color="auto"/>
              <w:right w:val="single" w:sz="4" w:space="0" w:color="auto"/>
            </w:tcBorders>
            <w:hideMark/>
          </w:tcPr>
          <w:p w14:paraId="6B67DB6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3.7 (1.5)</w:t>
            </w:r>
          </w:p>
        </w:tc>
        <w:tc>
          <w:tcPr>
            <w:tcW w:w="892" w:type="dxa"/>
            <w:tcBorders>
              <w:top w:val="single" w:sz="4" w:space="0" w:color="auto"/>
              <w:left w:val="single" w:sz="4" w:space="0" w:color="auto"/>
              <w:bottom w:val="single" w:sz="4" w:space="0" w:color="auto"/>
              <w:right w:val="single" w:sz="4" w:space="0" w:color="auto"/>
            </w:tcBorders>
            <w:hideMark/>
          </w:tcPr>
          <w:p w14:paraId="0A5A0E2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0.03</w:t>
            </w:r>
          </w:p>
        </w:tc>
      </w:tr>
      <w:tr w:rsidR="002D3735" w:rsidRPr="00C571D6" w14:paraId="03049F2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521EBE59"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CHA</w:t>
            </w:r>
            <w:r w:rsidRPr="00406DFF">
              <w:rPr>
                <w:rFonts w:ascii="Times New Roman" w:hAnsi="Times New Roman" w:cs="Times New Roman"/>
                <w:sz w:val="20"/>
                <w:szCs w:val="20"/>
                <w:vertAlign w:val="subscript"/>
              </w:rPr>
              <w:t>2</w:t>
            </w:r>
            <w:r w:rsidRPr="00406DFF">
              <w:rPr>
                <w:rFonts w:ascii="Times New Roman" w:hAnsi="Times New Roman" w:cs="Times New Roman"/>
                <w:sz w:val="20"/>
                <w:szCs w:val="20"/>
              </w:rPr>
              <w:t>DS</w:t>
            </w:r>
            <w:r w:rsidRPr="00406DFF">
              <w:rPr>
                <w:rFonts w:ascii="Times New Roman" w:hAnsi="Times New Roman" w:cs="Times New Roman"/>
                <w:sz w:val="20"/>
                <w:szCs w:val="20"/>
                <w:vertAlign w:val="subscript"/>
              </w:rPr>
              <w:t>2</w:t>
            </w:r>
            <w:r w:rsidRPr="00406DFF">
              <w:rPr>
                <w:rFonts w:ascii="Times New Roman" w:hAnsi="Times New Roman" w:cs="Times New Roman"/>
                <w:sz w:val="20"/>
                <w:szCs w:val="20"/>
              </w:rPr>
              <w:t xml:space="preserve">VASc ≤2,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0079356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2374 (21.4)</w:t>
            </w:r>
          </w:p>
        </w:tc>
        <w:tc>
          <w:tcPr>
            <w:tcW w:w="1984" w:type="dxa"/>
            <w:tcBorders>
              <w:top w:val="single" w:sz="4" w:space="0" w:color="auto"/>
              <w:left w:val="single" w:sz="4" w:space="0" w:color="auto"/>
              <w:bottom w:val="single" w:sz="4" w:space="0" w:color="auto"/>
              <w:right w:val="single" w:sz="4" w:space="0" w:color="auto"/>
            </w:tcBorders>
            <w:hideMark/>
          </w:tcPr>
          <w:p w14:paraId="450348F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1255 (24.4)</w:t>
            </w:r>
          </w:p>
        </w:tc>
        <w:tc>
          <w:tcPr>
            <w:tcW w:w="1795" w:type="dxa"/>
            <w:tcBorders>
              <w:top w:val="single" w:sz="4" w:space="0" w:color="auto"/>
              <w:left w:val="single" w:sz="4" w:space="0" w:color="auto"/>
              <w:bottom w:val="single" w:sz="4" w:space="0" w:color="auto"/>
              <w:right w:val="single" w:sz="4" w:space="0" w:color="auto"/>
            </w:tcBorders>
            <w:hideMark/>
          </w:tcPr>
          <w:p w14:paraId="2A126E8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1119 (18.8)</w:t>
            </w:r>
          </w:p>
        </w:tc>
        <w:tc>
          <w:tcPr>
            <w:tcW w:w="892" w:type="dxa"/>
            <w:tcBorders>
              <w:top w:val="single" w:sz="4" w:space="0" w:color="auto"/>
              <w:left w:val="single" w:sz="4" w:space="0" w:color="auto"/>
              <w:bottom w:val="single" w:sz="4" w:space="0" w:color="auto"/>
              <w:right w:val="single" w:sz="4" w:space="0" w:color="auto"/>
            </w:tcBorders>
            <w:hideMark/>
          </w:tcPr>
          <w:p w14:paraId="202693E6"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&lt;0.001</w:t>
            </w:r>
          </w:p>
        </w:tc>
      </w:tr>
      <w:tr w:rsidR="002D3735" w:rsidRPr="00C571D6" w14:paraId="03CA3441"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635A17F2"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Mean HAS-BLED score (SD)</w:t>
            </w:r>
          </w:p>
        </w:tc>
        <w:tc>
          <w:tcPr>
            <w:tcW w:w="2127" w:type="dxa"/>
            <w:tcBorders>
              <w:top w:val="single" w:sz="4" w:space="0" w:color="auto"/>
              <w:left w:val="single" w:sz="4" w:space="0" w:color="auto"/>
              <w:bottom w:val="single" w:sz="4" w:space="0" w:color="auto"/>
              <w:right w:val="single" w:sz="4" w:space="0" w:color="auto"/>
            </w:tcBorders>
            <w:hideMark/>
          </w:tcPr>
          <w:p w14:paraId="1255800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2.1 (0.8)</w:t>
            </w:r>
          </w:p>
        </w:tc>
        <w:tc>
          <w:tcPr>
            <w:tcW w:w="1984" w:type="dxa"/>
            <w:tcBorders>
              <w:top w:val="single" w:sz="4" w:space="0" w:color="auto"/>
              <w:left w:val="single" w:sz="4" w:space="0" w:color="auto"/>
              <w:bottom w:val="single" w:sz="4" w:space="0" w:color="auto"/>
              <w:right w:val="single" w:sz="4" w:space="0" w:color="auto"/>
            </w:tcBorders>
            <w:hideMark/>
          </w:tcPr>
          <w:p w14:paraId="751D403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2.0 (0.9)</w:t>
            </w:r>
          </w:p>
        </w:tc>
        <w:tc>
          <w:tcPr>
            <w:tcW w:w="1795" w:type="dxa"/>
            <w:tcBorders>
              <w:top w:val="single" w:sz="4" w:space="0" w:color="auto"/>
              <w:left w:val="single" w:sz="4" w:space="0" w:color="auto"/>
              <w:bottom w:val="single" w:sz="4" w:space="0" w:color="auto"/>
              <w:right w:val="single" w:sz="4" w:space="0" w:color="auto"/>
            </w:tcBorders>
            <w:hideMark/>
          </w:tcPr>
          <w:p w14:paraId="7E36711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2.1 (0.8)</w:t>
            </w:r>
          </w:p>
        </w:tc>
        <w:tc>
          <w:tcPr>
            <w:tcW w:w="892" w:type="dxa"/>
            <w:tcBorders>
              <w:top w:val="single" w:sz="4" w:space="0" w:color="auto"/>
              <w:left w:val="single" w:sz="4" w:space="0" w:color="auto"/>
              <w:bottom w:val="single" w:sz="4" w:space="0" w:color="auto"/>
              <w:right w:val="single" w:sz="4" w:space="0" w:color="auto"/>
            </w:tcBorders>
            <w:hideMark/>
          </w:tcPr>
          <w:p w14:paraId="099DBF8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0.4</w:t>
            </w:r>
          </w:p>
        </w:tc>
      </w:tr>
      <w:tr w:rsidR="002D3735" w:rsidRPr="00C571D6" w14:paraId="5164B1E6"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7F4365A5"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HASBLED≥3,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hideMark/>
          </w:tcPr>
          <w:p w14:paraId="579F6872"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2840 (25.6)</w:t>
            </w:r>
          </w:p>
        </w:tc>
        <w:tc>
          <w:tcPr>
            <w:tcW w:w="1984" w:type="dxa"/>
            <w:tcBorders>
              <w:top w:val="single" w:sz="4" w:space="0" w:color="auto"/>
              <w:left w:val="single" w:sz="4" w:space="0" w:color="auto"/>
              <w:bottom w:val="single" w:sz="4" w:space="0" w:color="auto"/>
              <w:right w:val="single" w:sz="4" w:space="0" w:color="auto"/>
            </w:tcBorders>
            <w:hideMark/>
          </w:tcPr>
          <w:p w14:paraId="1976C0D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1335 (26.0)</w:t>
            </w:r>
          </w:p>
        </w:tc>
        <w:tc>
          <w:tcPr>
            <w:tcW w:w="1795" w:type="dxa"/>
            <w:tcBorders>
              <w:top w:val="single" w:sz="4" w:space="0" w:color="auto"/>
              <w:left w:val="single" w:sz="4" w:space="0" w:color="auto"/>
              <w:bottom w:val="single" w:sz="4" w:space="0" w:color="auto"/>
              <w:right w:val="single" w:sz="4" w:space="0" w:color="auto"/>
            </w:tcBorders>
            <w:hideMark/>
          </w:tcPr>
          <w:p w14:paraId="7BD0F9BA"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1505 (25.3)</w:t>
            </w:r>
          </w:p>
        </w:tc>
        <w:tc>
          <w:tcPr>
            <w:tcW w:w="892" w:type="dxa"/>
            <w:tcBorders>
              <w:top w:val="single" w:sz="4" w:space="0" w:color="auto"/>
              <w:left w:val="single" w:sz="4" w:space="0" w:color="auto"/>
              <w:bottom w:val="single" w:sz="4" w:space="0" w:color="auto"/>
              <w:right w:val="single" w:sz="4" w:space="0" w:color="auto"/>
            </w:tcBorders>
            <w:hideMark/>
          </w:tcPr>
          <w:p w14:paraId="1B095DE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0.4</w:t>
            </w:r>
          </w:p>
        </w:tc>
      </w:tr>
      <w:tr w:rsidR="002D3735" w:rsidRPr="00C571D6" w14:paraId="4C6A646C" w14:textId="77777777" w:rsidTr="005D0E34">
        <w:tc>
          <w:tcPr>
            <w:tcW w:w="2830" w:type="dxa"/>
            <w:tcBorders>
              <w:top w:val="single" w:sz="4" w:space="0" w:color="auto"/>
              <w:left w:val="single" w:sz="4" w:space="0" w:color="auto"/>
              <w:bottom w:val="single" w:sz="4" w:space="0" w:color="auto"/>
              <w:right w:val="single" w:sz="4" w:space="0" w:color="auto"/>
            </w:tcBorders>
            <w:hideMark/>
          </w:tcPr>
          <w:p w14:paraId="1F09A0DE"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 xml:space="preserve">DOAC reduced dose, </w:t>
            </w:r>
            <w:r w:rsidRPr="00406DFF">
              <w:rPr>
                <w:rFonts w:ascii="Times New Roman" w:eastAsia="Times New Roman" w:hAnsi="Times New Roman" w:cs="Times New Roman"/>
                <w:sz w:val="20"/>
                <w:szCs w:val="20"/>
              </w:rPr>
              <w:t>n (%)</w:t>
            </w:r>
          </w:p>
        </w:tc>
        <w:tc>
          <w:tcPr>
            <w:tcW w:w="2127" w:type="dxa"/>
            <w:tcBorders>
              <w:top w:val="single" w:sz="4" w:space="0" w:color="auto"/>
              <w:left w:val="single" w:sz="4" w:space="0" w:color="auto"/>
              <w:bottom w:val="single" w:sz="4" w:space="0" w:color="auto"/>
              <w:right w:val="single" w:sz="4" w:space="0" w:color="auto"/>
            </w:tcBorders>
          </w:tcPr>
          <w:p w14:paraId="4F6D3618" w14:textId="77777777" w:rsidR="002D3735" w:rsidRPr="00406DFF" w:rsidRDefault="002D3735" w:rsidP="005D0E34">
            <w:pPr>
              <w:jc w:val="center"/>
              <w:rPr>
                <w:rFonts w:ascii="Times New Roman" w:hAnsi="Times New Roman" w:cs="Times New Roman"/>
                <w:sz w:val="20"/>
                <w:szCs w:val="20"/>
              </w:rPr>
            </w:pPr>
          </w:p>
        </w:tc>
        <w:tc>
          <w:tcPr>
            <w:tcW w:w="1984" w:type="dxa"/>
            <w:tcBorders>
              <w:top w:val="single" w:sz="4" w:space="0" w:color="auto"/>
              <w:left w:val="single" w:sz="4" w:space="0" w:color="auto"/>
              <w:bottom w:val="single" w:sz="4" w:space="0" w:color="auto"/>
              <w:right w:val="single" w:sz="4" w:space="0" w:color="auto"/>
            </w:tcBorders>
          </w:tcPr>
          <w:p w14:paraId="2BC12191" w14:textId="77777777" w:rsidR="002D3735" w:rsidRPr="00406DFF" w:rsidRDefault="002D3735" w:rsidP="005D0E34">
            <w:pPr>
              <w:jc w:val="center"/>
              <w:rPr>
                <w:rFonts w:ascii="Times New Roman" w:hAnsi="Times New Roman" w:cs="Times New Roman"/>
                <w:sz w:val="20"/>
                <w:szCs w:val="20"/>
              </w:rPr>
            </w:pPr>
          </w:p>
        </w:tc>
        <w:tc>
          <w:tcPr>
            <w:tcW w:w="1795" w:type="dxa"/>
            <w:tcBorders>
              <w:top w:val="single" w:sz="4" w:space="0" w:color="auto"/>
              <w:left w:val="single" w:sz="4" w:space="0" w:color="auto"/>
              <w:bottom w:val="single" w:sz="4" w:space="0" w:color="auto"/>
              <w:right w:val="single" w:sz="4" w:space="0" w:color="auto"/>
            </w:tcBorders>
            <w:hideMark/>
          </w:tcPr>
          <w:p w14:paraId="2B31924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2562 (43.1)</w:t>
            </w:r>
          </w:p>
        </w:tc>
        <w:tc>
          <w:tcPr>
            <w:tcW w:w="892" w:type="dxa"/>
            <w:tcBorders>
              <w:top w:val="single" w:sz="4" w:space="0" w:color="auto"/>
              <w:left w:val="single" w:sz="4" w:space="0" w:color="auto"/>
              <w:bottom w:val="single" w:sz="4" w:space="0" w:color="auto"/>
              <w:right w:val="single" w:sz="4" w:space="0" w:color="auto"/>
            </w:tcBorders>
          </w:tcPr>
          <w:p w14:paraId="27C50555" w14:textId="77777777" w:rsidR="002D3735" w:rsidRPr="00406DFF" w:rsidRDefault="002D3735" w:rsidP="005D0E34">
            <w:pPr>
              <w:jc w:val="center"/>
              <w:rPr>
                <w:rFonts w:ascii="Times New Roman" w:hAnsi="Times New Roman" w:cs="Times New Roman"/>
                <w:sz w:val="20"/>
                <w:szCs w:val="20"/>
              </w:rPr>
            </w:pPr>
          </w:p>
        </w:tc>
      </w:tr>
    </w:tbl>
    <w:p w14:paraId="4168148B" w14:textId="77777777" w:rsidR="002D3735" w:rsidRDefault="002D3735" w:rsidP="002D3735">
      <w:pPr>
        <w:rPr>
          <w:rFonts w:ascii="Times New Roman" w:hAnsi="Times New Roman" w:cs="Times New Roman"/>
          <w:b/>
          <w:bCs/>
          <w:sz w:val="24"/>
          <w:szCs w:val="24"/>
        </w:rPr>
      </w:pPr>
    </w:p>
    <w:p w14:paraId="289B5535" w14:textId="4110ED30" w:rsidR="002D3735" w:rsidRPr="00D87005" w:rsidRDefault="002D3735" w:rsidP="002D3735">
      <w:pPr>
        <w:rPr>
          <w:rFonts w:cs="Times New Roman"/>
          <w:i/>
          <w:iCs/>
        </w:rPr>
      </w:pPr>
      <w:r w:rsidRPr="00D87005">
        <w:rPr>
          <w:rFonts w:ascii="Times New Roman" w:hAnsi="Times New Roman" w:cs="Times New Roman"/>
          <w:b/>
          <w:bCs/>
          <w:i/>
          <w:iCs/>
        </w:rPr>
        <w:t>Table 1.</w:t>
      </w:r>
      <w:r w:rsidRPr="00D87005">
        <w:rPr>
          <w:rFonts w:ascii="Times New Roman" w:hAnsi="Times New Roman" w:cs="Times New Roman"/>
          <w:i/>
          <w:iCs/>
        </w:rPr>
        <w:t xml:space="preserve"> Characteristics of patients according to type of anticoagulant treatment. COPD: chronic obstructive pulmunary disease; GFR: glomerular filtration rate</w:t>
      </w:r>
    </w:p>
    <w:p w14:paraId="3204BAE2" w14:textId="77777777" w:rsidR="002D3735" w:rsidRDefault="002D3735" w:rsidP="002D3735">
      <w:pPr>
        <w:spacing w:line="480" w:lineRule="auto"/>
        <w:contextualSpacing/>
        <w:jc w:val="both"/>
        <w:rPr>
          <w:rFonts w:ascii="Times New Roman" w:hAnsi="Times New Roman" w:cs="Times New Roman"/>
          <w:sz w:val="24"/>
          <w:szCs w:val="24"/>
        </w:rPr>
      </w:pPr>
    </w:p>
    <w:p w14:paraId="72D5B2B5" w14:textId="77777777" w:rsidR="002D3735" w:rsidRPr="005118B8" w:rsidRDefault="002D3735" w:rsidP="002D3735">
      <w:pPr>
        <w:spacing w:line="480" w:lineRule="auto"/>
        <w:jc w:val="both"/>
        <w:rPr>
          <w:rFonts w:ascii="Times New Roman" w:eastAsia="Times New Roman" w:hAnsi="Times New Roman" w:cs="Times New Roman"/>
          <w:b/>
          <w:i/>
          <w:color w:val="000000" w:themeColor="text1"/>
          <w:sz w:val="24"/>
          <w:szCs w:val="24"/>
          <w:u w:val="single"/>
        </w:rPr>
      </w:pPr>
      <w:r w:rsidRPr="005118B8">
        <w:rPr>
          <w:rFonts w:ascii="Times New Roman" w:eastAsia="Times New Roman" w:hAnsi="Times New Roman" w:cs="Times New Roman"/>
          <w:b/>
          <w:i/>
          <w:color w:val="000000" w:themeColor="text1"/>
          <w:sz w:val="24"/>
          <w:szCs w:val="24"/>
          <w:u w:val="single"/>
        </w:rPr>
        <w:t xml:space="preserve">Clinical </w:t>
      </w:r>
      <w:r>
        <w:rPr>
          <w:rFonts w:ascii="Times New Roman" w:eastAsia="Times New Roman" w:hAnsi="Times New Roman" w:cs="Times New Roman"/>
          <w:b/>
          <w:i/>
          <w:color w:val="000000" w:themeColor="text1"/>
          <w:sz w:val="24"/>
          <w:szCs w:val="24"/>
          <w:u w:val="single"/>
        </w:rPr>
        <w:t>o</w:t>
      </w:r>
      <w:r w:rsidRPr="005118B8">
        <w:rPr>
          <w:rFonts w:ascii="Times New Roman" w:eastAsia="Times New Roman" w:hAnsi="Times New Roman" w:cs="Times New Roman"/>
          <w:b/>
          <w:i/>
          <w:color w:val="000000" w:themeColor="text1"/>
          <w:sz w:val="24"/>
          <w:szCs w:val="24"/>
          <w:u w:val="single"/>
        </w:rPr>
        <w:t>utcomes</w:t>
      </w:r>
    </w:p>
    <w:p w14:paraId="0B35CDC8" w14:textId="77777777" w:rsidR="002D3735" w:rsidRDefault="002D3735" w:rsidP="002D3735">
      <w:pPr>
        <w:spacing w:line="480" w:lineRule="auto"/>
        <w:contextualSpacing/>
        <w:jc w:val="both"/>
        <w:rPr>
          <w:rFonts w:ascii="Times New Roman" w:hAnsi="Times New Roman" w:cs="Times New Roman"/>
          <w:color w:val="000000" w:themeColor="text1"/>
          <w:sz w:val="24"/>
          <w:szCs w:val="24"/>
        </w:rPr>
      </w:pPr>
      <w:r w:rsidRPr="00C95EA2">
        <w:rPr>
          <w:rFonts w:ascii="Times New Roman" w:eastAsia="Times New Roman" w:hAnsi="Times New Roman" w:cs="Times New Roman"/>
          <w:bCs/>
          <w:color w:val="000000" w:themeColor="text1"/>
          <w:sz w:val="24"/>
          <w:szCs w:val="24"/>
        </w:rPr>
        <w:t xml:space="preserve">The </w:t>
      </w:r>
      <w:r>
        <w:rPr>
          <w:rFonts w:ascii="Times New Roman" w:eastAsia="Times New Roman" w:hAnsi="Times New Roman" w:cs="Times New Roman"/>
          <w:bCs/>
          <w:color w:val="000000" w:themeColor="text1"/>
          <w:sz w:val="24"/>
          <w:szCs w:val="24"/>
        </w:rPr>
        <w:t xml:space="preserve">incidence of </w:t>
      </w:r>
      <w:r w:rsidRPr="00C95EA2">
        <w:rPr>
          <w:rFonts w:ascii="Times New Roman" w:hAnsi="Times New Roman" w:cs="Times New Roman"/>
          <w:color w:val="000000" w:themeColor="text1"/>
          <w:sz w:val="24"/>
          <w:szCs w:val="24"/>
        </w:rPr>
        <w:t xml:space="preserve">adverse events recorded during follow-up </w:t>
      </w:r>
      <w:r>
        <w:rPr>
          <w:rFonts w:ascii="Times New Roman" w:hAnsi="Times New Roman" w:cs="Times New Roman"/>
          <w:color w:val="000000" w:themeColor="text1"/>
          <w:sz w:val="24"/>
          <w:szCs w:val="24"/>
        </w:rPr>
        <w:t xml:space="preserve">is shown </w:t>
      </w:r>
      <w:r w:rsidRPr="00C95EA2">
        <w:rPr>
          <w:rFonts w:ascii="Times New Roman" w:hAnsi="Times New Roman" w:cs="Times New Roman"/>
          <w:color w:val="000000" w:themeColor="text1"/>
          <w:sz w:val="24"/>
          <w:szCs w:val="24"/>
        </w:rPr>
        <w:t xml:space="preserve">in </w:t>
      </w:r>
      <w:r w:rsidRPr="00C95EA2">
        <w:rPr>
          <w:rFonts w:ascii="Times New Roman" w:hAnsi="Times New Roman" w:cs="Times New Roman"/>
          <w:b/>
          <w:bCs/>
          <w:i/>
          <w:iCs/>
          <w:color w:val="000000" w:themeColor="text1"/>
          <w:sz w:val="24"/>
          <w:szCs w:val="24"/>
        </w:rPr>
        <w:t>Table 2</w:t>
      </w:r>
      <w:r w:rsidRPr="009B468C">
        <w:rPr>
          <w:rFonts w:ascii="Times New Roman" w:hAnsi="Times New Roman" w:cs="Times New Roman"/>
          <w:b/>
          <w:bCs/>
          <w:i/>
          <w:iCs/>
          <w:color w:val="000000" w:themeColor="text1"/>
          <w:sz w:val="24"/>
          <w:szCs w:val="24"/>
        </w:rPr>
        <w:t>.</w:t>
      </w:r>
      <w:r w:rsidRPr="00C95EA2">
        <w:rPr>
          <w:rFonts w:ascii="Times New Roman" w:hAnsi="Times New Roman" w:cs="Times New Roman"/>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During follow-up</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785 (14.1%) patients died</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of </w:t>
      </w:r>
      <w:r>
        <w:rPr>
          <w:rFonts w:ascii="Times New Roman" w:eastAsia="Times New Roman" w:hAnsi="Times New Roman" w:cs="Times New Roman"/>
          <w:bCs/>
          <w:color w:val="000000" w:themeColor="text1"/>
          <w:sz w:val="24"/>
          <w:szCs w:val="24"/>
        </w:rPr>
        <w:t xml:space="preserve">whom </w:t>
      </w:r>
      <w:r w:rsidRPr="00C95EA2">
        <w:rPr>
          <w:rFonts w:ascii="Times New Roman" w:eastAsia="Times New Roman" w:hAnsi="Times New Roman" w:cs="Times New Roman"/>
          <w:bCs/>
          <w:color w:val="000000" w:themeColor="text1"/>
          <w:sz w:val="24"/>
          <w:szCs w:val="24"/>
        </w:rPr>
        <w:t>169 (21.6%) due to CV causes</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542 bleeding events were recorded </w:t>
      </w:r>
      <w:r w:rsidRPr="00C95EA2">
        <w:rPr>
          <w:rFonts w:ascii="Times New Roman" w:hAnsi="Times New Roman" w:cs="Times New Roman"/>
          <w:color w:val="000000" w:themeColor="text1"/>
          <w:sz w:val="24"/>
          <w:szCs w:val="24"/>
        </w:rPr>
        <w:t>(2.44 per 100 pt-yrs)</w:t>
      </w:r>
      <w:r w:rsidRPr="00C95EA2">
        <w:rPr>
          <w:rFonts w:ascii="Times New Roman" w:eastAsia="Times New Roman" w:hAnsi="Times New Roman" w:cs="Times New Roman"/>
          <w:bCs/>
          <w:color w:val="000000" w:themeColor="text1"/>
          <w:sz w:val="24"/>
          <w:szCs w:val="24"/>
        </w:rPr>
        <w:t xml:space="preserve">, of which 240 were major (rate 1.08 x 100 pt-yrs). </w:t>
      </w:r>
      <w:r w:rsidRPr="00C95EA2">
        <w:rPr>
          <w:rFonts w:ascii="Times New Roman" w:hAnsi="Times New Roman" w:cs="Times New Roman"/>
          <w:color w:val="000000" w:themeColor="text1"/>
          <w:sz w:val="24"/>
          <w:szCs w:val="24"/>
        </w:rPr>
        <w:t xml:space="preserve">Major bleeding was fatal in 25 cases (10.4%). </w:t>
      </w:r>
      <w:r>
        <w:rPr>
          <w:rFonts w:ascii="Times New Roman" w:hAnsi="Times New Roman" w:cs="Times New Roman"/>
          <w:color w:val="000000" w:themeColor="text1"/>
          <w:sz w:val="24"/>
          <w:szCs w:val="24"/>
        </w:rPr>
        <w:t>S</w:t>
      </w:r>
      <w:r w:rsidRPr="00C95EA2">
        <w:rPr>
          <w:rFonts w:ascii="Times New Roman" w:hAnsi="Times New Roman" w:cs="Times New Roman"/>
          <w:color w:val="000000" w:themeColor="text1"/>
          <w:sz w:val="24"/>
          <w:szCs w:val="24"/>
        </w:rPr>
        <w:t>troke occurred in 5</w:t>
      </w:r>
      <w:r>
        <w:rPr>
          <w:rFonts w:ascii="Times New Roman" w:hAnsi="Times New Roman" w:cs="Times New Roman"/>
          <w:color w:val="000000" w:themeColor="text1"/>
          <w:sz w:val="24"/>
          <w:szCs w:val="24"/>
        </w:rPr>
        <w:t>2</w:t>
      </w:r>
      <w:r w:rsidRPr="00C95EA2">
        <w:rPr>
          <w:rFonts w:ascii="Times New Roman" w:hAnsi="Times New Roman" w:cs="Times New Roman"/>
          <w:color w:val="000000" w:themeColor="text1"/>
          <w:sz w:val="24"/>
          <w:szCs w:val="24"/>
        </w:rPr>
        <w:t xml:space="preserve"> (0.23 </w:t>
      </w:r>
      <w:r w:rsidRPr="00C95EA2">
        <w:rPr>
          <w:rFonts w:ascii="Times New Roman" w:eastAsia="Times New Roman" w:hAnsi="Times New Roman" w:cs="Times New Roman"/>
          <w:bCs/>
          <w:color w:val="000000" w:themeColor="text1"/>
          <w:sz w:val="24"/>
          <w:szCs w:val="24"/>
        </w:rPr>
        <w:t>x 100 pt-yrs</w:t>
      </w:r>
      <w:r w:rsidRPr="00C95EA2">
        <w:rPr>
          <w:rFonts w:ascii="Times New Roman" w:hAnsi="Times New Roman" w:cs="Times New Roman"/>
          <w:color w:val="000000" w:themeColor="text1"/>
          <w:sz w:val="24"/>
          <w:szCs w:val="24"/>
        </w:rPr>
        <w:t>) patients during the follow-up. A detailed analysis of the study population and outcomes has been previously published</w:t>
      </w:r>
      <w:r w:rsidRPr="00C95EA2">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ADDIN ZOTERO_ITEM CSL_CITATION {"citationID":"DGC216qt","properties":{"formattedCitation":"\\super 16\\nosupersub{}","plainCitation":"16","noteIndex":0},"citationItems":[{"id":601,"uris":["http://zotero.org/users/local/51ctrMZy/items/A4D5K834"],"itemData":{"id":601,"type":"article-journal","abstract":"The survey on anticoagulated patients register (START-Register) is an independent, prospective, inception-cohort observational study aimed at providing information on patients on vitamin K antagonists (VKAs) or direct oral anticoagulants (DOACs) in Italy. In this study, we describe the cohort of atrial fibrillation (AF) patients in the START-Register and report outcomes and changes in anticoagulant prescription from 2011 to 2021. The study included 11,078 AF patients, enrolled in 47 Italian centers distributed all over the Country; the median age was 77 years (range 18-99 years); 6029 (54.3%) were men; 5135 (46.4%) were on VKAs, and 5943 (53.6%) were on DOACs. Warfarin was the most prescribed VKA (98.4%), and apixaban was the most prescribed DOAC (31.6%). Among DOAC users, 4022 (67.7%) patients were naive to anticoagulation, and 2562 (43.1%) patients were treated with a reduced dose. DOAC patients were significantly older than VKA patients (median age 79 years vs 76 years respectively, P&amp;lt;0.001), but no gender difference was detected. The mean CHA2DS2VASc score was higher in DOAC users than in VKA users (3.7 vs 3.6; P=0.03). The mean HAS-BLED score was not different between the two groups. During follow-up, 542 bleeding events were recorded [2.44 per 100 patient-years (pt-yrs)]; 240 were major (1.08 per 100 pt-yrs), and 301 were clinically relevant non-major bleedings (1.34 per 100 pt-yrs). 146 thrombotic events were recorded during follow-up (0.66 per 100 pt-yrs). The total mortality rate was 3.5 per 100 pt-yrs; the mortality rate was 4.54 per 100 pt-yrs among patients on VKAs and 2.31 per 100 pt-yrs among patients on DOACs. During the last 10 years, in Italy, AF patient management has changed with the large spread of DOACs all over the Country. DOAC patients are frequently treated with reduced doses and show a lower mortality rate in comparison to patients on VKAs.","container-title":"Bleeding, Thrombosis, and Vascular Biology","DOI":"10.4081/btvb.2023.84","ISSN":"2785-5309","issue":"2","language":"en","license":"Copyright (c) 2023 The Author(s)","note":"number: 2","source":"btvb.org","title":"Management of anticoagulation in atrial fibrillation patients in Italy: insight from the &lt;i&gt;Atrial Fibrillation-Survey on Anticoagulated Patients Register&lt;/i&gt; (AF-START)","title-short":"Management of anticoagulation in atrial fibrillation patients in Italy","URL":"https://btvb.org/btvb/article/view/84","volume":"2","author":[{"family":"Poli","given":"Daniela"},{"family":"Ageno","given":"Walter"},{"family":"Antonucci","given":"Emilia"},{"family":"Bradamante","given":"Salvatore"},{"family":"Bucherini","given":"Eugenio"},{"family":"Chiarugi","given":"Paolo"},{"family":"Chistolini","given":"Antonio"},{"family":"Cosmi","given":"Benilde"},{"family":"Falanga","given":"Anna"},{"family":"Insana","given":"Antonio"},{"family":"Lione","given":"Domenico"},{"family":"Lombardi","given":"Rosa Maria"},{"family":"Malcangi","given":"Giuseppe"},{"family":"Marcucci","given":"Rossella"},{"family":"Martini","given":"Giuliana"},{"family":"Masciocco","given":"Lucilla"},{"family":"Paparo","given":"Carmelo"},{"family":"Pastori","given":"Daniele"},{"family":"Pedrini","given":"Simona"},{"family":"Pengo","given":"Vittorio"},{"family":"Pignatelli","given":"Pasquale"},{"family":"Toma","given":"Andrea"},{"family":"Testa","given":"Sophie"},{"family":"Palareti","given":"Gualtiero"}],"accessed":{"date-parts":[["2023",8,25]]},"issued":{"date-parts":[["2023",6,27]]}}}],"schema":"https://github.com/citation-style-language/schema/raw/master/csl-citation.json"} </w:instrText>
      </w:r>
      <w:r w:rsidRPr="00C95EA2">
        <w:rPr>
          <w:rFonts w:ascii="Times New Roman" w:hAnsi="Times New Roman" w:cs="Times New Roman"/>
          <w:color w:val="000000" w:themeColor="text1"/>
          <w:sz w:val="24"/>
          <w:szCs w:val="24"/>
        </w:rPr>
        <w:fldChar w:fldCharType="separate"/>
      </w:r>
      <w:r w:rsidRPr="00E47694">
        <w:rPr>
          <w:rFonts w:ascii="Times New Roman" w:hAnsi="Times New Roman" w:cs="Times New Roman"/>
          <w:sz w:val="24"/>
          <w:szCs w:val="24"/>
          <w:vertAlign w:val="superscript"/>
        </w:rPr>
        <w:t>16</w:t>
      </w:r>
      <w:r w:rsidRPr="00C95EA2">
        <w:rPr>
          <w:rFonts w:ascii="Times New Roman" w:hAnsi="Times New Roman" w:cs="Times New Roman"/>
          <w:color w:val="000000" w:themeColor="text1"/>
          <w:sz w:val="24"/>
          <w:szCs w:val="24"/>
        </w:rPr>
        <w:fldChar w:fldCharType="end"/>
      </w:r>
      <w:r w:rsidRPr="00C95EA2">
        <w:rPr>
          <w:rFonts w:ascii="Times New Roman" w:hAnsi="Times New Roman" w:cs="Times New Roman"/>
          <w:color w:val="000000" w:themeColor="text1"/>
          <w:sz w:val="24"/>
          <w:szCs w:val="24"/>
        </w:rPr>
        <w:t>.</w:t>
      </w:r>
    </w:p>
    <w:p w14:paraId="43ED51EE" w14:textId="77777777" w:rsidR="002D3735" w:rsidRPr="00C95EA2" w:rsidRDefault="002D3735" w:rsidP="002D3735">
      <w:pPr>
        <w:spacing w:line="480" w:lineRule="auto"/>
        <w:contextualSpacing/>
        <w:jc w:val="both"/>
        <w:rPr>
          <w:i/>
          <w:iCs/>
          <w:color w:val="000000" w:themeColor="text1"/>
          <w:sz w:val="24"/>
          <w:szCs w:val="24"/>
        </w:rPr>
      </w:pPr>
    </w:p>
    <w:tbl>
      <w:tblPr>
        <w:tblStyle w:val="Grigliatabella"/>
        <w:tblW w:w="0" w:type="auto"/>
        <w:tblInd w:w="0" w:type="dxa"/>
        <w:tblLook w:val="04A0" w:firstRow="1" w:lastRow="0" w:firstColumn="1" w:lastColumn="0" w:noHBand="0" w:noVBand="1"/>
      </w:tblPr>
      <w:tblGrid>
        <w:gridCol w:w="2555"/>
        <w:gridCol w:w="1958"/>
        <w:gridCol w:w="1801"/>
        <w:gridCol w:w="1896"/>
      </w:tblGrid>
      <w:tr w:rsidR="002D3735" w:rsidRPr="00642A02" w14:paraId="7B0CCF0E" w14:textId="77777777" w:rsidTr="005D0E34">
        <w:tc>
          <w:tcPr>
            <w:tcW w:w="2910" w:type="dxa"/>
          </w:tcPr>
          <w:p w14:paraId="2228410D" w14:textId="77777777" w:rsidR="002D3735" w:rsidRPr="00406DFF" w:rsidRDefault="002D3735" w:rsidP="005D0E34">
            <w:pPr>
              <w:rPr>
                <w:rFonts w:ascii="Times New Roman" w:hAnsi="Times New Roman" w:cs="Times New Roman"/>
                <w:sz w:val="20"/>
                <w:szCs w:val="20"/>
              </w:rPr>
            </w:pPr>
          </w:p>
        </w:tc>
        <w:tc>
          <w:tcPr>
            <w:tcW w:w="2330" w:type="dxa"/>
            <w:tcBorders>
              <w:top w:val="single" w:sz="4" w:space="0" w:color="auto"/>
              <w:left w:val="single" w:sz="4" w:space="0" w:color="auto"/>
              <w:bottom w:val="single" w:sz="4" w:space="0" w:color="auto"/>
              <w:right w:val="single" w:sz="4" w:space="0" w:color="auto"/>
            </w:tcBorders>
          </w:tcPr>
          <w:p w14:paraId="7D544EE2" w14:textId="77777777" w:rsidR="002D3735" w:rsidRPr="00406DFF" w:rsidRDefault="002D3735" w:rsidP="005D0E34">
            <w:pPr>
              <w:jc w:val="center"/>
              <w:rPr>
                <w:rFonts w:ascii="Times New Roman" w:hAnsi="Times New Roman" w:cs="Times New Roman"/>
                <w:sz w:val="20"/>
                <w:szCs w:val="20"/>
              </w:rPr>
            </w:pPr>
            <w:r>
              <w:rPr>
                <w:rFonts w:ascii="Times New Roman" w:hAnsi="Times New Roman" w:cs="Times New Roman"/>
                <w:sz w:val="20"/>
                <w:szCs w:val="20"/>
              </w:rPr>
              <w:t>Overall population</w:t>
            </w:r>
          </w:p>
          <w:p w14:paraId="2663390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N. (rateX100 pt-yrs)</w:t>
            </w:r>
          </w:p>
        </w:tc>
        <w:tc>
          <w:tcPr>
            <w:tcW w:w="2126" w:type="dxa"/>
            <w:tcBorders>
              <w:top w:val="single" w:sz="4" w:space="0" w:color="auto"/>
              <w:left w:val="single" w:sz="4" w:space="0" w:color="auto"/>
              <w:bottom w:val="single" w:sz="4" w:space="0" w:color="auto"/>
              <w:right w:val="single" w:sz="4" w:space="0" w:color="auto"/>
            </w:tcBorders>
          </w:tcPr>
          <w:p w14:paraId="478F7E0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Patients on AVKs</w:t>
            </w:r>
          </w:p>
          <w:p w14:paraId="66E202F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N. (rateX100 pt-yrs)</w:t>
            </w:r>
          </w:p>
        </w:tc>
        <w:tc>
          <w:tcPr>
            <w:tcW w:w="2262" w:type="dxa"/>
            <w:tcBorders>
              <w:top w:val="single" w:sz="4" w:space="0" w:color="auto"/>
              <w:left w:val="single" w:sz="4" w:space="0" w:color="auto"/>
              <w:bottom w:val="single" w:sz="4" w:space="0" w:color="auto"/>
              <w:right w:val="single" w:sz="4" w:space="0" w:color="auto"/>
            </w:tcBorders>
          </w:tcPr>
          <w:p w14:paraId="0798C1A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Patients on DOACs</w:t>
            </w:r>
          </w:p>
          <w:p w14:paraId="0A4B050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N. (rateX100 pt-yrs)</w:t>
            </w:r>
          </w:p>
        </w:tc>
      </w:tr>
      <w:tr w:rsidR="002D3735" w:rsidRPr="00642A02" w14:paraId="0A3CE9A7" w14:textId="77777777" w:rsidTr="005D0E34">
        <w:tc>
          <w:tcPr>
            <w:tcW w:w="2910" w:type="dxa"/>
            <w:tcBorders>
              <w:top w:val="single" w:sz="4" w:space="0" w:color="auto"/>
              <w:left w:val="single" w:sz="4" w:space="0" w:color="auto"/>
              <w:bottom w:val="single" w:sz="4" w:space="0" w:color="auto"/>
              <w:right w:val="single" w:sz="4" w:space="0" w:color="auto"/>
            </w:tcBorders>
          </w:tcPr>
          <w:p w14:paraId="35705368"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i/>
                <w:sz w:val="20"/>
                <w:szCs w:val="20"/>
              </w:rPr>
              <w:t>All Bleedings</w:t>
            </w:r>
          </w:p>
        </w:tc>
        <w:tc>
          <w:tcPr>
            <w:tcW w:w="2330" w:type="dxa"/>
            <w:tcBorders>
              <w:top w:val="single" w:sz="4" w:space="0" w:color="auto"/>
              <w:left w:val="single" w:sz="4" w:space="0" w:color="auto"/>
              <w:bottom w:val="single" w:sz="4" w:space="0" w:color="auto"/>
              <w:right w:val="single" w:sz="4" w:space="0" w:color="auto"/>
            </w:tcBorders>
          </w:tcPr>
          <w:p w14:paraId="313C986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541 (2.44)</w:t>
            </w:r>
          </w:p>
        </w:tc>
        <w:tc>
          <w:tcPr>
            <w:tcW w:w="2126" w:type="dxa"/>
            <w:tcBorders>
              <w:top w:val="single" w:sz="4" w:space="0" w:color="auto"/>
              <w:left w:val="single" w:sz="4" w:space="0" w:color="auto"/>
              <w:bottom w:val="single" w:sz="4" w:space="0" w:color="auto"/>
              <w:right w:val="single" w:sz="4" w:space="0" w:color="auto"/>
            </w:tcBorders>
          </w:tcPr>
          <w:p w14:paraId="7CB02054"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290 (2.40)</w:t>
            </w:r>
          </w:p>
        </w:tc>
        <w:tc>
          <w:tcPr>
            <w:tcW w:w="2262" w:type="dxa"/>
            <w:tcBorders>
              <w:top w:val="single" w:sz="4" w:space="0" w:color="auto"/>
              <w:left w:val="single" w:sz="4" w:space="0" w:color="auto"/>
              <w:bottom w:val="single" w:sz="4" w:space="0" w:color="auto"/>
              <w:right w:val="single" w:sz="4" w:space="0" w:color="auto"/>
            </w:tcBorders>
          </w:tcPr>
          <w:p w14:paraId="0BD5201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251 (2.48)</w:t>
            </w:r>
          </w:p>
        </w:tc>
      </w:tr>
      <w:tr w:rsidR="002D3735" w:rsidRPr="00642A02" w14:paraId="339E747A" w14:textId="77777777" w:rsidTr="005D0E34">
        <w:tc>
          <w:tcPr>
            <w:tcW w:w="2910" w:type="dxa"/>
            <w:tcBorders>
              <w:top w:val="single" w:sz="4" w:space="0" w:color="auto"/>
              <w:left w:val="single" w:sz="4" w:space="0" w:color="auto"/>
              <w:bottom w:val="single" w:sz="4" w:space="0" w:color="auto"/>
              <w:right w:val="single" w:sz="4" w:space="0" w:color="auto"/>
            </w:tcBorders>
          </w:tcPr>
          <w:p w14:paraId="5DDC503B" w14:textId="77777777" w:rsidR="002D3735" w:rsidRPr="00406DFF" w:rsidRDefault="002D3735" w:rsidP="005D0E34">
            <w:pPr>
              <w:ind w:left="708"/>
              <w:rPr>
                <w:rFonts w:ascii="Times New Roman" w:hAnsi="Times New Roman" w:cs="Times New Roman"/>
                <w:sz w:val="20"/>
                <w:szCs w:val="20"/>
              </w:rPr>
            </w:pPr>
            <w:r w:rsidRPr="00406DFF">
              <w:rPr>
                <w:rFonts w:ascii="Times New Roman" w:hAnsi="Times New Roman" w:cs="Times New Roman"/>
                <w:i/>
                <w:sz w:val="20"/>
                <w:szCs w:val="20"/>
              </w:rPr>
              <w:t>Major Bleedings</w:t>
            </w:r>
          </w:p>
        </w:tc>
        <w:tc>
          <w:tcPr>
            <w:tcW w:w="2330" w:type="dxa"/>
            <w:tcBorders>
              <w:top w:val="single" w:sz="4" w:space="0" w:color="auto"/>
              <w:left w:val="single" w:sz="4" w:space="0" w:color="auto"/>
              <w:bottom w:val="single" w:sz="4" w:space="0" w:color="auto"/>
              <w:right w:val="single" w:sz="4" w:space="0" w:color="auto"/>
            </w:tcBorders>
          </w:tcPr>
          <w:p w14:paraId="67FED9D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240 (1.08)</w:t>
            </w:r>
          </w:p>
        </w:tc>
        <w:tc>
          <w:tcPr>
            <w:tcW w:w="2126" w:type="dxa"/>
            <w:tcBorders>
              <w:top w:val="single" w:sz="4" w:space="0" w:color="auto"/>
              <w:left w:val="single" w:sz="4" w:space="0" w:color="auto"/>
              <w:bottom w:val="single" w:sz="4" w:space="0" w:color="auto"/>
              <w:right w:val="single" w:sz="4" w:space="0" w:color="auto"/>
            </w:tcBorders>
          </w:tcPr>
          <w:p w14:paraId="36F841A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119 (0.99)</w:t>
            </w:r>
          </w:p>
        </w:tc>
        <w:tc>
          <w:tcPr>
            <w:tcW w:w="2262" w:type="dxa"/>
            <w:tcBorders>
              <w:top w:val="single" w:sz="4" w:space="0" w:color="auto"/>
              <w:left w:val="single" w:sz="4" w:space="0" w:color="auto"/>
              <w:bottom w:val="single" w:sz="4" w:space="0" w:color="auto"/>
              <w:right w:val="single" w:sz="4" w:space="0" w:color="auto"/>
            </w:tcBorders>
          </w:tcPr>
          <w:p w14:paraId="6CFCA6F8"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 xml:space="preserve">121 (1.19) </w:t>
            </w:r>
          </w:p>
        </w:tc>
      </w:tr>
      <w:tr w:rsidR="002D3735" w:rsidRPr="00642A02" w14:paraId="2AB1CF23" w14:textId="77777777" w:rsidTr="005D0E34">
        <w:tc>
          <w:tcPr>
            <w:tcW w:w="2910" w:type="dxa"/>
            <w:tcBorders>
              <w:top w:val="single" w:sz="4" w:space="0" w:color="auto"/>
              <w:left w:val="single" w:sz="4" w:space="0" w:color="auto"/>
              <w:bottom w:val="single" w:sz="4" w:space="0" w:color="auto"/>
              <w:right w:val="single" w:sz="4" w:space="0" w:color="auto"/>
            </w:tcBorders>
          </w:tcPr>
          <w:p w14:paraId="60E733E0" w14:textId="77777777" w:rsidR="002D3735" w:rsidRPr="00406DFF" w:rsidRDefault="002D3735" w:rsidP="005D0E34">
            <w:pPr>
              <w:ind w:left="708"/>
              <w:rPr>
                <w:rFonts w:ascii="Times New Roman" w:hAnsi="Times New Roman" w:cs="Times New Roman"/>
                <w:sz w:val="20"/>
                <w:szCs w:val="20"/>
              </w:rPr>
            </w:pPr>
            <w:r w:rsidRPr="00406DFF">
              <w:rPr>
                <w:rFonts w:ascii="Times New Roman" w:hAnsi="Times New Roman" w:cs="Times New Roman"/>
                <w:i/>
                <w:sz w:val="20"/>
                <w:szCs w:val="20"/>
              </w:rPr>
              <w:t>CRNMB</w:t>
            </w:r>
          </w:p>
        </w:tc>
        <w:tc>
          <w:tcPr>
            <w:tcW w:w="2330" w:type="dxa"/>
            <w:tcBorders>
              <w:top w:val="single" w:sz="4" w:space="0" w:color="auto"/>
              <w:left w:val="single" w:sz="4" w:space="0" w:color="auto"/>
              <w:bottom w:val="single" w:sz="4" w:space="0" w:color="auto"/>
              <w:right w:val="single" w:sz="4" w:space="0" w:color="auto"/>
            </w:tcBorders>
          </w:tcPr>
          <w:p w14:paraId="20BE042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301 (1.34)</w:t>
            </w:r>
          </w:p>
        </w:tc>
        <w:tc>
          <w:tcPr>
            <w:tcW w:w="2126" w:type="dxa"/>
            <w:tcBorders>
              <w:top w:val="single" w:sz="4" w:space="0" w:color="auto"/>
              <w:left w:val="single" w:sz="4" w:space="0" w:color="auto"/>
              <w:bottom w:val="single" w:sz="4" w:space="0" w:color="auto"/>
              <w:right w:val="single" w:sz="4" w:space="0" w:color="auto"/>
            </w:tcBorders>
          </w:tcPr>
          <w:p w14:paraId="34B0FABF"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171 (1.41)</w:t>
            </w:r>
          </w:p>
        </w:tc>
        <w:tc>
          <w:tcPr>
            <w:tcW w:w="2262" w:type="dxa"/>
            <w:tcBorders>
              <w:top w:val="single" w:sz="4" w:space="0" w:color="auto"/>
              <w:left w:val="single" w:sz="4" w:space="0" w:color="auto"/>
              <w:bottom w:val="single" w:sz="4" w:space="0" w:color="auto"/>
              <w:right w:val="single" w:sz="4" w:space="0" w:color="auto"/>
            </w:tcBorders>
          </w:tcPr>
          <w:p w14:paraId="049030E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130 (1.28)</w:t>
            </w:r>
          </w:p>
        </w:tc>
      </w:tr>
      <w:tr w:rsidR="002D3735" w:rsidRPr="00642A02" w14:paraId="6A2A82FD" w14:textId="77777777" w:rsidTr="005D0E34">
        <w:tc>
          <w:tcPr>
            <w:tcW w:w="2910" w:type="dxa"/>
            <w:tcBorders>
              <w:top w:val="single" w:sz="4" w:space="0" w:color="auto"/>
              <w:left w:val="single" w:sz="4" w:space="0" w:color="auto"/>
              <w:bottom w:val="single" w:sz="4" w:space="0" w:color="auto"/>
              <w:right w:val="single" w:sz="4" w:space="0" w:color="auto"/>
            </w:tcBorders>
          </w:tcPr>
          <w:p w14:paraId="02643FCB"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lastRenderedPageBreak/>
              <w:t>Median Time to Bleedings, years [range]</w:t>
            </w:r>
          </w:p>
        </w:tc>
        <w:tc>
          <w:tcPr>
            <w:tcW w:w="2330" w:type="dxa"/>
            <w:tcBorders>
              <w:top w:val="single" w:sz="4" w:space="0" w:color="auto"/>
              <w:left w:val="single" w:sz="4" w:space="0" w:color="auto"/>
              <w:bottom w:val="single" w:sz="4" w:space="0" w:color="auto"/>
              <w:right w:val="single" w:sz="4" w:space="0" w:color="auto"/>
            </w:tcBorders>
          </w:tcPr>
          <w:p w14:paraId="5AF00C9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0.8 (0.1-7.0)</w:t>
            </w:r>
          </w:p>
        </w:tc>
        <w:tc>
          <w:tcPr>
            <w:tcW w:w="2126" w:type="dxa"/>
            <w:tcBorders>
              <w:top w:val="single" w:sz="4" w:space="0" w:color="auto"/>
              <w:left w:val="single" w:sz="4" w:space="0" w:color="auto"/>
              <w:bottom w:val="single" w:sz="4" w:space="0" w:color="auto"/>
              <w:right w:val="single" w:sz="4" w:space="0" w:color="auto"/>
            </w:tcBorders>
          </w:tcPr>
          <w:p w14:paraId="461EC48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1.2 (0.1-6.7)</w:t>
            </w:r>
          </w:p>
        </w:tc>
        <w:tc>
          <w:tcPr>
            <w:tcW w:w="2262" w:type="dxa"/>
            <w:tcBorders>
              <w:top w:val="single" w:sz="4" w:space="0" w:color="auto"/>
              <w:left w:val="single" w:sz="4" w:space="0" w:color="auto"/>
              <w:bottom w:val="single" w:sz="4" w:space="0" w:color="auto"/>
              <w:right w:val="single" w:sz="4" w:space="0" w:color="auto"/>
            </w:tcBorders>
          </w:tcPr>
          <w:p w14:paraId="25668C8B"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0.9 (0.1-5.8)</w:t>
            </w:r>
          </w:p>
        </w:tc>
      </w:tr>
      <w:tr w:rsidR="002D3735" w:rsidRPr="00642A02" w14:paraId="77E9FBD4" w14:textId="77777777" w:rsidTr="005D0E34">
        <w:tc>
          <w:tcPr>
            <w:tcW w:w="2910" w:type="dxa"/>
            <w:tcBorders>
              <w:top w:val="single" w:sz="4" w:space="0" w:color="auto"/>
              <w:left w:val="single" w:sz="4" w:space="0" w:color="auto"/>
              <w:bottom w:val="single" w:sz="4" w:space="0" w:color="auto"/>
              <w:right w:val="single" w:sz="4" w:space="0" w:color="auto"/>
            </w:tcBorders>
          </w:tcPr>
          <w:p w14:paraId="7BF02396" w14:textId="77777777" w:rsidR="002D3735" w:rsidRPr="00406DFF" w:rsidRDefault="002D3735" w:rsidP="005D0E34">
            <w:pPr>
              <w:rPr>
                <w:rFonts w:ascii="Times New Roman" w:hAnsi="Times New Roman" w:cs="Times New Roman"/>
                <w:sz w:val="20"/>
                <w:szCs w:val="20"/>
              </w:rPr>
            </w:pPr>
          </w:p>
        </w:tc>
        <w:tc>
          <w:tcPr>
            <w:tcW w:w="2330" w:type="dxa"/>
            <w:tcBorders>
              <w:top w:val="single" w:sz="4" w:space="0" w:color="auto"/>
              <w:left w:val="single" w:sz="4" w:space="0" w:color="auto"/>
              <w:bottom w:val="single" w:sz="4" w:space="0" w:color="auto"/>
              <w:right w:val="single" w:sz="4" w:space="0" w:color="auto"/>
            </w:tcBorders>
          </w:tcPr>
          <w:p w14:paraId="46921F1D" w14:textId="77777777" w:rsidR="002D3735" w:rsidRPr="00406DFF" w:rsidRDefault="002D3735" w:rsidP="005D0E34">
            <w:pPr>
              <w:jc w:val="center"/>
              <w:rPr>
                <w:rFonts w:ascii="Times New Roman" w:hAnsi="Times New Roman" w:cs="Times New Roman"/>
                <w:sz w:val="20"/>
                <w:szCs w:val="20"/>
              </w:rPr>
            </w:pPr>
          </w:p>
        </w:tc>
        <w:tc>
          <w:tcPr>
            <w:tcW w:w="2126" w:type="dxa"/>
            <w:tcBorders>
              <w:top w:val="single" w:sz="4" w:space="0" w:color="auto"/>
              <w:left w:val="single" w:sz="4" w:space="0" w:color="auto"/>
              <w:bottom w:val="single" w:sz="4" w:space="0" w:color="auto"/>
              <w:right w:val="single" w:sz="4" w:space="0" w:color="auto"/>
            </w:tcBorders>
          </w:tcPr>
          <w:p w14:paraId="6EC06B7B" w14:textId="77777777" w:rsidR="002D3735" w:rsidRPr="00406DFF" w:rsidRDefault="002D3735" w:rsidP="005D0E34">
            <w:pPr>
              <w:jc w:val="center"/>
              <w:rPr>
                <w:rFonts w:ascii="Times New Roman" w:hAnsi="Times New Roman" w:cs="Times New Roman"/>
                <w:sz w:val="20"/>
                <w:szCs w:val="20"/>
              </w:rPr>
            </w:pPr>
          </w:p>
        </w:tc>
        <w:tc>
          <w:tcPr>
            <w:tcW w:w="2262" w:type="dxa"/>
            <w:tcBorders>
              <w:top w:val="single" w:sz="4" w:space="0" w:color="auto"/>
              <w:left w:val="single" w:sz="4" w:space="0" w:color="auto"/>
              <w:bottom w:val="single" w:sz="4" w:space="0" w:color="auto"/>
              <w:right w:val="single" w:sz="4" w:space="0" w:color="auto"/>
            </w:tcBorders>
          </w:tcPr>
          <w:p w14:paraId="66E8469E" w14:textId="77777777" w:rsidR="002D3735" w:rsidRPr="00406DFF" w:rsidRDefault="002D3735" w:rsidP="005D0E34">
            <w:pPr>
              <w:jc w:val="center"/>
              <w:rPr>
                <w:rFonts w:ascii="Times New Roman" w:hAnsi="Times New Roman" w:cs="Times New Roman"/>
                <w:sz w:val="20"/>
                <w:szCs w:val="20"/>
              </w:rPr>
            </w:pPr>
          </w:p>
        </w:tc>
      </w:tr>
      <w:tr w:rsidR="002D3735" w:rsidRPr="00642A02" w14:paraId="47426AA6" w14:textId="77777777" w:rsidTr="005D0E34">
        <w:tc>
          <w:tcPr>
            <w:tcW w:w="2910" w:type="dxa"/>
            <w:tcBorders>
              <w:top w:val="single" w:sz="4" w:space="0" w:color="auto"/>
              <w:left w:val="single" w:sz="4" w:space="0" w:color="auto"/>
              <w:bottom w:val="single" w:sz="4" w:space="0" w:color="auto"/>
              <w:right w:val="single" w:sz="4" w:space="0" w:color="auto"/>
            </w:tcBorders>
          </w:tcPr>
          <w:p w14:paraId="666EEB73"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i/>
                <w:sz w:val="20"/>
                <w:szCs w:val="20"/>
              </w:rPr>
              <w:t>Thrombotic events</w:t>
            </w:r>
          </w:p>
        </w:tc>
        <w:tc>
          <w:tcPr>
            <w:tcW w:w="2330" w:type="dxa"/>
            <w:tcBorders>
              <w:top w:val="single" w:sz="4" w:space="0" w:color="auto"/>
              <w:left w:val="single" w:sz="4" w:space="0" w:color="auto"/>
              <w:bottom w:val="single" w:sz="4" w:space="0" w:color="auto"/>
              <w:right w:val="single" w:sz="4" w:space="0" w:color="auto"/>
            </w:tcBorders>
          </w:tcPr>
          <w:p w14:paraId="484B894C"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84 (0.37)</w:t>
            </w:r>
          </w:p>
        </w:tc>
        <w:tc>
          <w:tcPr>
            <w:tcW w:w="2126" w:type="dxa"/>
            <w:tcBorders>
              <w:top w:val="single" w:sz="4" w:space="0" w:color="auto"/>
              <w:left w:val="single" w:sz="4" w:space="0" w:color="auto"/>
              <w:bottom w:val="single" w:sz="4" w:space="0" w:color="auto"/>
              <w:right w:val="single" w:sz="4" w:space="0" w:color="auto"/>
            </w:tcBorders>
          </w:tcPr>
          <w:p w14:paraId="14DEFF61"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36 (0.30)</w:t>
            </w:r>
          </w:p>
        </w:tc>
        <w:tc>
          <w:tcPr>
            <w:tcW w:w="2262" w:type="dxa"/>
            <w:tcBorders>
              <w:top w:val="single" w:sz="4" w:space="0" w:color="auto"/>
              <w:left w:val="single" w:sz="4" w:space="0" w:color="auto"/>
              <w:bottom w:val="single" w:sz="4" w:space="0" w:color="auto"/>
              <w:right w:val="single" w:sz="4" w:space="0" w:color="auto"/>
            </w:tcBorders>
          </w:tcPr>
          <w:p w14:paraId="49F7ECC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48 (0.47)</w:t>
            </w:r>
          </w:p>
        </w:tc>
      </w:tr>
      <w:tr w:rsidR="002D3735" w:rsidRPr="00642A02" w14:paraId="00FA2BFF" w14:textId="77777777" w:rsidTr="005D0E34">
        <w:tc>
          <w:tcPr>
            <w:tcW w:w="2910" w:type="dxa"/>
            <w:tcBorders>
              <w:top w:val="single" w:sz="4" w:space="0" w:color="auto"/>
              <w:left w:val="single" w:sz="4" w:space="0" w:color="auto"/>
              <w:bottom w:val="single" w:sz="4" w:space="0" w:color="auto"/>
              <w:right w:val="single" w:sz="4" w:space="0" w:color="auto"/>
            </w:tcBorders>
          </w:tcPr>
          <w:p w14:paraId="5A024788" w14:textId="77777777" w:rsidR="002D3735" w:rsidRPr="00406DFF" w:rsidRDefault="002D3735" w:rsidP="005D0E34">
            <w:pPr>
              <w:ind w:left="708"/>
              <w:rPr>
                <w:rFonts w:ascii="Times New Roman" w:hAnsi="Times New Roman" w:cs="Times New Roman"/>
                <w:sz w:val="20"/>
                <w:szCs w:val="20"/>
              </w:rPr>
            </w:pPr>
            <w:r w:rsidRPr="00406DFF">
              <w:rPr>
                <w:rFonts w:ascii="Times New Roman" w:hAnsi="Times New Roman" w:cs="Times New Roman"/>
                <w:sz w:val="20"/>
                <w:szCs w:val="20"/>
              </w:rPr>
              <w:t>Stroke</w:t>
            </w:r>
          </w:p>
        </w:tc>
        <w:tc>
          <w:tcPr>
            <w:tcW w:w="2330" w:type="dxa"/>
            <w:tcBorders>
              <w:top w:val="single" w:sz="4" w:space="0" w:color="auto"/>
              <w:left w:val="single" w:sz="4" w:space="0" w:color="auto"/>
              <w:bottom w:val="single" w:sz="4" w:space="0" w:color="auto"/>
              <w:right w:val="single" w:sz="4" w:space="0" w:color="auto"/>
            </w:tcBorders>
          </w:tcPr>
          <w:p w14:paraId="247F157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52 (0.23)</w:t>
            </w:r>
          </w:p>
        </w:tc>
        <w:tc>
          <w:tcPr>
            <w:tcW w:w="2126" w:type="dxa"/>
            <w:tcBorders>
              <w:top w:val="single" w:sz="4" w:space="0" w:color="auto"/>
              <w:left w:val="single" w:sz="4" w:space="0" w:color="auto"/>
              <w:bottom w:val="single" w:sz="4" w:space="0" w:color="auto"/>
              <w:right w:val="single" w:sz="4" w:space="0" w:color="auto"/>
            </w:tcBorders>
          </w:tcPr>
          <w:p w14:paraId="3A66F64E"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21 (0.17)</w:t>
            </w:r>
          </w:p>
        </w:tc>
        <w:tc>
          <w:tcPr>
            <w:tcW w:w="2262" w:type="dxa"/>
            <w:tcBorders>
              <w:top w:val="single" w:sz="4" w:space="0" w:color="auto"/>
              <w:left w:val="single" w:sz="4" w:space="0" w:color="auto"/>
              <w:bottom w:val="single" w:sz="4" w:space="0" w:color="auto"/>
              <w:right w:val="single" w:sz="4" w:space="0" w:color="auto"/>
            </w:tcBorders>
          </w:tcPr>
          <w:p w14:paraId="1B03EF2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31 (0.30)</w:t>
            </w:r>
          </w:p>
        </w:tc>
      </w:tr>
      <w:tr w:rsidR="002D3735" w:rsidRPr="00642A02" w14:paraId="4CFC9155" w14:textId="77777777" w:rsidTr="005D0E34">
        <w:tc>
          <w:tcPr>
            <w:tcW w:w="2910" w:type="dxa"/>
            <w:tcBorders>
              <w:top w:val="single" w:sz="4" w:space="0" w:color="auto"/>
              <w:left w:val="single" w:sz="4" w:space="0" w:color="auto"/>
              <w:bottom w:val="single" w:sz="4" w:space="0" w:color="auto"/>
              <w:right w:val="single" w:sz="4" w:space="0" w:color="auto"/>
            </w:tcBorders>
          </w:tcPr>
          <w:p w14:paraId="1876890A"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sz w:val="20"/>
                <w:szCs w:val="20"/>
              </w:rPr>
              <w:t>Median Time to Stroke, years (range)</w:t>
            </w:r>
          </w:p>
        </w:tc>
        <w:tc>
          <w:tcPr>
            <w:tcW w:w="2330" w:type="dxa"/>
            <w:tcBorders>
              <w:top w:val="single" w:sz="4" w:space="0" w:color="auto"/>
              <w:left w:val="single" w:sz="4" w:space="0" w:color="auto"/>
              <w:bottom w:val="single" w:sz="4" w:space="0" w:color="auto"/>
              <w:right w:val="single" w:sz="4" w:space="0" w:color="auto"/>
            </w:tcBorders>
          </w:tcPr>
          <w:p w14:paraId="16740F57"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1.4 (0.1-7.0)</w:t>
            </w:r>
          </w:p>
        </w:tc>
        <w:tc>
          <w:tcPr>
            <w:tcW w:w="2126" w:type="dxa"/>
            <w:tcBorders>
              <w:top w:val="single" w:sz="4" w:space="0" w:color="auto"/>
              <w:left w:val="single" w:sz="4" w:space="0" w:color="auto"/>
              <w:bottom w:val="single" w:sz="4" w:space="0" w:color="auto"/>
              <w:right w:val="single" w:sz="4" w:space="0" w:color="auto"/>
            </w:tcBorders>
          </w:tcPr>
          <w:p w14:paraId="7D7D3F40"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1.3 (0.1-6.5)</w:t>
            </w:r>
          </w:p>
        </w:tc>
        <w:tc>
          <w:tcPr>
            <w:tcW w:w="2262" w:type="dxa"/>
            <w:tcBorders>
              <w:top w:val="single" w:sz="4" w:space="0" w:color="auto"/>
              <w:left w:val="single" w:sz="4" w:space="0" w:color="auto"/>
              <w:bottom w:val="single" w:sz="4" w:space="0" w:color="auto"/>
              <w:right w:val="single" w:sz="4" w:space="0" w:color="auto"/>
            </w:tcBorders>
          </w:tcPr>
          <w:p w14:paraId="48F07D1D"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1.2 (0.1-5.4)</w:t>
            </w:r>
          </w:p>
        </w:tc>
      </w:tr>
      <w:tr w:rsidR="002D3735" w:rsidRPr="00642A02" w14:paraId="3B0B476B" w14:textId="77777777" w:rsidTr="005D0E34">
        <w:tc>
          <w:tcPr>
            <w:tcW w:w="2910" w:type="dxa"/>
            <w:tcBorders>
              <w:top w:val="single" w:sz="4" w:space="0" w:color="auto"/>
              <w:left w:val="single" w:sz="4" w:space="0" w:color="auto"/>
              <w:bottom w:val="single" w:sz="4" w:space="0" w:color="auto"/>
              <w:right w:val="single" w:sz="4" w:space="0" w:color="auto"/>
            </w:tcBorders>
          </w:tcPr>
          <w:p w14:paraId="106054E1" w14:textId="77777777" w:rsidR="002D3735" w:rsidRPr="00406DFF" w:rsidRDefault="002D3735" w:rsidP="005D0E34">
            <w:pPr>
              <w:rPr>
                <w:rFonts w:ascii="Times New Roman" w:hAnsi="Times New Roman" w:cs="Times New Roman"/>
                <w:sz w:val="20"/>
                <w:szCs w:val="20"/>
              </w:rPr>
            </w:pPr>
          </w:p>
        </w:tc>
        <w:tc>
          <w:tcPr>
            <w:tcW w:w="2330" w:type="dxa"/>
            <w:tcBorders>
              <w:top w:val="single" w:sz="4" w:space="0" w:color="auto"/>
              <w:left w:val="single" w:sz="4" w:space="0" w:color="auto"/>
              <w:bottom w:val="single" w:sz="4" w:space="0" w:color="auto"/>
              <w:right w:val="single" w:sz="4" w:space="0" w:color="auto"/>
            </w:tcBorders>
          </w:tcPr>
          <w:p w14:paraId="5AA4FDE6" w14:textId="77777777" w:rsidR="002D3735" w:rsidRPr="00406DFF" w:rsidRDefault="002D3735" w:rsidP="005D0E34">
            <w:pPr>
              <w:jc w:val="center"/>
              <w:rPr>
                <w:rFonts w:ascii="Times New Roman" w:hAnsi="Times New Roman" w:cs="Times New Roman"/>
                <w:sz w:val="20"/>
                <w:szCs w:val="20"/>
              </w:rPr>
            </w:pPr>
          </w:p>
        </w:tc>
        <w:tc>
          <w:tcPr>
            <w:tcW w:w="2126" w:type="dxa"/>
            <w:tcBorders>
              <w:top w:val="single" w:sz="4" w:space="0" w:color="auto"/>
              <w:left w:val="single" w:sz="4" w:space="0" w:color="auto"/>
              <w:bottom w:val="single" w:sz="4" w:space="0" w:color="auto"/>
              <w:right w:val="single" w:sz="4" w:space="0" w:color="auto"/>
            </w:tcBorders>
          </w:tcPr>
          <w:p w14:paraId="06AD494F" w14:textId="77777777" w:rsidR="002D3735" w:rsidRPr="00406DFF" w:rsidRDefault="002D3735" w:rsidP="005D0E34">
            <w:pPr>
              <w:jc w:val="center"/>
              <w:rPr>
                <w:rFonts w:ascii="Times New Roman" w:hAnsi="Times New Roman" w:cs="Times New Roman"/>
                <w:sz w:val="20"/>
                <w:szCs w:val="20"/>
              </w:rPr>
            </w:pPr>
          </w:p>
        </w:tc>
        <w:tc>
          <w:tcPr>
            <w:tcW w:w="2262" w:type="dxa"/>
            <w:tcBorders>
              <w:top w:val="single" w:sz="4" w:space="0" w:color="auto"/>
              <w:left w:val="single" w:sz="4" w:space="0" w:color="auto"/>
              <w:bottom w:val="single" w:sz="4" w:space="0" w:color="auto"/>
              <w:right w:val="single" w:sz="4" w:space="0" w:color="auto"/>
            </w:tcBorders>
          </w:tcPr>
          <w:p w14:paraId="40E20CA1" w14:textId="77777777" w:rsidR="002D3735" w:rsidRPr="00406DFF" w:rsidRDefault="002D3735" w:rsidP="005D0E34">
            <w:pPr>
              <w:jc w:val="center"/>
              <w:rPr>
                <w:rFonts w:ascii="Times New Roman" w:hAnsi="Times New Roman" w:cs="Times New Roman"/>
                <w:sz w:val="20"/>
                <w:szCs w:val="20"/>
              </w:rPr>
            </w:pPr>
          </w:p>
        </w:tc>
      </w:tr>
      <w:tr w:rsidR="002D3735" w:rsidRPr="00642A02" w14:paraId="13DA8E64" w14:textId="77777777" w:rsidTr="005D0E34">
        <w:tc>
          <w:tcPr>
            <w:tcW w:w="2910" w:type="dxa"/>
            <w:tcBorders>
              <w:top w:val="single" w:sz="4" w:space="0" w:color="auto"/>
              <w:left w:val="single" w:sz="4" w:space="0" w:color="auto"/>
              <w:bottom w:val="single" w:sz="4" w:space="0" w:color="auto"/>
              <w:right w:val="single" w:sz="4" w:space="0" w:color="auto"/>
            </w:tcBorders>
          </w:tcPr>
          <w:p w14:paraId="3ABF9FED" w14:textId="77777777" w:rsidR="002D3735" w:rsidRPr="00406DFF" w:rsidRDefault="002D3735" w:rsidP="005D0E34">
            <w:pPr>
              <w:rPr>
                <w:rFonts w:ascii="Times New Roman" w:hAnsi="Times New Roman" w:cs="Times New Roman"/>
                <w:sz w:val="20"/>
                <w:szCs w:val="20"/>
              </w:rPr>
            </w:pPr>
            <w:r w:rsidRPr="00406DFF">
              <w:rPr>
                <w:rFonts w:ascii="Times New Roman" w:hAnsi="Times New Roman" w:cs="Times New Roman"/>
                <w:i/>
                <w:sz w:val="20"/>
                <w:szCs w:val="20"/>
              </w:rPr>
              <w:t>Death</w:t>
            </w:r>
          </w:p>
        </w:tc>
        <w:tc>
          <w:tcPr>
            <w:tcW w:w="2330" w:type="dxa"/>
            <w:tcBorders>
              <w:top w:val="single" w:sz="4" w:space="0" w:color="auto"/>
              <w:left w:val="single" w:sz="4" w:space="0" w:color="auto"/>
              <w:bottom w:val="single" w:sz="4" w:space="0" w:color="auto"/>
              <w:right w:val="single" w:sz="4" w:space="0" w:color="auto"/>
            </w:tcBorders>
          </w:tcPr>
          <w:p w14:paraId="64670895"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781 (3.50)</w:t>
            </w:r>
          </w:p>
        </w:tc>
        <w:tc>
          <w:tcPr>
            <w:tcW w:w="2126" w:type="dxa"/>
            <w:tcBorders>
              <w:top w:val="single" w:sz="4" w:space="0" w:color="auto"/>
              <w:left w:val="single" w:sz="4" w:space="0" w:color="auto"/>
              <w:bottom w:val="single" w:sz="4" w:space="0" w:color="auto"/>
              <w:right w:val="single" w:sz="4" w:space="0" w:color="auto"/>
            </w:tcBorders>
          </w:tcPr>
          <w:p w14:paraId="5FC132E3"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550 (4.54)</w:t>
            </w:r>
          </w:p>
        </w:tc>
        <w:tc>
          <w:tcPr>
            <w:tcW w:w="2262" w:type="dxa"/>
            <w:tcBorders>
              <w:top w:val="single" w:sz="4" w:space="0" w:color="auto"/>
              <w:left w:val="single" w:sz="4" w:space="0" w:color="auto"/>
              <w:bottom w:val="single" w:sz="4" w:space="0" w:color="auto"/>
              <w:right w:val="single" w:sz="4" w:space="0" w:color="auto"/>
            </w:tcBorders>
          </w:tcPr>
          <w:p w14:paraId="11CA2AD9" w14:textId="77777777" w:rsidR="002D3735" w:rsidRPr="00406DFF" w:rsidRDefault="002D3735" w:rsidP="005D0E34">
            <w:pPr>
              <w:jc w:val="center"/>
              <w:rPr>
                <w:rFonts w:ascii="Times New Roman" w:hAnsi="Times New Roman" w:cs="Times New Roman"/>
                <w:sz w:val="20"/>
                <w:szCs w:val="20"/>
              </w:rPr>
            </w:pPr>
            <w:r w:rsidRPr="00406DFF">
              <w:rPr>
                <w:rFonts w:ascii="Times New Roman" w:hAnsi="Times New Roman" w:cs="Times New Roman"/>
                <w:sz w:val="20"/>
                <w:szCs w:val="20"/>
              </w:rPr>
              <w:t>231 (2.28)</w:t>
            </w:r>
          </w:p>
        </w:tc>
      </w:tr>
    </w:tbl>
    <w:p w14:paraId="429557B6" w14:textId="20FF86B5" w:rsidR="002D3735" w:rsidRPr="00D87005" w:rsidRDefault="00D87005" w:rsidP="002D3735">
      <w:pPr>
        <w:rPr>
          <w:rFonts w:ascii="Times New Roman" w:hAnsi="Times New Roman" w:cs="Times New Roman"/>
          <w:i/>
          <w:iCs/>
        </w:rPr>
      </w:pPr>
      <w:r>
        <w:rPr>
          <w:rFonts w:ascii="Times New Roman" w:hAnsi="Times New Roman" w:cs="Times New Roman"/>
          <w:b/>
          <w:bCs/>
          <w:i/>
          <w:iCs/>
        </w:rPr>
        <w:br/>
      </w:r>
      <w:r w:rsidR="002D3735" w:rsidRPr="00D87005">
        <w:rPr>
          <w:rFonts w:ascii="Times New Roman" w:hAnsi="Times New Roman" w:cs="Times New Roman"/>
          <w:b/>
          <w:bCs/>
          <w:i/>
          <w:iCs/>
        </w:rPr>
        <w:t>Table 2.</w:t>
      </w:r>
      <w:r w:rsidR="002D3735" w:rsidRPr="00D87005">
        <w:rPr>
          <w:rFonts w:ascii="Times New Roman" w:hAnsi="Times New Roman" w:cs="Times New Roman"/>
          <w:i/>
          <w:iCs/>
        </w:rPr>
        <w:t xml:space="preserve"> Adverse events recorded during follow-up. CRNMB: Clinically Relevant Non-Major Bleeding</w:t>
      </w:r>
    </w:p>
    <w:p w14:paraId="2A24273B" w14:textId="77777777" w:rsidR="002D3735" w:rsidRPr="00C95EA2" w:rsidRDefault="002D3735" w:rsidP="002D3735">
      <w:pPr>
        <w:spacing w:line="480" w:lineRule="auto"/>
        <w:jc w:val="both"/>
        <w:rPr>
          <w:rFonts w:ascii="Times New Roman" w:hAnsi="Times New Roman" w:cs="Times New Roman"/>
          <w:color w:val="000000" w:themeColor="text1"/>
          <w:sz w:val="24"/>
          <w:szCs w:val="24"/>
        </w:rPr>
      </w:pPr>
    </w:p>
    <w:p w14:paraId="4801D767" w14:textId="77777777" w:rsidR="002D3735" w:rsidRPr="00C95EA2" w:rsidRDefault="002D3735" w:rsidP="002D3735">
      <w:pPr>
        <w:spacing w:line="480" w:lineRule="auto"/>
        <w:jc w:val="both"/>
        <w:rPr>
          <w:rFonts w:ascii="Times New Roman" w:hAnsi="Times New Roman" w:cs="Times New Roman"/>
          <w:b/>
          <w:bCs/>
          <w:color w:val="000000" w:themeColor="text1"/>
          <w:sz w:val="24"/>
          <w:szCs w:val="24"/>
        </w:rPr>
      </w:pPr>
      <w:r w:rsidRPr="00C95EA2">
        <w:rPr>
          <w:rFonts w:ascii="Times New Roman" w:hAnsi="Times New Roman" w:cs="Times New Roman"/>
          <w:b/>
          <w:bCs/>
          <w:color w:val="000000" w:themeColor="text1"/>
          <w:sz w:val="24"/>
          <w:szCs w:val="24"/>
        </w:rPr>
        <w:t>ML models discrimination</w:t>
      </w:r>
    </w:p>
    <w:p w14:paraId="09B16383" w14:textId="77777777" w:rsidR="002D3735" w:rsidRPr="00C95EA2" w:rsidRDefault="002D3735" w:rsidP="002D3735">
      <w:pPr>
        <w:spacing w:line="480" w:lineRule="auto"/>
        <w:jc w:val="both"/>
        <w:rPr>
          <w:rFonts w:ascii="Times New Roman" w:hAnsi="Times New Roman" w:cs="Times New Roman"/>
          <w:color w:val="000000" w:themeColor="text1"/>
          <w:sz w:val="24"/>
          <w:szCs w:val="24"/>
        </w:rPr>
      </w:pPr>
      <w:r w:rsidRPr="00C95EA2">
        <w:rPr>
          <w:rFonts w:ascii="Times New Roman" w:hAnsi="Times New Roman" w:cs="Times New Roman"/>
          <w:color w:val="000000" w:themeColor="text1"/>
          <w:sz w:val="24"/>
          <w:szCs w:val="24"/>
        </w:rPr>
        <w:t xml:space="preserve">The performance of ML models and logistic regression stepwise are </w:t>
      </w:r>
      <w:r>
        <w:rPr>
          <w:rFonts w:ascii="Times New Roman" w:hAnsi="Times New Roman" w:cs="Times New Roman"/>
          <w:color w:val="000000" w:themeColor="text1"/>
          <w:sz w:val="24"/>
          <w:szCs w:val="24"/>
        </w:rPr>
        <w:t>shown</w:t>
      </w:r>
      <w:r w:rsidRPr="00C95EA2">
        <w:rPr>
          <w:rFonts w:ascii="Times New Roman" w:hAnsi="Times New Roman" w:cs="Times New Roman"/>
          <w:color w:val="000000" w:themeColor="text1"/>
          <w:sz w:val="24"/>
          <w:szCs w:val="24"/>
        </w:rPr>
        <w:t xml:space="preserve"> in </w:t>
      </w:r>
      <w:r w:rsidRPr="00C95EA2">
        <w:rPr>
          <w:rFonts w:ascii="Times New Roman" w:hAnsi="Times New Roman" w:cs="Times New Roman"/>
          <w:b/>
          <w:bCs/>
          <w:i/>
          <w:iCs/>
          <w:color w:val="000000" w:themeColor="text1"/>
          <w:sz w:val="24"/>
          <w:szCs w:val="24"/>
        </w:rPr>
        <w:t>Table 3</w:t>
      </w:r>
      <w:r w:rsidRPr="00C95EA2">
        <w:rPr>
          <w:rFonts w:ascii="Times New Roman" w:hAnsi="Times New Roman" w:cs="Times New Roman"/>
          <w:color w:val="000000" w:themeColor="text1"/>
          <w:sz w:val="24"/>
          <w:szCs w:val="24"/>
        </w:rPr>
        <w:t xml:space="preserve">. The best performance models for each category and their comparison with clinical risk scores are </w:t>
      </w:r>
      <w:r>
        <w:rPr>
          <w:rFonts w:ascii="Times New Roman" w:hAnsi="Times New Roman" w:cs="Times New Roman"/>
          <w:color w:val="000000" w:themeColor="text1"/>
          <w:sz w:val="24"/>
          <w:szCs w:val="24"/>
        </w:rPr>
        <w:t>reported</w:t>
      </w:r>
      <w:r w:rsidRPr="00C95EA2">
        <w:rPr>
          <w:rFonts w:ascii="Times New Roman" w:hAnsi="Times New Roman" w:cs="Times New Roman"/>
          <w:color w:val="000000" w:themeColor="text1"/>
          <w:sz w:val="24"/>
          <w:szCs w:val="24"/>
        </w:rPr>
        <w:t xml:space="preserve"> in </w:t>
      </w:r>
      <w:r w:rsidRPr="00C95EA2">
        <w:rPr>
          <w:rFonts w:ascii="Times New Roman" w:hAnsi="Times New Roman" w:cs="Times New Roman"/>
          <w:b/>
          <w:bCs/>
          <w:i/>
          <w:iCs/>
          <w:color w:val="000000" w:themeColor="text1"/>
          <w:sz w:val="24"/>
          <w:szCs w:val="24"/>
        </w:rPr>
        <w:t>Table 4</w:t>
      </w:r>
      <w:r w:rsidRPr="00C95EA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In general</w:t>
      </w:r>
      <w:r w:rsidRPr="00C95EA2">
        <w:rPr>
          <w:rFonts w:ascii="Times New Roman" w:hAnsi="Times New Roman" w:cs="Times New Roman"/>
          <w:color w:val="000000" w:themeColor="text1"/>
          <w:sz w:val="24"/>
          <w:szCs w:val="24"/>
        </w:rPr>
        <w:t>, the AUC resulted higher for all</w:t>
      </w:r>
      <w:r>
        <w:rPr>
          <w:rFonts w:ascii="Times New Roman" w:hAnsi="Times New Roman" w:cs="Times New Roman"/>
          <w:color w:val="000000" w:themeColor="text1"/>
          <w:sz w:val="24"/>
          <w:szCs w:val="24"/>
        </w:rPr>
        <w:t>-</w:t>
      </w:r>
      <w:r w:rsidRPr="00C95EA2">
        <w:rPr>
          <w:rFonts w:ascii="Times New Roman" w:hAnsi="Times New Roman" w:cs="Times New Roman"/>
          <w:color w:val="000000" w:themeColor="text1"/>
          <w:sz w:val="24"/>
          <w:szCs w:val="24"/>
        </w:rPr>
        <w:t>cause death and lower for stroke prediction. MMoE outperformed other predictors on all tasks, except for major bleeding in DOAC-treated patients, in which GBDT outperformed all other predictors. Naïve multi-task provided the best prediction regarding ischemic stroke. In all items, outcome prediction provided by ML models resulted slightly higher in the ML model than in logistic stepwise regression, however, without reaching a statistical difference.</w:t>
      </w:r>
    </w:p>
    <w:p w14:paraId="75434AF0" w14:textId="77777777" w:rsidR="002D3735"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eastAsia="Times New Roman" w:hAnsi="Times New Roman" w:cs="Times New Roman"/>
          <w:bCs/>
          <w:color w:val="000000" w:themeColor="text1"/>
          <w:sz w:val="24"/>
          <w:szCs w:val="24"/>
        </w:rPr>
        <w:t xml:space="preserve">Using MMoE, a cross-validated AUC of 0.779 ± 0.016 was obtained for the prediction of all-cause death in the </w:t>
      </w:r>
      <w:r>
        <w:rPr>
          <w:rFonts w:ascii="Times New Roman" w:eastAsia="Times New Roman" w:hAnsi="Times New Roman" w:cs="Times New Roman"/>
          <w:bCs/>
          <w:color w:val="000000" w:themeColor="text1"/>
          <w:sz w:val="24"/>
          <w:szCs w:val="24"/>
        </w:rPr>
        <w:t>overall</w:t>
      </w:r>
      <w:r w:rsidRPr="00C95EA2">
        <w:rPr>
          <w:rFonts w:ascii="Times New Roman" w:eastAsia="Times New Roman" w:hAnsi="Times New Roman" w:cs="Times New Roman"/>
          <w:bCs/>
          <w:color w:val="000000" w:themeColor="text1"/>
          <w:sz w:val="24"/>
          <w:szCs w:val="24"/>
        </w:rPr>
        <w:t xml:space="preserve"> population; when restricting to DOAC and VKA patients, </w:t>
      </w:r>
      <w:r>
        <w:rPr>
          <w:rFonts w:ascii="Times New Roman" w:eastAsia="Times New Roman" w:hAnsi="Times New Roman" w:cs="Times New Roman"/>
          <w:bCs/>
          <w:color w:val="000000" w:themeColor="text1"/>
          <w:sz w:val="24"/>
          <w:szCs w:val="24"/>
        </w:rPr>
        <w:t xml:space="preserve">the </w:t>
      </w:r>
      <w:r w:rsidRPr="00C95EA2">
        <w:rPr>
          <w:rFonts w:ascii="Times New Roman" w:eastAsia="Times New Roman" w:hAnsi="Times New Roman" w:cs="Times New Roman"/>
          <w:bCs/>
          <w:color w:val="000000" w:themeColor="text1"/>
          <w:sz w:val="24"/>
          <w:szCs w:val="24"/>
        </w:rPr>
        <w:t xml:space="preserve">AUC </w:t>
      </w:r>
      <w:r>
        <w:rPr>
          <w:rFonts w:ascii="Times New Roman" w:eastAsia="Times New Roman" w:hAnsi="Times New Roman" w:cs="Times New Roman"/>
          <w:bCs/>
          <w:color w:val="000000" w:themeColor="text1"/>
          <w:sz w:val="24"/>
          <w:szCs w:val="24"/>
        </w:rPr>
        <w:t>resulted</w:t>
      </w:r>
      <w:r w:rsidRPr="00C95EA2">
        <w:rPr>
          <w:rFonts w:ascii="Times New Roman" w:eastAsia="Times New Roman" w:hAnsi="Times New Roman" w:cs="Times New Roman"/>
          <w:bCs/>
          <w:color w:val="000000" w:themeColor="text1"/>
          <w:sz w:val="24"/>
          <w:szCs w:val="24"/>
        </w:rPr>
        <w:t xml:space="preserve"> 0.733 ± 0.041 and 0.759 ± 0.026, respectively. AUC for the prediction of CV death in </w:t>
      </w:r>
      <w:r>
        <w:rPr>
          <w:rFonts w:ascii="Times New Roman" w:eastAsia="Times New Roman" w:hAnsi="Times New Roman" w:cs="Times New Roman"/>
          <w:bCs/>
          <w:color w:val="000000" w:themeColor="text1"/>
          <w:sz w:val="24"/>
          <w:szCs w:val="24"/>
        </w:rPr>
        <w:t>the overall population</w:t>
      </w:r>
      <w:r w:rsidRPr="00C95EA2">
        <w:rPr>
          <w:rFonts w:ascii="Times New Roman" w:eastAsia="Times New Roman" w:hAnsi="Times New Roman" w:cs="Times New Roman"/>
          <w:bCs/>
          <w:color w:val="000000" w:themeColor="text1"/>
          <w:sz w:val="24"/>
          <w:szCs w:val="24"/>
        </w:rPr>
        <w:t xml:space="preserve"> resulted in 0.741 ± 0.029, while the AUC obtained for DOAC and VKA patients were 0.733 ± 0.034 and 0.729 ± 0.020, respectively. </w:t>
      </w:r>
      <w:r>
        <w:rPr>
          <w:rFonts w:ascii="Times New Roman" w:eastAsia="Times New Roman" w:hAnsi="Times New Roman" w:cs="Times New Roman"/>
          <w:bCs/>
          <w:color w:val="000000" w:themeColor="text1"/>
          <w:sz w:val="24"/>
          <w:szCs w:val="24"/>
        </w:rPr>
        <w:t xml:space="preserve">For </w:t>
      </w:r>
      <w:r w:rsidRPr="00C95EA2">
        <w:rPr>
          <w:rFonts w:ascii="Times New Roman" w:eastAsia="Times New Roman" w:hAnsi="Times New Roman" w:cs="Times New Roman"/>
          <w:bCs/>
          <w:color w:val="000000" w:themeColor="text1"/>
          <w:sz w:val="24"/>
          <w:szCs w:val="24"/>
        </w:rPr>
        <w:t>major bleeding</w:t>
      </w:r>
      <w:r w:rsidRPr="000A028C">
        <w:rPr>
          <w:rFonts w:ascii="Times New Roman" w:eastAsia="Times New Roman" w:hAnsi="Times New Roman" w:cs="Times New Roman"/>
          <w:bCs/>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 xml:space="preserve">prediction, an AUC of 0.641 ± 0.020 was reached </w:t>
      </w:r>
      <w:r>
        <w:rPr>
          <w:rFonts w:ascii="Times New Roman" w:eastAsia="Times New Roman" w:hAnsi="Times New Roman" w:cs="Times New Roman"/>
          <w:bCs/>
          <w:color w:val="000000" w:themeColor="text1"/>
          <w:sz w:val="24"/>
          <w:szCs w:val="24"/>
        </w:rPr>
        <w:t>in the overall cohort</w:t>
      </w:r>
      <w:r w:rsidRPr="00C95EA2">
        <w:rPr>
          <w:rFonts w:ascii="Times New Roman" w:eastAsia="Times New Roman" w:hAnsi="Times New Roman" w:cs="Times New Roman"/>
          <w:bCs/>
          <w:color w:val="000000" w:themeColor="text1"/>
          <w:sz w:val="24"/>
          <w:szCs w:val="24"/>
        </w:rPr>
        <w:t xml:space="preserve">, while an AUC of 0.711 ± 0.029 for DOAC patients and 0.630 ± </w:t>
      </w:r>
      <w:r w:rsidRPr="00C95EA2">
        <w:rPr>
          <w:rFonts w:ascii="Times New Roman" w:eastAsia="Times New Roman" w:hAnsi="Times New Roman" w:cs="Times New Roman"/>
          <w:bCs/>
          <w:color w:val="000000" w:themeColor="text1"/>
          <w:sz w:val="24"/>
          <w:szCs w:val="24"/>
        </w:rPr>
        <w:lastRenderedPageBreak/>
        <w:t>0.037 for VKA patients was obtained. The Naïve multi-task model predicted stroke occurrence with an AUC of 0.606 ± 0.117, 0.566 ± 0.094 and 0.583 ± 0.047</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respectively</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for </w:t>
      </w:r>
      <w:r>
        <w:rPr>
          <w:rFonts w:ascii="Times New Roman" w:eastAsia="Times New Roman" w:hAnsi="Times New Roman" w:cs="Times New Roman"/>
          <w:bCs/>
          <w:color w:val="000000" w:themeColor="text1"/>
          <w:sz w:val="24"/>
          <w:szCs w:val="24"/>
        </w:rPr>
        <w:t>the overall</w:t>
      </w:r>
      <w:r w:rsidRPr="00C95EA2">
        <w:rPr>
          <w:rFonts w:ascii="Times New Roman" w:eastAsia="Times New Roman" w:hAnsi="Times New Roman" w:cs="Times New Roman"/>
          <w:bCs/>
          <w:color w:val="000000" w:themeColor="text1"/>
          <w:sz w:val="24"/>
          <w:szCs w:val="24"/>
        </w:rPr>
        <w:t>, VKA</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and DOAC </w:t>
      </w:r>
      <w:r>
        <w:rPr>
          <w:rFonts w:ascii="Times New Roman" w:eastAsia="Times New Roman" w:hAnsi="Times New Roman" w:cs="Times New Roman"/>
          <w:bCs/>
          <w:color w:val="000000" w:themeColor="text1"/>
          <w:sz w:val="24"/>
          <w:szCs w:val="24"/>
        </w:rPr>
        <w:t>populations</w:t>
      </w:r>
      <w:r w:rsidRPr="00C95EA2">
        <w:rPr>
          <w:rFonts w:ascii="Times New Roman" w:eastAsia="Times New Roman" w:hAnsi="Times New Roman" w:cs="Times New Roman"/>
          <w:bCs/>
          <w:color w:val="000000" w:themeColor="text1"/>
          <w:sz w:val="24"/>
          <w:szCs w:val="24"/>
        </w:rPr>
        <w:t xml:space="preserve">. </w:t>
      </w:r>
    </w:p>
    <w:tbl>
      <w:tblPr>
        <w:tblStyle w:val="Grigliatabella"/>
        <w:tblW w:w="0" w:type="auto"/>
        <w:tblInd w:w="0" w:type="dxa"/>
        <w:tblLook w:val="04A0" w:firstRow="1" w:lastRow="0" w:firstColumn="1" w:lastColumn="0" w:noHBand="0" w:noVBand="1"/>
      </w:tblPr>
      <w:tblGrid>
        <w:gridCol w:w="1244"/>
        <w:gridCol w:w="1421"/>
        <w:gridCol w:w="1318"/>
        <w:gridCol w:w="1409"/>
        <w:gridCol w:w="1409"/>
        <w:gridCol w:w="1409"/>
      </w:tblGrid>
      <w:tr w:rsidR="002D3735" w14:paraId="4F5848AD" w14:textId="77777777" w:rsidTr="005D0E34">
        <w:tc>
          <w:tcPr>
            <w:tcW w:w="1604" w:type="dxa"/>
          </w:tcPr>
          <w:p w14:paraId="7CF3334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All-cause death</w:t>
            </w:r>
          </w:p>
        </w:tc>
        <w:tc>
          <w:tcPr>
            <w:tcW w:w="1793" w:type="dxa"/>
          </w:tcPr>
          <w:p w14:paraId="19044986"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DOAC</w:t>
            </w:r>
          </w:p>
        </w:tc>
        <w:tc>
          <w:tcPr>
            <w:tcW w:w="1416" w:type="dxa"/>
          </w:tcPr>
          <w:p w14:paraId="54855BD7"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0.709</w:t>
            </w:r>
            <w:r w:rsidRPr="00925342">
              <w:rPr>
                <w:rFonts w:ascii="Times New Roman" w:eastAsia="Cambria" w:hAnsi="Times New Roman" w:cs="Times New Roman"/>
                <w:sz w:val="20"/>
              </w:rPr>
              <w:t>±</w:t>
            </w:r>
            <w:r w:rsidRPr="00925342">
              <w:rPr>
                <w:rFonts w:ascii="Times New Roman" w:hAnsi="Times New Roman" w:cs="Times New Roman"/>
                <w:sz w:val="20"/>
              </w:rPr>
              <w:t>0.030</w:t>
            </w:r>
          </w:p>
        </w:tc>
        <w:tc>
          <w:tcPr>
            <w:tcW w:w="1605" w:type="dxa"/>
          </w:tcPr>
          <w:p w14:paraId="1B212FDC"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0.691</w:t>
            </w:r>
            <w:r w:rsidRPr="00925342">
              <w:rPr>
                <w:rFonts w:ascii="Times New Roman" w:eastAsia="Cambria" w:hAnsi="Times New Roman" w:cs="Times New Roman"/>
                <w:sz w:val="20"/>
              </w:rPr>
              <w:t>±</w:t>
            </w:r>
            <w:r w:rsidRPr="00925342">
              <w:rPr>
                <w:rFonts w:ascii="Times New Roman" w:hAnsi="Times New Roman" w:cs="Times New Roman"/>
                <w:sz w:val="20"/>
              </w:rPr>
              <w:t>0.035</w:t>
            </w:r>
          </w:p>
        </w:tc>
        <w:tc>
          <w:tcPr>
            <w:tcW w:w="1605" w:type="dxa"/>
          </w:tcPr>
          <w:p w14:paraId="6335BBD9"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0.733</w:t>
            </w:r>
            <w:r w:rsidRPr="00925342">
              <w:rPr>
                <w:rFonts w:ascii="Times New Roman" w:eastAsia="Cambria" w:hAnsi="Times New Roman" w:cs="Times New Roman"/>
                <w:b/>
                <w:bCs/>
                <w:sz w:val="20"/>
              </w:rPr>
              <w:t>±</w:t>
            </w:r>
            <w:r w:rsidRPr="00925342">
              <w:rPr>
                <w:rFonts w:ascii="Times New Roman" w:hAnsi="Times New Roman" w:cs="Times New Roman"/>
                <w:b/>
                <w:bCs/>
                <w:sz w:val="20"/>
              </w:rPr>
              <w:t>0.041</w:t>
            </w:r>
          </w:p>
        </w:tc>
        <w:tc>
          <w:tcPr>
            <w:tcW w:w="1605" w:type="dxa"/>
          </w:tcPr>
          <w:p w14:paraId="1F746520"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0.723</w:t>
            </w:r>
            <w:r w:rsidRPr="00925342">
              <w:rPr>
                <w:rFonts w:ascii="Times New Roman" w:eastAsia="Cambria" w:hAnsi="Times New Roman" w:cs="Times New Roman"/>
                <w:sz w:val="20"/>
              </w:rPr>
              <w:t>±</w:t>
            </w:r>
            <w:r w:rsidRPr="00925342">
              <w:rPr>
                <w:rFonts w:ascii="Times New Roman" w:hAnsi="Times New Roman" w:cs="Times New Roman"/>
                <w:sz w:val="20"/>
              </w:rPr>
              <w:t>0.032</w:t>
            </w:r>
          </w:p>
        </w:tc>
      </w:tr>
      <w:tr w:rsidR="002D3735" w14:paraId="7619B450" w14:textId="77777777" w:rsidTr="005D0E34">
        <w:tc>
          <w:tcPr>
            <w:tcW w:w="1604" w:type="dxa"/>
          </w:tcPr>
          <w:p w14:paraId="08E8FCB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All-cause death</w:t>
            </w:r>
          </w:p>
        </w:tc>
        <w:tc>
          <w:tcPr>
            <w:tcW w:w="1793" w:type="dxa"/>
          </w:tcPr>
          <w:p w14:paraId="6D332F6C"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lang w:val="it-IT"/>
              </w:rPr>
              <w:t>VKA</w:t>
            </w:r>
          </w:p>
        </w:tc>
        <w:tc>
          <w:tcPr>
            <w:tcW w:w="1416" w:type="dxa"/>
          </w:tcPr>
          <w:p w14:paraId="5FAF3E9D"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 xml:space="preserve">0.74 </w:t>
            </w:r>
            <w:r w:rsidRPr="00925342">
              <w:rPr>
                <w:rFonts w:ascii="Times New Roman" w:eastAsia="Cambria" w:hAnsi="Times New Roman" w:cs="Times New Roman"/>
                <w:sz w:val="20"/>
              </w:rPr>
              <w:t>±</w:t>
            </w:r>
            <w:r w:rsidRPr="00925342">
              <w:rPr>
                <w:rFonts w:ascii="Times New Roman" w:hAnsi="Times New Roman" w:cs="Times New Roman"/>
                <w:sz w:val="20"/>
              </w:rPr>
              <w:t>0.021</w:t>
            </w:r>
          </w:p>
        </w:tc>
        <w:tc>
          <w:tcPr>
            <w:tcW w:w="1605" w:type="dxa"/>
          </w:tcPr>
          <w:p w14:paraId="6101FAF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0.704</w:t>
            </w:r>
            <w:r w:rsidRPr="00925342">
              <w:rPr>
                <w:rFonts w:ascii="Times New Roman" w:eastAsia="Cambria" w:hAnsi="Times New Roman" w:cs="Times New Roman"/>
                <w:sz w:val="20"/>
              </w:rPr>
              <w:t>±</w:t>
            </w:r>
            <w:r w:rsidRPr="00925342">
              <w:rPr>
                <w:rFonts w:ascii="Times New Roman" w:hAnsi="Times New Roman" w:cs="Times New Roman"/>
                <w:sz w:val="20"/>
              </w:rPr>
              <w:t>0.046</w:t>
            </w:r>
          </w:p>
        </w:tc>
        <w:tc>
          <w:tcPr>
            <w:tcW w:w="1605" w:type="dxa"/>
          </w:tcPr>
          <w:p w14:paraId="24054E6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w:t>
            </w:r>
            <w:r w:rsidRPr="00925342">
              <w:rPr>
                <w:rFonts w:ascii="Times New Roman" w:hAnsi="Times New Roman" w:cs="Times New Roman"/>
                <w:b/>
                <w:bCs/>
                <w:sz w:val="20"/>
                <w:lang w:val="it-IT"/>
              </w:rPr>
              <w:t>59</w:t>
            </w:r>
            <w:r w:rsidRPr="00925342">
              <w:rPr>
                <w:rFonts w:ascii="Times New Roman" w:eastAsia="Cambria" w:hAnsi="Times New Roman" w:cs="Times New Roman"/>
                <w:b/>
                <w:bCs/>
                <w:sz w:val="20"/>
              </w:rPr>
              <w:t>±</w:t>
            </w:r>
            <w:r w:rsidRPr="00925342">
              <w:rPr>
                <w:rFonts w:ascii="Times New Roman" w:hAnsi="Times New Roman" w:cs="Times New Roman"/>
                <w:b/>
                <w:bCs/>
                <w:sz w:val="20"/>
              </w:rPr>
              <w:t>0.0</w:t>
            </w:r>
            <w:r w:rsidRPr="00925342">
              <w:rPr>
                <w:rFonts w:ascii="Times New Roman" w:hAnsi="Times New Roman" w:cs="Times New Roman"/>
                <w:b/>
                <w:bCs/>
                <w:sz w:val="20"/>
                <w:lang w:val="it-IT"/>
              </w:rPr>
              <w:t>26</w:t>
            </w:r>
          </w:p>
        </w:tc>
        <w:tc>
          <w:tcPr>
            <w:tcW w:w="1605" w:type="dxa"/>
          </w:tcPr>
          <w:p w14:paraId="7A9D0D71"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0.707</w:t>
            </w:r>
            <w:r w:rsidRPr="00925342">
              <w:rPr>
                <w:rFonts w:ascii="Times New Roman" w:eastAsia="Cambria" w:hAnsi="Times New Roman" w:cs="Times New Roman"/>
                <w:sz w:val="20"/>
              </w:rPr>
              <w:t>±</w:t>
            </w:r>
            <w:r w:rsidRPr="00925342">
              <w:rPr>
                <w:rFonts w:ascii="Times New Roman" w:hAnsi="Times New Roman" w:cs="Times New Roman"/>
                <w:sz w:val="20"/>
              </w:rPr>
              <w:t>0.028</w:t>
            </w:r>
          </w:p>
        </w:tc>
      </w:tr>
      <w:tr w:rsidR="002D3735" w14:paraId="69FF7727" w14:textId="77777777" w:rsidTr="005D0E34">
        <w:tc>
          <w:tcPr>
            <w:tcW w:w="1604" w:type="dxa"/>
          </w:tcPr>
          <w:p w14:paraId="53276276"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CV death</w:t>
            </w:r>
          </w:p>
        </w:tc>
        <w:tc>
          <w:tcPr>
            <w:tcW w:w="1793" w:type="dxa"/>
          </w:tcPr>
          <w:p w14:paraId="28F93D62" w14:textId="77777777" w:rsidR="002D3735" w:rsidRPr="00925342" w:rsidRDefault="002D3735" w:rsidP="005D0E34">
            <w:pPr>
              <w:jc w:val="center"/>
              <w:rPr>
                <w:rFonts w:ascii="Times New Roman" w:hAnsi="Times New Roman" w:cs="Times New Roman"/>
              </w:rPr>
            </w:pPr>
            <w:r>
              <w:rPr>
                <w:rFonts w:ascii="Times New Roman" w:hAnsi="Times New Roman" w:cs="Times New Roman"/>
                <w:sz w:val="20"/>
              </w:rPr>
              <w:t>Overall</w:t>
            </w:r>
            <w:r w:rsidRPr="00925342">
              <w:rPr>
                <w:rFonts w:ascii="Times New Roman" w:hAnsi="Times New Roman" w:cs="Times New Roman"/>
                <w:sz w:val="20"/>
              </w:rPr>
              <w:t xml:space="preserve"> population</w:t>
            </w:r>
          </w:p>
        </w:tc>
        <w:tc>
          <w:tcPr>
            <w:tcW w:w="1416" w:type="dxa"/>
          </w:tcPr>
          <w:p w14:paraId="7CB49D62"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0.705</w:t>
            </w:r>
            <w:r w:rsidRPr="00925342">
              <w:rPr>
                <w:rFonts w:ascii="Times New Roman" w:eastAsia="Cambria" w:hAnsi="Times New Roman" w:cs="Times New Roman"/>
                <w:sz w:val="20"/>
              </w:rPr>
              <w:t>±</w:t>
            </w:r>
            <w:r w:rsidRPr="00925342">
              <w:rPr>
                <w:rFonts w:ascii="Times New Roman" w:hAnsi="Times New Roman" w:cs="Times New Roman"/>
                <w:sz w:val="20"/>
              </w:rPr>
              <w:t>0.037</w:t>
            </w:r>
          </w:p>
        </w:tc>
        <w:tc>
          <w:tcPr>
            <w:tcW w:w="1605" w:type="dxa"/>
          </w:tcPr>
          <w:p w14:paraId="3806AF10"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0.702</w:t>
            </w:r>
            <w:r w:rsidRPr="00925342">
              <w:rPr>
                <w:rFonts w:ascii="Times New Roman" w:eastAsia="Cambria" w:hAnsi="Times New Roman" w:cs="Times New Roman"/>
                <w:sz w:val="20"/>
              </w:rPr>
              <w:t>±</w:t>
            </w:r>
            <w:r w:rsidRPr="00925342">
              <w:rPr>
                <w:rFonts w:ascii="Times New Roman" w:hAnsi="Times New Roman" w:cs="Times New Roman"/>
                <w:sz w:val="20"/>
              </w:rPr>
              <w:t>0.034</w:t>
            </w:r>
          </w:p>
        </w:tc>
        <w:tc>
          <w:tcPr>
            <w:tcW w:w="1605" w:type="dxa"/>
          </w:tcPr>
          <w:p w14:paraId="7376D96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0.745</w:t>
            </w:r>
            <w:r w:rsidRPr="00925342">
              <w:rPr>
                <w:rFonts w:ascii="Times New Roman" w:eastAsia="Cambria" w:hAnsi="Times New Roman" w:cs="Times New Roman"/>
                <w:b/>
                <w:bCs/>
                <w:sz w:val="20"/>
              </w:rPr>
              <w:t>±</w:t>
            </w:r>
            <w:r w:rsidRPr="00925342">
              <w:rPr>
                <w:rFonts w:ascii="Times New Roman" w:hAnsi="Times New Roman" w:cs="Times New Roman"/>
                <w:b/>
                <w:bCs/>
                <w:sz w:val="20"/>
              </w:rPr>
              <w:t>0.022</w:t>
            </w:r>
          </w:p>
        </w:tc>
        <w:tc>
          <w:tcPr>
            <w:tcW w:w="1605" w:type="dxa"/>
          </w:tcPr>
          <w:p w14:paraId="317ED6B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0.735</w:t>
            </w:r>
            <w:r w:rsidRPr="00925342">
              <w:rPr>
                <w:rFonts w:ascii="Times New Roman" w:eastAsia="Cambria" w:hAnsi="Times New Roman" w:cs="Times New Roman"/>
                <w:sz w:val="20"/>
              </w:rPr>
              <w:t>±</w:t>
            </w:r>
            <w:r w:rsidRPr="00925342">
              <w:rPr>
                <w:rFonts w:ascii="Times New Roman" w:hAnsi="Times New Roman" w:cs="Times New Roman"/>
                <w:sz w:val="20"/>
              </w:rPr>
              <w:t>0.014</w:t>
            </w:r>
          </w:p>
        </w:tc>
      </w:tr>
      <w:tr w:rsidR="002D3735" w14:paraId="70E93B14" w14:textId="77777777" w:rsidTr="005D0E34">
        <w:tc>
          <w:tcPr>
            <w:tcW w:w="1604" w:type="dxa"/>
          </w:tcPr>
          <w:p w14:paraId="088B031D"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CV death</w:t>
            </w:r>
          </w:p>
        </w:tc>
        <w:tc>
          <w:tcPr>
            <w:tcW w:w="1793" w:type="dxa"/>
          </w:tcPr>
          <w:p w14:paraId="5803313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DOAC</w:t>
            </w:r>
          </w:p>
        </w:tc>
        <w:tc>
          <w:tcPr>
            <w:tcW w:w="1416" w:type="dxa"/>
          </w:tcPr>
          <w:p w14:paraId="0D852331"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0.649</w:t>
            </w:r>
            <w:r w:rsidRPr="00925342">
              <w:rPr>
                <w:rFonts w:ascii="Times New Roman" w:eastAsia="Cambria" w:hAnsi="Times New Roman" w:cs="Times New Roman"/>
                <w:sz w:val="20"/>
              </w:rPr>
              <w:t>±</w:t>
            </w:r>
            <w:r w:rsidRPr="00925342">
              <w:rPr>
                <w:rFonts w:ascii="Times New Roman" w:hAnsi="Times New Roman" w:cs="Times New Roman"/>
                <w:sz w:val="20"/>
              </w:rPr>
              <w:t>0.072</w:t>
            </w:r>
          </w:p>
        </w:tc>
        <w:tc>
          <w:tcPr>
            <w:tcW w:w="1605" w:type="dxa"/>
          </w:tcPr>
          <w:p w14:paraId="47A3D87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0.658</w:t>
            </w:r>
            <w:r w:rsidRPr="00925342">
              <w:rPr>
                <w:rFonts w:ascii="Times New Roman" w:eastAsia="Cambria" w:hAnsi="Times New Roman" w:cs="Times New Roman"/>
                <w:sz w:val="20"/>
              </w:rPr>
              <w:t>±</w:t>
            </w:r>
            <w:r w:rsidRPr="00925342">
              <w:rPr>
                <w:rFonts w:ascii="Times New Roman" w:hAnsi="Times New Roman" w:cs="Times New Roman"/>
                <w:sz w:val="20"/>
              </w:rPr>
              <w:t>0.041</w:t>
            </w:r>
          </w:p>
        </w:tc>
        <w:tc>
          <w:tcPr>
            <w:tcW w:w="1605" w:type="dxa"/>
          </w:tcPr>
          <w:p w14:paraId="73B3C92E"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0.733</w:t>
            </w:r>
            <w:r w:rsidRPr="00925342">
              <w:rPr>
                <w:rFonts w:ascii="Times New Roman" w:eastAsia="Cambria" w:hAnsi="Times New Roman" w:cs="Times New Roman"/>
                <w:b/>
                <w:bCs/>
                <w:sz w:val="20"/>
              </w:rPr>
              <w:t>±</w:t>
            </w:r>
            <w:r w:rsidRPr="00925342">
              <w:rPr>
                <w:rFonts w:ascii="Times New Roman" w:hAnsi="Times New Roman" w:cs="Times New Roman"/>
                <w:b/>
                <w:bCs/>
                <w:sz w:val="20"/>
              </w:rPr>
              <w:t>0.0</w:t>
            </w:r>
            <w:r w:rsidRPr="00925342">
              <w:rPr>
                <w:rFonts w:ascii="Times New Roman" w:hAnsi="Times New Roman" w:cs="Times New Roman"/>
                <w:b/>
                <w:bCs/>
                <w:sz w:val="20"/>
                <w:lang w:val="it-IT"/>
              </w:rPr>
              <w:t>34</w:t>
            </w:r>
          </w:p>
        </w:tc>
        <w:tc>
          <w:tcPr>
            <w:tcW w:w="1605" w:type="dxa"/>
          </w:tcPr>
          <w:p w14:paraId="5339F141"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0.661</w:t>
            </w:r>
            <w:r w:rsidRPr="00925342">
              <w:rPr>
                <w:rFonts w:ascii="Times New Roman" w:eastAsia="Cambria" w:hAnsi="Times New Roman" w:cs="Times New Roman"/>
                <w:sz w:val="20"/>
              </w:rPr>
              <w:t>±</w:t>
            </w:r>
            <w:r w:rsidRPr="00925342">
              <w:rPr>
                <w:rFonts w:ascii="Times New Roman" w:hAnsi="Times New Roman" w:cs="Times New Roman"/>
                <w:sz w:val="20"/>
              </w:rPr>
              <w:t>0.050</w:t>
            </w:r>
          </w:p>
        </w:tc>
      </w:tr>
      <w:tr w:rsidR="002D3735" w14:paraId="69CDF5B2" w14:textId="77777777" w:rsidTr="005D0E34">
        <w:tc>
          <w:tcPr>
            <w:tcW w:w="1604" w:type="dxa"/>
          </w:tcPr>
          <w:p w14:paraId="3E8C60C2"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CV death</w:t>
            </w:r>
          </w:p>
        </w:tc>
        <w:tc>
          <w:tcPr>
            <w:tcW w:w="1793" w:type="dxa"/>
          </w:tcPr>
          <w:p w14:paraId="2A68BAE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lang w:val="it-IT"/>
              </w:rPr>
              <w:t>VKA</w:t>
            </w:r>
          </w:p>
        </w:tc>
        <w:tc>
          <w:tcPr>
            <w:tcW w:w="1416" w:type="dxa"/>
          </w:tcPr>
          <w:p w14:paraId="0ED82F1B"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0.677</w:t>
            </w:r>
            <w:r w:rsidRPr="00925342">
              <w:rPr>
                <w:rFonts w:ascii="Times New Roman" w:eastAsia="Cambria" w:hAnsi="Times New Roman" w:cs="Times New Roman"/>
                <w:sz w:val="20"/>
              </w:rPr>
              <w:t>±</w:t>
            </w:r>
            <w:r w:rsidRPr="00925342">
              <w:rPr>
                <w:rFonts w:ascii="Times New Roman" w:hAnsi="Times New Roman" w:cs="Times New Roman"/>
                <w:sz w:val="20"/>
              </w:rPr>
              <w:t>0.074</w:t>
            </w:r>
          </w:p>
        </w:tc>
        <w:tc>
          <w:tcPr>
            <w:tcW w:w="1605" w:type="dxa"/>
          </w:tcPr>
          <w:p w14:paraId="1693CED7"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0.671</w:t>
            </w:r>
            <w:r w:rsidRPr="00925342">
              <w:rPr>
                <w:rFonts w:ascii="Times New Roman" w:eastAsia="Cambria" w:hAnsi="Times New Roman" w:cs="Times New Roman"/>
                <w:sz w:val="20"/>
              </w:rPr>
              <w:t>±</w:t>
            </w:r>
            <w:r w:rsidRPr="00925342">
              <w:rPr>
                <w:rFonts w:ascii="Times New Roman" w:hAnsi="Times New Roman" w:cs="Times New Roman"/>
                <w:sz w:val="20"/>
              </w:rPr>
              <w:t>0.043</w:t>
            </w:r>
          </w:p>
        </w:tc>
        <w:tc>
          <w:tcPr>
            <w:tcW w:w="1605" w:type="dxa"/>
          </w:tcPr>
          <w:p w14:paraId="3F72D22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0.729</w:t>
            </w:r>
            <w:r w:rsidRPr="00925342">
              <w:rPr>
                <w:rFonts w:ascii="Times New Roman" w:eastAsia="Cambria" w:hAnsi="Times New Roman" w:cs="Times New Roman"/>
                <w:b/>
                <w:bCs/>
                <w:sz w:val="20"/>
              </w:rPr>
              <w:t>±</w:t>
            </w:r>
            <w:r w:rsidRPr="00925342">
              <w:rPr>
                <w:rFonts w:ascii="Times New Roman" w:hAnsi="Times New Roman" w:cs="Times New Roman"/>
                <w:b/>
                <w:bCs/>
                <w:sz w:val="20"/>
              </w:rPr>
              <w:t>0.020</w:t>
            </w:r>
          </w:p>
        </w:tc>
        <w:tc>
          <w:tcPr>
            <w:tcW w:w="1605" w:type="dxa"/>
          </w:tcPr>
          <w:p w14:paraId="32F48639"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0.695</w:t>
            </w:r>
            <w:r w:rsidRPr="00925342">
              <w:rPr>
                <w:rFonts w:ascii="Times New Roman" w:eastAsia="Cambria" w:hAnsi="Times New Roman" w:cs="Times New Roman"/>
                <w:sz w:val="20"/>
              </w:rPr>
              <w:t>±</w:t>
            </w:r>
            <w:r w:rsidRPr="00925342">
              <w:rPr>
                <w:rFonts w:ascii="Times New Roman" w:hAnsi="Times New Roman" w:cs="Times New Roman"/>
                <w:sz w:val="20"/>
              </w:rPr>
              <w:t>0.051</w:t>
            </w:r>
          </w:p>
        </w:tc>
      </w:tr>
      <w:tr w:rsidR="002D3735" w14:paraId="6EFDD77E" w14:textId="77777777" w:rsidTr="005D0E34">
        <w:tc>
          <w:tcPr>
            <w:tcW w:w="1604" w:type="dxa"/>
          </w:tcPr>
          <w:p w14:paraId="1D57A853"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Major bleeding</w:t>
            </w:r>
          </w:p>
        </w:tc>
        <w:tc>
          <w:tcPr>
            <w:tcW w:w="1793" w:type="dxa"/>
          </w:tcPr>
          <w:p w14:paraId="46E138E4" w14:textId="77777777" w:rsidR="002D3735" w:rsidRPr="00925342" w:rsidRDefault="002D3735" w:rsidP="005D0E34">
            <w:pPr>
              <w:jc w:val="center"/>
              <w:rPr>
                <w:rFonts w:ascii="Times New Roman" w:hAnsi="Times New Roman" w:cs="Times New Roman"/>
              </w:rPr>
            </w:pPr>
            <w:r>
              <w:rPr>
                <w:rFonts w:ascii="Times New Roman" w:hAnsi="Times New Roman" w:cs="Times New Roman"/>
                <w:sz w:val="20"/>
              </w:rPr>
              <w:t>Overall</w:t>
            </w:r>
            <w:r w:rsidRPr="00925342">
              <w:rPr>
                <w:rFonts w:ascii="Times New Roman" w:hAnsi="Times New Roman" w:cs="Times New Roman"/>
                <w:sz w:val="20"/>
              </w:rPr>
              <w:t xml:space="preserve"> population</w:t>
            </w:r>
          </w:p>
        </w:tc>
        <w:tc>
          <w:tcPr>
            <w:tcW w:w="1416" w:type="dxa"/>
          </w:tcPr>
          <w:p w14:paraId="49505A4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0.619</w:t>
            </w:r>
            <w:r w:rsidRPr="00925342">
              <w:rPr>
                <w:rFonts w:ascii="Times New Roman" w:eastAsia="Cambria" w:hAnsi="Times New Roman" w:cs="Times New Roman"/>
                <w:sz w:val="20"/>
              </w:rPr>
              <w:t>±</w:t>
            </w:r>
            <w:r w:rsidRPr="00925342">
              <w:rPr>
                <w:rFonts w:ascii="Times New Roman" w:hAnsi="Times New Roman" w:cs="Times New Roman"/>
                <w:sz w:val="20"/>
              </w:rPr>
              <w:t>0.031</w:t>
            </w:r>
          </w:p>
        </w:tc>
        <w:tc>
          <w:tcPr>
            <w:tcW w:w="1605" w:type="dxa"/>
          </w:tcPr>
          <w:p w14:paraId="2AA3E1E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0.592</w:t>
            </w:r>
            <w:r w:rsidRPr="00925342">
              <w:rPr>
                <w:rFonts w:ascii="Times New Roman" w:eastAsia="Cambria" w:hAnsi="Times New Roman" w:cs="Times New Roman"/>
                <w:sz w:val="20"/>
              </w:rPr>
              <w:t>±</w:t>
            </w:r>
            <w:r w:rsidRPr="00925342">
              <w:rPr>
                <w:rFonts w:ascii="Times New Roman" w:hAnsi="Times New Roman" w:cs="Times New Roman"/>
                <w:sz w:val="20"/>
              </w:rPr>
              <w:t>0.026</w:t>
            </w:r>
          </w:p>
        </w:tc>
        <w:tc>
          <w:tcPr>
            <w:tcW w:w="1605" w:type="dxa"/>
          </w:tcPr>
          <w:p w14:paraId="6C1F51A2"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0.641</w:t>
            </w:r>
            <w:r w:rsidRPr="00925342">
              <w:rPr>
                <w:rFonts w:ascii="Times New Roman" w:eastAsia="Cambria" w:hAnsi="Times New Roman" w:cs="Times New Roman"/>
                <w:b/>
                <w:bCs/>
                <w:sz w:val="20"/>
              </w:rPr>
              <w:t>±</w:t>
            </w:r>
            <w:r w:rsidRPr="00925342">
              <w:rPr>
                <w:rFonts w:ascii="Times New Roman" w:hAnsi="Times New Roman" w:cs="Times New Roman"/>
                <w:b/>
                <w:bCs/>
                <w:sz w:val="20"/>
              </w:rPr>
              <w:t>0.020</w:t>
            </w:r>
          </w:p>
        </w:tc>
        <w:tc>
          <w:tcPr>
            <w:tcW w:w="1605" w:type="dxa"/>
          </w:tcPr>
          <w:p w14:paraId="088B9C7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0.628</w:t>
            </w:r>
            <w:r w:rsidRPr="00925342">
              <w:rPr>
                <w:rFonts w:ascii="Times New Roman" w:eastAsia="Cambria" w:hAnsi="Times New Roman" w:cs="Times New Roman"/>
                <w:sz w:val="20"/>
              </w:rPr>
              <w:t>±</w:t>
            </w:r>
            <w:r w:rsidRPr="00925342">
              <w:rPr>
                <w:rFonts w:ascii="Times New Roman" w:hAnsi="Times New Roman" w:cs="Times New Roman"/>
                <w:sz w:val="20"/>
              </w:rPr>
              <w:t>0.013</w:t>
            </w:r>
          </w:p>
        </w:tc>
      </w:tr>
      <w:tr w:rsidR="002D3735" w14:paraId="10E7D0EA" w14:textId="77777777" w:rsidTr="005D0E34">
        <w:tc>
          <w:tcPr>
            <w:tcW w:w="1604" w:type="dxa"/>
          </w:tcPr>
          <w:p w14:paraId="1B40F64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Major bleeding</w:t>
            </w:r>
          </w:p>
        </w:tc>
        <w:tc>
          <w:tcPr>
            <w:tcW w:w="1793" w:type="dxa"/>
          </w:tcPr>
          <w:p w14:paraId="26360027"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DOAC</w:t>
            </w:r>
          </w:p>
        </w:tc>
        <w:tc>
          <w:tcPr>
            <w:tcW w:w="1416" w:type="dxa"/>
          </w:tcPr>
          <w:p w14:paraId="00B0AEA4"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0.711</w:t>
            </w:r>
            <w:r w:rsidRPr="00925342">
              <w:rPr>
                <w:rFonts w:ascii="Times New Roman" w:eastAsia="Cambria" w:hAnsi="Times New Roman" w:cs="Times New Roman"/>
                <w:b/>
                <w:bCs/>
                <w:sz w:val="20"/>
              </w:rPr>
              <w:t>±</w:t>
            </w:r>
            <w:r w:rsidRPr="00925342">
              <w:rPr>
                <w:rFonts w:ascii="Times New Roman" w:hAnsi="Times New Roman" w:cs="Times New Roman"/>
                <w:b/>
                <w:bCs/>
                <w:sz w:val="20"/>
              </w:rPr>
              <w:t>0.029</w:t>
            </w:r>
          </w:p>
        </w:tc>
        <w:tc>
          <w:tcPr>
            <w:tcW w:w="1605" w:type="dxa"/>
          </w:tcPr>
          <w:p w14:paraId="15286E39"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0.672</w:t>
            </w:r>
            <w:r w:rsidRPr="00925342">
              <w:rPr>
                <w:rFonts w:ascii="Times New Roman" w:eastAsia="Cambria" w:hAnsi="Times New Roman" w:cs="Times New Roman"/>
                <w:sz w:val="20"/>
              </w:rPr>
              <w:t>±</w:t>
            </w:r>
            <w:r w:rsidRPr="00925342">
              <w:rPr>
                <w:rFonts w:ascii="Times New Roman" w:hAnsi="Times New Roman" w:cs="Times New Roman"/>
                <w:sz w:val="20"/>
              </w:rPr>
              <w:t>0.045</w:t>
            </w:r>
          </w:p>
        </w:tc>
        <w:tc>
          <w:tcPr>
            <w:tcW w:w="1605" w:type="dxa"/>
          </w:tcPr>
          <w:p w14:paraId="4B192D5D"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0.689</w:t>
            </w:r>
            <w:r w:rsidRPr="00925342">
              <w:rPr>
                <w:rFonts w:ascii="Times New Roman" w:eastAsia="Cambria" w:hAnsi="Times New Roman" w:cs="Times New Roman"/>
                <w:sz w:val="20"/>
              </w:rPr>
              <w:t>±</w:t>
            </w:r>
            <w:r w:rsidRPr="00925342">
              <w:rPr>
                <w:rFonts w:ascii="Times New Roman" w:hAnsi="Times New Roman" w:cs="Times New Roman"/>
                <w:sz w:val="20"/>
              </w:rPr>
              <w:t>0.069</w:t>
            </w:r>
          </w:p>
        </w:tc>
        <w:tc>
          <w:tcPr>
            <w:tcW w:w="1605" w:type="dxa"/>
          </w:tcPr>
          <w:p w14:paraId="1FEE380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0.685</w:t>
            </w:r>
            <w:r w:rsidRPr="00925342">
              <w:rPr>
                <w:rFonts w:ascii="Times New Roman" w:eastAsia="Cambria" w:hAnsi="Times New Roman" w:cs="Times New Roman"/>
                <w:sz w:val="20"/>
              </w:rPr>
              <w:t>±</w:t>
            </w:r>
            <w:r w:rsidRPr="00925342">
              <w:rPr>
                <w:rFonts w:ascii="Times New Roman" w:hAnsi="Times New Roman" w:cs="Times New Roman"/>
                <w:sz w:val="20"/>
              </w:rPr>
              <w:t>0.041</w:t>
            </w:r>
          </w:p>
        </w:tc>
      </w:tr>
      <w:tr w:rsidR="002D3735" w14:paraId="6AC7A8CA" w14:textId="77777777" w:rsidTr="005D0E34">
        <w:tc>
          <w:tcPr>
            <w:tcW w:w="1604" w:type="dxa"/>
          </w:tcPr>
          <w:p w14:paraId="28466438"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Major bleeding</w:t>
            </w:r>
          </w:p>
        </w:tc>
        <w:tc>
          <w:tcPr>
            <w:tcW w:w="1793" w:type="dxa"/>
          </w:tcPr>
          <w:p w14:paraId="2F7F8F90"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lang w:val="it-IT"/>
              </w:rPr>
              <w:t>VKA</w:t>
            </w:r>
          </w:p>
        </w:tc>
        <w:tc>
          <w:tcPr>
            <w:tcW w:w="1416" w:type="dxa"/>
          </w:tcPr>
          <w:p w14:paraId="4BB34B46"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0.625</w:t>
            </w:r>
            <w:r w:rsidRPr="00925342">
              <w:rPr>
                <w:rFonts w:ascii="Times New Roman" w:eastAsia="Cambria" w:hAnsi="Times New Roman" w:cs="Times New Roman"/>
                <w:sz w:val="20"/>
              </w:rPr>
              <w:t>±</w:t>
            </w:r>
            <w:r w:rsidRPr="00925342">
              <w:rPr>
                <w:rFonts w:ascii="Times New Roman" w:hAnsi="Times New Roman" w:cs="Times New Roman"/>
                <w:sz w:val="20"/>
              </w:rPr>
              <w:t>0.041</w:t>
            </w:r>
          </w:p>
        </w:tc>
        <w:tc>
          <w:tcPr>
            <w:tcW w:w="1605" w:type="dxa"/>
          </w:tcPr>
          <w:p w14:paraId="385B8C9B"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0.594</w:t>
            </w:r>
            <w:r w:rsidRPr="00925342">
              <w:rPr>
                <w:rFonts w:ascii="Times New Roman" w:eastAsia="Cambria" w:hAnsi="Times New Roman" w:cs="Times New Roman"/>
                <w:sz w:val="20"/>
              </w:rPr>
              <w:t>±</w:t>
            </w:r>
            <w:r w:rsidRPr="00925342">
              <w:rPr>
                <w:rFonts w:ascii="Times New Roman" w:hAnsi="Times New Roman" w:cs="Times New Roman"/>
                <w:sz w:val="20"/>
              </w:rPr>
              <w:t>0.012</w:t>
            </w:r>
          </w:p>
        </w:tc>
        <w:tc>
          <w:tcPr>
            <w:tcW w:w="1605" w:type="dxa"/>
          </w:tcPr>
          <w:p w14:paraId="2B2DD76C"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0.630</w:t>
            </w:r>
            <w:r w:rsidRPr="00925342">
              <w:rPr>
                <w:rFonts w:ascii="Times New Roman" w:eastAsia="Cambria" w:hAnsi="Times New Roman" w:cs="Times New Roman"/>
                <w:b/>
                <w:bCs/>
                <w:sz w:val="20"/>
              </w:rPr>
              <w:t>±</w:t>
            </w:r>
            <w:r w:rsidRPr="00925342">
              <w:rPr>
                <w:rFonts w:ascii="Times New Roman" w:hAnsi="Times New Roman" w:cs="Times New Roman"/>
                <w:b/>
                <w:bCs/>
                <w:sz w:val="20"/>
              </w:rPr>
              <w:t>0.037</w:t>
            </w:r>
          </w:p>
        </w:tc>
        <w:tc>
          <w:tcPr>
            <w:tcW w:w="1605" w:type="dxa"/>
          </w:tcPr>
          <w:p w14:paraId="18AE1E28"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0.610</w:t>
            </w:r>
            <w:r w:rsidRPr="00925342">
              <w:rPr>
                <w:rFonts w:ascii="Times New Roman" w:eastAsia="Cambria" w:hAnsi="Times New Roman" w:cs="Times New Roman"/>
                <w:sz w:val="20"/>
              </w:rPr>
              <w:t>±</w:t>
            </w:r>
            <w:r w:rsidRPr="00925342">
              <w:rPr>
                <w:rFonts w:ascii="Times New Roman" w:hAnsi="Times New Roman" w:cs="Times New Roman"/>
                <w:sz w:val="20"/>
              </w:rPr>
              <w:t>0.022</w:t>
            </w:r>
          </w:p>
        </w:tc>
      </w:tr>
      <w:tr w:rsidR="002D3735" w14:paraId="4C5A7861" w14:textId="77777777" w:rsidTr="005D0E34">
        <w:tc>
          <w:tcPr>
            <w:tcW w:w="1604" w:type="dxa"/>
          </w:tcPr>
          <w:p w14:paraId="08A3396F"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Stroke</w:t>
            </w:r>
          </w:p>
        </w:tc>
        <w:tc>
          <w:tcPr>
            <w:tcW w:w="1793" w:type="dxa"/>
          </w:tcPr>
          <w:p w14:paraId="78DF0819" w14:textId="77777777" w:rsidR="002D3735" w:rsidRPr="00925342" w:rsidRDefault="002D3735" w:rsidP="005D0E34">
            <w:pPr>
              <w:jc w:val="center"/>
              <w:rPr>
                <w:rFonts w:ascii="Times New Roman" w:hAnsi="Times New Roman" w:cs="Times New Roman"/>
              </w:rPr>
            </w:pPr>
            <w:r>
              <w:rPr>
                <w:rFonts w:ascii="Times New Roman" w:hAnsi="Times New Roman" w:cs="Times New Roman"/>
                <w:sz w:val="20"/>
              </w:rPr>
              <w:t>Overall</w:t>
            </w:r>
            <w:r w:rsidRPr="00925342">
              <w:rPr>
                <w:rFonts w:ascii="Times New Roman" w:hAnsi="Times New Roman" w:cs="Times New Roman"/>
                <w:sz w:val="20"/>
              </w:rPr>
              <w:t xml:space="preserve"> population</w:t>
            </w:r>
          </w:p>
        </w:tc>
        <w:tc>
          <w:tcPr>
            <w:tcW w:w="1416" w:type="dxa"/>
          </w:tcPr>
          <w:p w14:paraId="1F46B0CD"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0.559</w:t>
            </w:r>
            <w:r w:rsidRPr="00925342">
              <w:rPr>
                <w:rFonts w:ascii="Times New Roman" w:eastAsia="Cambria" w:hAnsi="Times New Roman" w:cs="Times New Roman"/>
                <w:sz w:val="20"/>
              </w:rPr>
              <w:t>±</w:t>
            </w:r>
            <w:r w:rsidRPr="00925342">
              <w:rPr>
                <w:rFonts w:ascii="Times New Roman" w:hAnsi="Times New Roman" w:cs="Times New Roman"/>
                <w:sz w:val="20"/>
              </w:rPr>
              <w:t>0.055</w:t>
            </w:r>
          </w:p>
        </w:tc>
        <w:tc>
          <w:tcPr>
            <w:tcW w:w="1605" w:type="dxa"/>
          </w:tcPr>
          <w:p w14:paraId="75F97CEA"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0.583</w:t>
            </w:r>
            <w:r w:rsidRPr="00925342">
              <w:rPr>
                <w:rFonts w:ascii="Times New Roman" w:eastAsia="Cambria" w:hAnsi="Times New Roman" w:cs="Times New Roman"/>
                <w:b/>
                <w:bCs/>
                <w:sz w:val="20"/>
              </w:rPr>
              <w:t>±</w:t>
            </w:r>
            <w:r w:rsidRPr="00925342">
              <w:rPr>
                <w:rFonts w:ascii="Times New Roman" w:hAnsi="Times New Roman" w:cs="Times New Roman"/>
                <w:b/>
                <w:bCs/>
                <w:sz w:val="20"/>
              </w:rPr>
              <w:t>0.047</w:t>
            </w:r>
          </w:p>
        </w:tc>
        <w:tc>
          <w:tcPr>
            <w:tcW w:w="1605" w:type="dxa"/>
          </w:tcPr>
          <w:p w14:paraId="7F3A120B"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0.559</w:t>
            </w:r>
            <w:r w:rsidRPr="00925342">
              <w:rPr>
                <w:rFonts w:ascii="Times New Roman" w:eastAsia="Cambria" w:hAnsi="Times New Roman" w:cs="Times New Roman"/>
                <w:sz w:val="20"/>
              </w:rPr>
              <w:t>±</w:t>
            </w:r>
            <w:r w:rsidRPr="00925342">
              <w:rPr>
                <w:rFonts w:ascii="Times New Roman" w:hAnsi="Times New Roman" w:cs="Times New Roman"/>
                <w:sz w:val="20"/>
              </w:rPr>
              <w:t>0.061</w:t>
            </w:r>
          </w:p>
        </w:tc>
        <w:tc>
          <w:tcPr>
            <w:tcW w:w="1605" w:type="dxa"/>
          </w:tcPr>
          <w:p w14:paraId="71D325B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0.559</w:t>
            </w:r>
            <w:r w:rsidRPr="00925342">
              <w:rPr>
                <w:rFonts w:ascii="Times New Roman" w:eastAsia="Cambria" w:hAnsi="Times New Roman" w:cs="Times New Roman"/>
                <w:sz w:val="20"/>
              </w:rPr>
              <w:t>±</w:t>
            </w:r>
            <w:r w:rsidRPr="00925342">
              <w:rPr>
                <w:rFonts w:ascii="Times New Roman" w:hAnsi="Times New Roman" w:cs="Times New Roman"/>
                <w:sz w:val="20"/>
              </w:rPr>
              <w:t>0.055</w:t>
            </w:r>
          </w:p>
        </w:tc>
      </w:tr>
      <w:tr w:rsidR="002D3735" w14:paraId="169BBDC1" w14:textId="77777777" w:rsidTr="005D0E34">
        <w:tc>
          <w:tcPr>
            <w:tcW w:w="1604" w:type="dxa"/>
          </w:tcPr>
          <w:p w14:paraId="45C9032B"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Stroke</w:t>
            </w:r>
          </w:p>
        </w:tc>
        <w:tc>
          <w:tcPr>
            <w:tcW w:w="1793" w:type="dxa"/>
          </w:tcPr>
          <w:p w14:paraId="4B8B71F8"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DOAC</w:t>
            </w:r>
          </w:p>
        </w:tc>
        <w:tc>
          <w:tcPr>
            <w:tcW w:w="1416" w:type="dxa"/>
          </w:tcPr>
          <w:p w14:paraId="3FA01FC5"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0.606</w:t>
            </w:r>
            <w:r w:rsidRPr="00925342">
              <w:rPr>
                <w:rFonts w:ascii="Times New Roman" w:eastAsia="Cambria" w:hAnsi="Times New Roman" w:cs="Times New Roman"/>
                <w:b/>
                <w:bCs/>
                <w:sz w:val="20"/>
              </w:rPr>
              <w:t>±</w:t>
            </w:r>
            <w:r w:rsidRPr="00925342">
              <w:rPr>
                <w:rFonts w:ascii="Times New Roman" w:hAnsi="Times New Roman" w:cs="Times New Roman"/>
                <w:b/>
                <w:bCs/>
                <w:sz w:val="20"/>
              </w:rPr>
              <w:t>0.085</w:t>
            </w:r>
          </w:p>
        </w:tc>
        <w:tc>
          <w:tcPr>
            <w:tcW w:w="1605" w:type="dxa"/>
          </w:tcPr>
          <w:p w14:paraId="7CEF98E3"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0.581</w:t>
            </w:r>
            <w:r w:rsidRPr="00925342">
              <w:rPr>
                <w:rFonts w:ascii="Times New Roman" w:eastAsia="Cambria" w:hAnsi="Times New Roman" w:cs="Times New Roman"/>
                <w:sz w:val="20"/>
              </w:rPr>
              <w:t>±</w:t>
            </w:r>
            <w:r w:rsidRPr="00925342">
              <w:rPr>
                <w:rFonts w:ascii="Times New Roman" w:hAnsi="Times New Roman" w:cs="Times New Roman"/>
                <w:sz w:val="20"/>
              </w:rPr>
              <w:t>0.082</w:t>
            </w:r>
          </w:p>
        </w:tc>
        <w:tc>
          <w:tcPr>
            <w:tcW w:w="1605" w:type="dxa"/>
          </w:tcPr>
          <w:p w14:paraId="0EC931E1"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0.600</w:t>
            </w:r>
            <w:r w:rsidRPr="00925342">
              <w:rPr>
                <w:rFonts w:ascii="Times New Roman" w:eastAsia="Cambria" w:hAnsi="Times New Roman" w:cs="Times New Roman"/>
                <w:sz w:val="20"/>
              </w:rPr>
              <w:t>±</w:t>
            </w:r>
            <w:r w:rsidRPr="00925342">
              <w:rPr>
                <w:rFonts w:ascii="Times New Roman" w:hAnsi="Times New Roman" w:cs="Times New Roman"/>
                <w:sz w:val="20"/>
              </w:rPr>
              <w:t>0.074</w:t>
            </w:r>
          </w:p>
        </w:tc>
        <w:tc>
          <w:tcPr>
            <w:tcW w:w="1605" w:type="dxa"/>
          </w:tcPr>
          <w:p w14:paraId="578B507D"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0.575</w:t>
            </w:r>
            <w:r w:rsidRPr="00925342">
              <w:rPr>
                <w:rFonts w:ascii="Times New Roman" w:eastAsia="Cambria" w:hAnsi="Times New Roman" w:cs="Times New Roman"/>
                <w:sz w:val="20"/>
              </w:rPr>
              <w:t>±</w:t>
            </w:r>
            <w:r w:rsidRPr="00925342">
              <w:rPr>
                <w:rFonts w:ascii="Times New Roman" w:hAnsi="Times New Roman" w:cs="Times New Roman"/>
                <w:sz w:val="20"/>
              </w:rPr>
              <w:t>0.015</w:t>
            </w:r>
          </w:p>
        </w:tc>
      </w:tr>
      <w:tr w:rsidR="002D3735" w14:paraId="7DBC3D61" w14:textId="77777777" w:rsidTr="005D0E34">
        <w:tc>
          <w:tcPr>
            <w:tcW w:w="1604" w:type="dxa"/>
          </w:tcPr>
          <w:p w14:paraId="6FCB4FA1"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Stroke</w:t>
            </w:r>
          </w:p>
        </w:tc>
        <w:tc>
          <w:tcPr>
            <w:tcW w:w="1793" w:type="dxa"/>
          </w:tcPr>
          <w:p w14:paraId="65BACE5E"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lang w:val="it-IT"/>
              </w:rPr>
              <w:t>VKA</w:t>
            </w:r>
          </w:p>
        </w:tc>
        <w:tc>
          <w:tcPr>
            <w:tcW w:w="1416" w:type="dxa"/>
          </w:tcPr>
          <w:p w14:paraId="4A8BE828"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0.513</w:t>
            </w:r>
            <w:r w:rsidRPr="00925342">
              <w:rPr>
                <w:rFonts w:ascii="Times New Roman" w:eastAsia="Cambria" w:hAnsi="Times New Roman" w:cs="Times New Roman"/>
                <w:sz w:val="20"/>
              </w:rPr>
              <w:t>±</w:t>
            </w:r>
            <w:r w:rsidRPr="00925342">
              <w:rPr>
                <w:rFonts w:ascii="Times New Roman" w:hAnsi="Times New Roman" w:cs="Times New Roman"/>
                <w:sz w:val="20"/>
              </w:rPr>
              <w:t>0.056</w:t>
            </w:r>
          </w:p>
        </w:tc>
        <w:tc>
          <w:tcPr>
            <w:tcW w:w="1605" w:type="dxa"/>
          </w:tcPr>
          <w:p w14:paraId="7456119B"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b/>
                <w:bCs/>
                <w:sz w:val="20"/>
              </w:rPr>
              <w:t>0.566</w:t>
            </w:r>
            <w:r w:rsidRPr="00925342">
              <w:rPr>
                <w:rFonts w:ascii="Times New Roman" w:eastAsia="Cambria" w:hAnsi="Times New Roman" w:cs="Times New Roman"/>
                <w:b/>
                <w:bCs/>
                <w:sz w:val="20"/>
              </w:rPr>
              <w:t>±</w:t>
            </w:r>
            <w:r w:rsidRPr="00925342">
              <w:rPr>
                <w:rFonts w:ascii="Times New Roman" w:hAnsi="Times New Roman" w:cs="Times New Roman"/>
                <w:b/>
                <w:bCs/>
                <w:sz w:val="20"/>
              </w:rPr>
              <w:t>0.094</w:t>
            </w:r>
          </w:p>
        </w:tc>
        <w:tc>
          <w:tcPr>
            <w:tcW w:w="1605" w:type="dxa"/>
          </w:tcPr>
          <w:p w14:paraId="24EE67AA"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0.557</w:t>
            </w:r>
            <w:r w:rsidRPr="00925342">
              <w:rPr>
                <w:rFonts w:ascii="Times New Roman" w:eastAsia="Cambria" w:hAnsi="Times New Roman" w:cs="Times New Roman"/>
                <w:sz w:val="20"/>
              </w:rPr>
              <w:t>±</w:t>
            </w:r>
            <w:r w:rsidRPr="00925342">
              <w:rPr>
                <w:rFonts w:ascii="Times New Roman" w:hAnsi="Times New Roman" w:cs="Times New Roman"/>
                <w:sz w:val="20"/>
              </w:rPr>
              <w:t>0.083</w:t>
            </w:r>
          </w:p>
        </w:tc>
        <w:tc>
          <w:tcPr>
            <w:tcW w:w="1605" w:type="dxa"/>
          </w:tcPr>
          <w:p w14:paraId="690B9E13" w14:textId="77777777" w:rsidR="002D3735" w:rsidRPr="00925342" w:rsidRDefault="002D3735" w:rsidP="005D0E34">
            <w:pPr>
              <w:jc w:val="center"/>
              <w:rPr>
                <w:rFonts w:ascii="Times New Roman" w:hAnsi="Times New Roman" w:cs="Times New Roman"/>
              </w:rPr>
            </w:pPr>
            <w:r w:rsidRPr="00925342">
              <w:rPr>
                <w:rFonts w:ascii="Times New Roman" w:hAnsi="Times New Roman" w:cs="Times New Roman"/>
                <w:sz w:val="20"/>
              </w:rPr>
              <w:t>0.512</w:t>
            </w:r>
            <w:r w:rsidRPr="00925342">
              <w:rPr>
                <w:rFonts w:ascii="Times New Roman" w:eastAsia="Cambria" w:hAnsi="Times New Roman" w:cs="Times New Roman"/>
                <w:sz w:val="20"/>
              </w:rPr>
              <w:t>±</w:t>
            </w:r>
            <w:r w:rsidRPr="00925342">
              <w:rPr>
                <w:rFonts w:ascii="Times New Roman" w:hAnsi="Times New Roman" w:cs="Times New Roman"/>
                <w:sz w:val="20"/>
              </w:rPr>
              <w:t>0.131</w:t>
            </w:r>
          </w:p>
        </w:tc>
      </w:tr>
    </w:tbl>
    <w:p w14:paraId="398BA375" w14:textId="77777777" w:rsidR="002D3735" w:rsidRDefault="002D3735" w:rsidP="002D3735">
      <w:pPr>
        <w:pStyle w:val="Corpotesto"/>
        <w:rPr>
          <w:sz w:val="20"/>
        </w:rPr>
      </w:pPr>
      <w:r>
        <w:rPr>
          <w:sz w:val="20"/>
        </w:rPr>
        <w:t xml:space="preserve"> </w:t>
      </w:r>
    </w:p>
    <w:p w14:paraId="3D0A84AA" w14:textId="77777777" w:rsidR="002D3735" w:rsidRPr="00D87005" w:rsidRDefault="002D3735" w:rsidP="002D3735">
      <w:pPr>
        <w:pStyle w:val="Corpotesto"/>
        <w:rPr>
          <w:b/>
          <w:bCs/>
          <w:i/>
          <w:iCs/>
          <w:sz w:val="22"/>
          <w:szCs w:val="22"/>
        </w:rPr>
      </w:pPr>
      <w:r w:rsidRPr="00D87005">
        <w:rPr>
          <w:b/>
          <w:bCs/>
          <w:i/>
          <w:iCs/>
          <w:sz w:val="22"/>
          <w:szCs w:val="22"/>
        </w:rPr>
        <w:t>Table 3.</w:t>
      </w:r>
      <w:r w:rsidRPr="00D87005">
        <w:rPr>
          <w:i/>
          <w:iCs/>
          <w:sz w:val="22"/>
          <w:szCs w:val="22"/>
        </w:rPr>
        <w:t xml:space="preserve"> Predictive model results: the best predicting model is evidenced in bold. DOAC: direct oral anticoagulant; VKA: Vitamin K antagonists</w:t>
      </w:r>
    </w:p>
    <w:p w14:paraId="0755ADA4" w14:textId="77777777" w:rsidR="002D3735" w:rsidRDefault="002D3735" w:rsidP="002D3735">
      <w:pPr>
        <w:spacing w:line="480" w:lineRule="auto"/>
        <w:jc w:val="both"/>
        <w:rPr>
          <w:rFonts w:ascii="Times New Roman" w:hAnsi="Times New Roman" w:cs="Times New Roman"/>
          <w:color w:val="000000" w:themeColor="text1"/>
          <w:sz w:val="24"/>
          <w:szCs w:val="24"/>
        </w:rPr>
      </w:pPr>
    </w:p>
    <w:tbl>
      <w:tblPr>
        <w:tblStyle w:val="Grigliatabella"/>
        <w:tblW w:w="0" w:type="auto"/>
        <w:tblInd w:w="0" w:type="dxa"/>
        <w:tblLook w:val="04A0" w:firstRow="1" w:lastRow="0" w:firstColumn="1" w:lastColumn="0" w:noHBand="0" w:noVBand="1"/>
      </w:tblPr>
      <w:tblGrid>
        <w:gridCol w:w="1218"/>
        <w:gridCol w:w="1370"/>
        <w:gridCol w:w="1022"/>
        <w:gridCol w:w="1270"/>
        <w:gridCol w:w="819"/>
        <w:gridCol w:w="1591"/>
        <w:gridCol w:w="920"/>
      </w:tblGrid>
      <w:tr w:rsidR="002D3735" w14:paraId="1614AD7C" w14:textId="77777777" w:rsidTr="005D0E34">
        <w:tc>
          <w:tcPr>
            <w:tcW w:w="1541" w:type="dxa"/>
          </w:tcPr>
          <w:p w14:paraId="0DB03FFB"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lang w:val="it-IT"/>
              </w:rPr>
              <w:t>Outcome</w:t>
            </w:r>
          </w:p>
        </w:tc>
        <w:tc>
          <w:tcPr>
            <w:tcW w:w="1687" w:type="dxa"/>
          </w:tcPr>
          <w:p w14:paraId="3D933861"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lang w:val="it-IT"/>
              </w:rPr>
              <w:t>Population</w:t>
            </w:r>
          </w:p>
        </w:tc>
        <w:tc>
          <w:tcPr>
            <w:tcW w:w="1399" w:type="dxa"/>
          </w:tcPr>
          <w:p w14:paraId="53E6C3EB"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rPr>
              <w:t>Best ML Model</w:t>
            </w:r>
          </w:p>
        </w:tc>
        <w:tc>
          <w:tcPr>
            <w:tcW w:w="1412" w:type="dxa"/>
          </w:tcPr>
          <w:p w14:paraId="56F6F0AD"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rPr>
              <w:t>HASBLED</w:t>
            </w:r>
          </w:p>
        </w:tc>
        <w:tc>
          <w:tcPr>
            <w:tcW w:w="875" w:type="dxa"/>
          </w:tcPr>
          <w:p w14:paraId="5A7C02AD"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rPr>
              <w:t>p</w:t>
            </w:r>
            <w:r w:rsidRPr="003A4376">
              <w:rPr>
                <w:rFonts w:ascii="Times New Roman" w:eastAsia="Times New Roman" w:hAnsi="Times New Roman" w:cs="Times New Roman"/>
                <w:b/>
                <w:sz w:val="20"/>
                <w:szCs w:val="20"/>
                <w:lang w:val="it-IT"/>
              </w:rPr>
              <w:t>-value</w:t>
            </w:r>
          </w:p>
        </w:tc>
        <w:tc>
          <w:tcPr>
            <w:tcW w:w="1591" w:type="dxa"/>
          </w:tcPr>
          <w:p w14:paraId="627F7AEA"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rPr>
              <w:t>CHA</w:t>
            </w:r>
            <w:r w:rsidRPr="003A4376">
              <w:rPr>
                <w:rFonts w:ascii="Times New Roman" w:eastAsia="Times New Roman" w:hAnsi="Times New Roman" w:cs="Times New Roman"/>
                <w:b/>
                <w:sz w:val="20"/>
                <w:szCs w:val="20"/>
                <w:vertAlign w:val="subscript"/>
              </w:rPr>
              <w:t>2</w:t>
            </w:r>
            <w:r w:rsidRPr="003A4376">
              <w:rPr>
                <w:rFonts w:ascii="Times New Roman" w:eastAsia="Times New Roman" w:hAnsi="Times New Roman" w:cs="Times New Roman"/>
                <w:b/>
                <w:sz w:val="20"/>
                <w:szCs w:val="20"/>
              </w:rPr>
              <w:t>DSVA</w:t>
            </w:r>
            <w:r w:rsidRPr="003A4376">
              <w:rPr>
                <w:rFonts w:ascii="Times New Roman" w:eastAsia="Times New Roman" w:hAnsi="Times New Roman" w:cs="Times New Roman"/>
                <w:b/>
                <w:sz w:val="20"/>
                <w:szCs w:val="20"/>
                <w:vertAlign w:val="subscript"/>
              </w:rPr>
              <w:t>2</w:t>
            </w:r>
            <w:r w:rsidRPr="003A4376">
              <w:rPr>
                <w:rFonts w:ascii="Times New Roman" w:eastAsia="Times New Roman" w:hAnsi="Times New Roman" w:cs="Times New Roman"/>
                <w:b/>
                <w:sz w:val="20"/>
                <w:szCs w:val="20"/>
              </w:rPr>
              <w:t>SC</w:t>
            </w:r>
          </w:p>
        </w:tc>
        <w:tc>
          <w:tcPr>
            <w:tcW w:w="1123" w:type="dxa"/>
          </w:tcPr>
          <w:p w14:paraId="4F9B5B91" w14:textId="77777777" w:rsidR="002D3735" w:rsidRPr="003A4376" w:rsidRDefault="002D3735" w:rsidP="005D0E34">
            <w:pPr>
              <w:jc w:val="center"/>
              <w:rPr>
                <w:sz w:val="20"/>
                <w:szCs w:val="20"/>
              </w:rPr>
            </w:pPr>
            <w:r w:rsidRPr="003A4376">
              <w:rPr>
                <w:rFonts w:ascii="Times New Roman" w:eastAsia="Times New Roman" w:hAnsi="Times New Roman" w:cs="Times New Roman"/>
                <w:b/>
                <w:sz w:val="20"/>
                <w:szCs w:val="20"/>
              </w:rPr>
              <w:t>p</w:t>
            </w:r>
            <w:r w:rsidRPr="003A4376">
              <w:rPr>
                <w:rFonts w:ascii="Times New Roman" w:eastAsia="Times New Roman" w:hAnsi="Times New Roman" w:cs="Times New Roman"/>
                <w:b/>
                <w:sz w:val="20"/>
                <w:szCs w:val="20"/>
                <w:lang w:val="it-IT"/>
              </w:rPr>
              <w:t>-value</w:t>
            </w:r>
          </w:p>
        </w:tc>
      </w:tr>
      <w:tr w:rsidR="002D3735" w14:paraId="266AC772" w14:textId="77777777" w:rsidTr="005D0E34">
        <w:tc>
          <w:tcPr>
            <w:tcW w:w="1541" w:type="dxa"/>
          </w:tcPr>
          <w:p w14:paraId="32501F6D"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All-cause</w:t>
            </w:r>
            <w:r w:rsidRPr="003A4376">
              <w:rPr>
                <w:rFonts w:ascii="Times New Roman" w:eastAsia="Times New Roman" w:hAnsi="Times New Roman" w:cs="Times New Roman"/>
                <w:sz w:val="20"/>
                <w:szCs w:val="20"/>
              </w:rPr>
              <w:t xml:space="preserve"> death</w:t>
            </w:r>
          </w:p>
        </w:tc>
        <w:tc>
          <w:tcPr>
            <w:tcW w:w="1687" w:type="dxa"/>
          </w:tcPr>
          <w:p w14:paraId="46D266F9"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Overall</w:t>
            </w:r>
            <w:r w:rsidRPr="003A4376">
              <w:rPr>
                <w:rFonts w:ascii="Times New Roman" w:eastAsia="Times New Roman" w:hAnsi="Times New Roman" w:cs="Times New Roman"/>
                <w:sz w:val="20"/>
                <w:szCs w:val="20"/>
              </w:rPr>
              <w:t xml:space="preserve"> population</w:t>
            </w:r>
          </w:p>
        </w:tc>
        <w:tc>
          <w:tcPr>
            <w:tcW w:w="1399" w:type="dxa"/>
          </w:tcPr>
          <w:p w14:paraId="10C53826" w14:textId="77777777" w:rsidR="002D3735" w:rsidRPr="00925342" w:rsidRDefault="002D3735" w:rsidP="005D0E34">
            <w:pPr>
              <w:jc w:val="center"/>
              <w:rPr>
                <w:sz w:val="20"/>
                <w:szCs w:val="20"/>
              </w:rPr>
            </w:pPr>
            <w:r w:rsidRPr="00925342">
              <w:rPr>
                <w:rFonts w:ascii="Times New Roman" w:eastAsia="Times New Roman" w:hAnsi="Times New Roman" w:cs="Times New Roman"/>
                <w:sz w:val="20"/>
                <w:szCs w:val="20"/>
              </w:rPr>
              <w:t xml:space="preserve">0.779 </w:t>
            </w:r>
            <w:r w:rsidRPr="00925342">
              <w:rPr>
                <w:rFonts w:ascii="Cambria" w:eastAsia="Cambria" w:hAnsi="Cambria" w:cs="Cambria"/>
                <w:sz w:val="20"/>
                <w:szCs w:val="20"/>
              </w:rPr>
              <w:t xml:space="preserve">± </w:t>
            </w:r>
            <w:r w:rsidRPr="00925342">
              <w:rPr>
                <w:rFonts w:ascii="Times New Roman" w:eastAsia="Times New Roman" w:hAnsi="Times New Roman" w:cs="Times New Roman"/>
                <w:sz w:val="20"/>
                <w:szCs w:val="20"/>
              </w:rPr>
              <w:t>0.016</w:t>
            </w:r>
          </w:p>
        </w:tc>
        <w:tc>
          <w:tcPr>
            <w:tcW w:w="1412" w:type="dxa"/>
          </w:tcPr>
          <w:p w14:paraId="7907CD8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0.589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0.028</w:t>
            </w:r>
          </w:p>
        </w:tc>
        <w:tc>
          <w:tcPr>
            <w:tcW w:w="875" w:type="dxa"/>
          </w:tcPr>
          <w:p w14:paraId="3B6508C4"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c>
          <w:tcPr>
            <w:tcW w:w="1591" w:type="dxa"/>
          </w:tcPr>
          <w:p w14:paraId="2E0E14C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0.629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0.026</w:t>
            </w:r>
          </w:p>
        </w:tc>
        <w:tc>
          <w:tcPr>
            <w:tcW w:w="1123" w:type="dxa"/>
          </w:tcPr>
          <w:p w14:paraId="6D3F09E0"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r>
      <w:tr w:rsidR="002D3735" w14:paraId="537EF143" w14:textId="77777777" w:rsidTr="005D0E34">
        <w:tc>
          <w:tcPr>
            <w:tcW w:w="1541" w:type="dxa"/>
          </w:tcPr>
          <w:p w14:paraId="697217A2"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All-cause</w:t>
            </w:r>
            <w:r w:rsidRPr="003A4376">
              <w:rPr>
                <w:rFonts w:ascii="Times New Roman" w:eastAsia="Times New Roman" w:hAnsi="Times New Roman" w:cs="Times New Roman"/>
                <w:sz w:val="20"/>
                <w:szCs w:val="20"/>
              </w:rPr>
              <w:t xml:space="preserve"> death</w:t>
            </w:r>
          </w:p>
        </w:tc>
        <w:tc>
          <w:tcPr>
            <w:tcW w:w="1687" w:type="dxa"/>
          </w:tcPr>
          <w:p w14:paraId="59019D0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DOAC</w:t>
            </w:r>
          </w:p>
        </w:tc>
        <w:tc>
          <w:tcPr>
            <w:tcW w:w="1399" w:type="dxa"/>
          </w:tcPr>
          <w:p w14:paraId="2DF22D6D" w14:textId="77777777" w:rsidR="002D3735" w:rsidRPr="00925342" w:rsidRDefault="002D3735" w:rsidP="005D0E34">
            <w:pPr>
              <w:jc w:val="center"/>
              <w:rPr>
                <w:sz w:val="20"/>
                <w:szCs w:val="20"/>
              </w:rPr>
            </w:pPr>
            <w:r w:rsidRPr="00925342">
              <w:rPr>
                <w:rFonts w:ascii="Times New Roman" w:eastAsia="Times New Roman" w:hAnsi="Times New Roman" w:cs="Times New Roman"/>
                <w:sz w:val="20"/>
                <w:szCs w:val="20"/>
              </w:rPr>
              <w:t xml:space="preserve">0.733 </w:t>
            </w:r>
            <w:r w:rsidRPr="00925342">
              <w:rPr>
                <w:rFonts w:ascii="Cambria" w:eastAsia="Cambria" w:hAnsi="Cambria" w:cs="Cambria"/>
                <w:sz w:val="20"/>
                <w:szCs w:val="20"/>
              </w:rPr>
              <w:t xml:space="preserve">± </w:t>
            </w:r>
            <w:r w:rsidRPr="00925342">
              <w:rPr>
                <w:rFonts w:ascii="Times New Roman" w:eastAsia="Times New Roman" w:hAnsi="Times New Roman" w:cs="Times New Roman"/>
                <w:sz w:val="20"/>
                <w:szCs w:val="20"/>
              </w:rPr>
              <w:t>0.041</w:t>
            </w:r>
          </w:p>
        </w:tc>
        <w:tc>
          <w:tcPr>
            <w:tcW w:w="1412" w:type="dxa"/>
          </w:tcPr>
          <w:p w14:paraId="3EC5693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0.566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0.062</w:t>
            </w:r>
          </w:p>
        </w:tc>
        <w:tc>
          <w:tcPr>
            <w:tcW w:w="875" w:type="dxa"/>
          </w:tcPr>
          <w:p w14:paraId="3661584A"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c>
          <w:tcPr>
            <w:tcW w:w="1591" w:type="dxa"/>
          </w:tcPr>
          <w:p w14:paraId="4F84E067"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0.641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0.051</w:t>
            </w:r>
          </w:p>
        </w:tc>
        <w:tc>
          <w:tcPr>
            <w:tcW w:w="1123" w:type="dxa"/>
          </w:tcPr>
          <w:p w14:paraId="37A1C13C"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r>
      <w:tr w:rsidR="002D3735" w14:paraId="17439968" w14:textId="77777777" w:rsidTr="005D0E34">
        <w:tc>
          <w:tcPr>
            <w:tcW w:w="1541" w:type="dxa"/>
          </w:tcPr>
          <w:p w14:paraId="47FA88B5"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All-cause</w:t>
            </w:r>
            <w:r w:rsidRPr="003A4376">
              <w:rPr>
                <w:rFonts w:ascii="Times New Roman" w:eastAsia="Times New Roman" w:hAnsi="Times New Roman" w:cs="Times New Roman"/>
                <w:sz w:val="20"/>
                <w:szCs w:val="20"/>
              </w:rPr>
              <w:t xml:space="preserve"> death</w:t>
            </w:r>
          </w:p>
        </w:tc>
        <w:tc>
          <w:tcPr>
            <w:tcW w:w="1687" w:type="dxa"/>
          </w:tcPr>
          <w:p w14:paraId="715B5AC6"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lang w:val="it-IT"/>
              </w:rPr>
              <w:t>VKA</w:t>
            </w:r>
          </w:p>
        </w:tc>
        <w:tc>
          <w:tcPr>
            <w:tcW w:w="1399" w:type="dxa"/>
          </w:tcPr>
          <w:p w14:paraId="58B641A8" w14:textId="77777777" w:rsidR="002D3735" w:rsidRPr="00925342" w:rsidRDefault="002D3735" w:rsidP="005D0E34">
            <w:pPr>
              <w:jc w:val="center"/>
              <w:rPr>
                <w:sz w:val="20"/>
                <w:szCs w:val="20"/>
              </w:rPr>
            </w:pPr>
            <w:r w:rsidRPr="00925342">
              <w:rPr>
                <w:rFonts w:ascii="Times New Roman" w:eastAsia="Times New Roman" w:hAnsi="Times New Roman" w:cs="Times New Roman"/>
                <w:sz w:val="20"/>
                <w:szCs w:val="20"/>
              </w:rPr>
              <w:t xml:space="preserve">0.759 </w:t>
            </w:r>
            <w:r w:rsidRPr="00925342">
              <w:rPr>
                <w:rFonts w:ascii="Cambria" w:eastAsia="Cambria" w:hAnsi="Cambria" w:cs="Cambria"/>
                <w:sz w:val="20"/>
                <w:szCs w:val="20"/>
              </w:rPr>
              <w:t xml:space="preserve">± </w:t>
            </w:r>
            <w:r w:rsidRPr="00925342">
              <w:rPr>
                <w:rFonts w:ascii="Times New Roman" w:eastAsia="Times New Roman" w:hAnsi="Times New Roman" w:cs="Times New Roman"/>
                <w:sz w:val="20"/>
                <w:szCs w:val="20"/>
              </w:rPr>
              <w:t>0.026</w:t>
            </w:r>
          </w:p>
        </w:tc>
        <w:tc>
          <w:tcPr>
            <w:tcW w:w="1412" w:type="dxa"/>
          </w:tcPr>
          <w:p w14:paraId="6301C13E"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0.608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0.007</w:t>
            </w:r>
          </w:p>
        </w:tc>
        <w:tc>
          <w:tcPr>
            <w:tcW w:w="875" w:type="dxa"/>
          </w:tcPr>
          <w:p w14:paraId="555F40FD"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c>
          <w:tcPr>
            <w:tcW w:w="1591" w:type="dxa"/>
          </w:tcPr>
          <w:p w14:paraId="424CFF1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0.635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0.020</w:t>
            </w:r>
          </w:p>
        </w:tc>
        <w:tc>
          <w:tcPr>
            <w:tcW w:w="1123" w:type="dxa"/>
          </w:tcPr>
          <w:p w14:paraId="1EE37671"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 0.001</w:t>
            </w:r>
          </w:p>
        </w:tc>
      </w:tr>
      <w:tr w:rsidR="002D3735" w14:paraId="245991AC" w14:textId="77777777" w:rsidTr="005D0E34">
        <w:tc>
          <w:tcPr>
            <w:tcW w:w="1541" w:type="dxa"/>
          </w:tcPr>
          <w:p w14:paraId="1760E1C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CV death</w:t>
            </w:r>
          </w:p>
        </w:tc>
        <w:tc>
          <w:tcPr>
            <w:tcW w:w="1687" w:type="dxa"/>
          </w:tcPr>
          <w:p w14:paraId="7AC27591"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Overall</w:t>
            </w:r>
            <w:r w:rsidRPr="003A4376">
              <w:rPr>
                <w:rFonts w:ascii="Times New Roman" w:eastAsia="Times New Roman" w:hAnsi="Times New Roman" w:cs="Times New Roman"/>
                <w:sz w:val="20"/>
                <w:szCs w:val="20"/>
              </w:rPr>
              <w:t xml:space="preserve"> population</w:t>
            </w:r>
          </w:p>
        </w:tc>
        <w:tc>
          <w:tcPr>
            <w:tcW w:w="1399" w:type="dxa"/>
          </w:tcPr>
          <w:p w14:paraId="1125398F"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0.745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0.022</w:t>
            </w:r>
          </w:p>
        </w:tc>
        <w:tc>
          <w:tcPr>
            <w:tcW w:w="1412" w:type="dxa"/>
          </w:tcPr>
          <w:p w14:paraId="5C1DDC6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0.596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0.067</w:t>
            </w:r>
          </w:p>
        </w:tc>
        <w:tc>
          <w:tcPr>
            <w:tcW w:w="875" w:type="dxa"/>
          </w:tcPr>
          <w:p w14:paraId="009DDAED"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0.82</w:t>
            </w:r>
            <w:r w:rsidRPr="003A4376">
              <w:rPr>
                <w:rFonts w:ascii="Times New Roman" w:eastAsia="Times New Roman" w:hAnsi="Times New Roman" w:cs="Times New Roman"/>
                <w:sz w:val="20"/>
                <w:szCs w:val="20"/>
                <w:lang w:val="it-IT"/>
              </w:rPr>
              <w:t>2</w:t>
            </w:r>
          </w:p>
        </w:tc>
        <w:tc>
          <w:tcPr>
            <w:tcW w:w="1591" w:type="dxa"/>
          </w:tcPr>
          <w:p w14:paraId="42E478B6"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0.650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0.019</w:t>
            </w:r>
          </w:p>
        </w:tc>
        <w:tc>
          <w:tcPr>
            <w:tcW w:w="1123" w:type="dxa"/>
          </w:tcPr>
          <w:p w14:paraId="51F7A3F3"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0.78</w:t>
            </w:r>
            <w:r w:rsidRPr="003A4376">
              <w:rPr>
                <w:rFonts w:ascii="Times New Roman" w:eastAsia="Times New Roman" w:hAnsi="Times New Roman" w:cs="Times New Roman"/>
                <w:sz w:val="20"/>
                <w:szCs w:val="20"/>
                <w:lang w:val="it-IT"/>
              </w:rPr>
              <w:t>7</w:t>
            </w:r>
          </w:p>
        </w:tc>
      </w:tr>
      <w:tr w:rsidR="002D3735" w14:paraId="5EDAB370" w14:textId="77777777" w:rsidTr="005D0E34">
        <w:tc>
          <w:tcPr>
            <w:tcW w:w="1541" w:type="dxa"/>
          </w:tcPr>
          <w:p w14:paraId="1B3638A5"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CV death</w:t>
            </w:r>
          </w:p>
        </w:tc>
        <w:tc>
          <w:tcPr>
            <w:tcW w:w="1687" w:type="dxa"/>
          </w:tcPr>
          <w:p w14:paraId="0A27DE86"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DOAC</w:t>
            </w:r>
          </w:p>
        </w:tc>
        <w:tc>
          <w:tcPr>
            <w:tcW w:w="1399" w:type="dxa"/>
          </w:tcPr>
          <w:p w14:paraId="3690603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0.733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0.034</w:t>
            </w:r>
          </w:p>
        </w:tc>
        <w:tc>
          <w:tcPr>
            <w:tcW w:w="1412" w:type="dxa"/>
          </w:tcPr>
          <w:p w14:paraId="5BC81E42"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0.557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0.071</w:t>
            </w:r>
          </w:p>
        </w:tc>
        <w:tc>
          <w:tcPr>
            <w:tcW w:w="875" w:type="dxa"/>
          </w:tcPr>
          <w:p w14:paraId="273DA29E"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0.65</w:t>
            </w:r>
            <w:r w:rsidRPr="003A4376">
              <w:rPr>
                <w:rFonts w:ascii="Times New Roman" w:eastAsia="Times New Roman" w:hAnsi="Times New Roman" w:cs="Times New Roman"/>
                <w:sz w:val="20"/>
                <w:szCs w:val="20"/>
                <w:lang w:val="it-IT"/>
              </w:rPr>
              <w:t>5</w:t>
            </w:r>
          </w:p>
        </w:tc>
        <w:tc>
          <w:tcPr>
            <w:tcW w:w="1591" w:type="dxa"/>
          </w:tcPr>
          <w:p w14:paraId="02945CAC"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0.650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0.020</w:t>
            </w:r>
          </w:p>
        </w:tc>
        <w:tc>
          <w:tcPr>
            <w:tcW w:w="1123" w:type="dxa"/>
          </w:tcPr>
          <w:p w14:paraId="10B3DAB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0.29</w:t>
            </w:r>
            <w:r w:rsidRPr="003A4376">
              <w:rPr>
                <w:rFonts w:ascii="Times New Roman" w:eastAsia="Times New Roman" w:hAnsi="Times New Roman" w:cs="Times New Roman"/>
                <w:sz w:val="20"/>
                <w:szCs w:val="20"/>
                <w:lang w:val="it-IT"/>
              </w:rPr>
              <w:t>8</w:t>
            </w:r>
          </w:p>
        </w:tc>
      </w:tr>
      <w:tr w:rsidR="002D3735" w14:paraId="47943DE0" w14:textId="77777777" w:rsidTr="005D0E34">
        <w:tc>
          <w:tcPr>
            <w:tcW w:w="1541" w:type="dxa"/>
          </w:tcPr>
          <w:p w14:paraId="0722C46E"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CV death</w:t>
            </w:r>
          </w:p>
        </w:tc>
        <w:tc>
          <w:tcPr>
            <w:tcW w:w="1687" w:type="dxa"/>
          </w:tcPr>
          <w:p w14:paraId="5BD6634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lang w:val="it-IT"/>
              </w:rPr>
              <w:t>VKA</w:t>
            </w:r>
          </w:p>
        </w:tc>
        <w:tc>
          <w:tcPr>
            <w:tcW w:w="1399" w:type="dxa"/>
          </w:tcPr>
          <w:p w14:paraId="4AABD19E"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0.729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0.020</w:t>
            </w:r>
          </w:p>
        </w:tc>
        <w:tc>
          <w:tcPr>
            <w:tcW w:w="1412" w:type="dxa"/>
          </w:tcPr>
          <w:p w14:paraId="3C957C0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0.621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0.050</w:t>
            </w:r>
          </w:p>
        </w:tc>
        <w:tc>
          <w:tcPr>
            <w:tcW w:w="875" w:type="dxa"/>
          </w:tcPr>
          <w:p w14:paraId="4DC40C62"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0.15</w:t>
            </w:r>
            <w:r w:rsidRPr="003A4376">
              <w:rPr>
                <w:rFonts w:ascii="Times New Roman" w:eastAsia="Times New Roman" w:hAnsi="Times New Roman" w:cs="Times New Roman"/>
                <w:sz w:val="20"/>
                <w:szCs w:val="20"/>
                <w:lang w:val="it-IT"/>
              </w:rPr>
              <w:t>3</w:t>
            </w:r>
          </w:p>
        </w:tc>
        <w:tc>
          <w:tcPr>
            <w:tcW w:w="1591" w:type="dxa"/>
          </w:tcPr>
          <w:p w14:paraId="751BDE65"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0.654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0.059</w:t>
            </w:r>
          </w:p>
        </w:tc>
        <w:tc>
          <w:tcPr>
            <w:tcW w:w="1123" w:type="dxa"/>
          </w:tcPr>
          <w:p w14:paraId="492FBDE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0.27</w:t>
            </w:r>
            <w:r w:rsidRPr="003A4376">
              <w:rPr>
                <w:rFonts w:ascii="Times New Roman" w:eastAsia="Times New Roman" w:hAnsi="Times New Roman" w:cs="Times New Roman"/>
                <w:sz w:val="20"/>
                <w:szCs w:val="20"/>
                <w:lang w:val="it-IT"/>
              </w:rPr>
              <w:t>0</w:t>
            </w:r>
          </w:p>
        </w:tc>
      </w:tr>
      <w:tr w:rsidR="002D3735" w14:paraId="7D1BFA9A" w14:textId="77777777" w:rsidTr="005D0E34">
        <w:tc>
          <w:tcPr>
            <w:tcW w:w="1541" w:type="dxa"/>
          </w:tcPr>
          <w:p w14:paraId="1D168BC0"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Major bleeding</w:t>
            </w:r>
          </w:p>
        </w:tc>
        <w:tc>
          <w:tcPr>
            <w:tcW w:w="1687" w:type="dxa"/>
          </w:tcPr>
          <w:p w14:paraId="04FC0245"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Overall</w:t>
            </w:r>
            <w:r w:rsidRPr="003A4376">
              <w:rPr>
                <w:rFonts w:ascii="Times New Roman" w:eastAsia="Times New Roman" w:hAnsi="Times New Roman" w:cs="Times New Roman"/>
                <w:sz w:val="20"/>
                <w:szCs w:val="20"/>
              </w:rPr>
              <w:t xml:space="preserve"> population</w:t>
            </w:r>
          </w:p>
        </w:tc>
        <w:tc>
          <w:tcPr>
            <w:tcW w:w="1399" w:type="dxa"/>
          </w:tcPr>
          <w:p w14:paraId="52EFC96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0.641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0.020</w:t>
            </w:r>
          </w:p>
        </w:tc>
        <w:tc>
          <w:tcPr>
            <w:tcW w:w="1412" w:type="dxa"/>
          </w:tcPr>
          <w:p w14:paraId="540EB1C3"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0.576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0.010</w:t>
            </w:r>
          </w:p>
        </w:tc>
        <w:tc>
          <w:tcPr>
            <w:tcW w:w="875" w:type="dxa"/>
          </w:tcPr>
          <w:p w14:paraId="52C65FE7"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0.35</w:t>
            </w:r>
            <w:r w:rsidRPr="003A4376">
              <w:rPr>
                <w:rFonts w:ascii="Times New Roman" w:eastAsia="Times New Roman" w:hAnsi="Times New Roman" w:cs="Times New Roman"/>
                <w:sz w:val="20"/>
                <w:szCs w:val="20"/>
                <w:lang w:val="it-IT"/>
              </w:rPr>
              <w:t>2</w:t>
            </w:r>
          </w:p>
        </w:tc>
        <w:tc>
          <w:tcPr>
            <w:tcW w:w="1591" w:type="dxa"/>
          </w:tcPr>
          <w:p w14:paraId="1F5A077F"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0.570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0.030</w:t>
            </w:r>
          </w:p>
        </w:tc>
        <w:tc>
          <w:tcPr>
            <w:tcW w:w="1123" w:type="dxa"/>
          </w:tcPr>
          <w:p w14:paraId="5BDE602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0.24</w:t>
            </w:r>
            <w:r w:rsidRPr="003A4376">
              <w:rPr>
                <w:rFonts w:ascii="Times New Roman" w:eastAsia="Times New Roman" w:hAnsi="Times New Roman" w:cs="Times New Roman"/>
                <w:sz w:val="20"/>
                <w:szCs w:val="20"/>
                <w:lang w:val="it-IT"/>
              </w:rPr>
              <w:t>3</w:t>
            </w:r>
          </w:p>
        </w:tc>
      </w:tr>
      <w:tr w:rsidR="002D3735" w14:paraId="3103FCD7" w14:textId="77777777" w:rsidTr="005D0E34">
        <w:tc>
          <w:tcPr>
            <w:tcW w:w="1541" w:type="dxa"/>
          </w:tcPr>
          <w:p w14:paraId="3569F3DC"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Major bleeding</w:t>
            </w:r>
          </w:p>
        </w:tc>
        <w:tc>
          <w:tcPr>
            <w:tcW w:w="1687" w:type="dxa"/>
          </w:tcPr>
          <w:p w14:paraId="3CBD19F6"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DOAC</w:t>
            </w:r>
          </w:p>
        </w:tc>
        <w:tc>
          <w:tcPr>
            <w:tcW w:w="1399" w:type="dxa"/>
          </w:tcPr>
          <w:p w14:paraId="3D99C071" w14:textId="77777777" w:rsidR="002D3735" w:rsidRPr="00925342" w:rsidRDefault="002D3735" w:rsidP="005D0E34">
            <w:pPr>
              <w:jc w:val="center"/>
              <w:rPr>
                <w:sz w:val="20"/>
                <w:szCs w:val="20"/>
              </w:rPr>
            </w:pPr>
            <w:r w:rsidRPr="00925342">
              <w:rPr>
                <w:rFonts w:ascii="Times New Roman" w:eastAsia="Times New Roman" w:hAnsi="Times New Roman" w:cs="Times New Roman"/>
                <w:sz w:val="20"/>
                <w:szCs w:val="20"/>
              </w:rPr>
              <w:t xml:space="preserve">0.711 </w:t>
            </w:r>
            <w:r w:rsidRPr="00925342">
              <w:rPr>
                <w:rFonts w:ascii="Cambria" w:eastAsia="Cambria" w:hAnsi="Cambria" w:cs="Cambria"/>
                <w:sz w:val="20"/>
                <w:szCs w:val="20"/>
              </w:rPr>
              <w:t xml:space="preserve">± </w:t>
            </w:r>
            <w:r w:rsidRPr="00925342">
              <w:rPr>
                <w:rFonts w:ascii="Times New Roman" w:eastAsia="Times New Roman" w:hAnsi="Times New Roman" w:cs="Times New Roman"/>
                <w:sz w:val="20"/>
                <w:szCs w:val="20"/>
              </w:rPr>
              <w:t>0.029</w:t>
            </w:r>
          </w:p>
        </w:tc>
        <w:tc>
          <w:tcPr>
            <w:tcW w:w="1412" w:type="dxa"/>
          </w:tcPr>
          <w:p w14:paraId="4E78933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0.586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0.054</w:t>
            </w:r>
          </w:p>
        </w:tc>
        <w:tc>
          <w:tcPr>
            <w:tcW w:w="875" w:type="dxa"/>
          </w:tcPr>
          <w:p w14:paraId="02B512A8"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&lt;0.001</w:t>
            </w:r>
          </w:p>
        </w:tc>
        <w:tc>
          <w:tcPr>
            <w:tcW w:w="1591" w:type="dxa"/>
          </w:tcPr>
          <w:p w14:paraId="779970CC"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0.605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0.041</w:t>
            </w:r>
          </w:p>
        </w:tc>
        <w:tc>
          <w:tcPr>
            <w:tcW w:w="1123" w:type="dxa"/>
          </w:tcPr>
          <w:p w14:paraId="54894409" w14:textId="77777777" w:rsidR="002D3735" w:rsidRPr="00925342" w:rsidRDefault="002D3735" w:rsidP="005D0E34">
            <w:pPr>
              <w:jc w:val="center"/>
              <w:rPr>
                <w:b/>
                <w:bCs/>
                <w:sz w:val="20"/>
                <w:szCs w:val="20"/>
              </w:rPr>
            </w:pPr>
            <w:r w:rsidRPr="00925342">
              <w:rPr>
                <w:rFonts w:ascii="Times New Roman" w:eastAsia="Times New Roman" w:hAnsi="Times New Roman" w:cs="Times New Roman"/>
                <w:b/>
                <w:bCs/>
                <w:sz w:val="20"/>
                <w:szCs w:val="20"/>
              </w:rPr>
              <w:t>&lt;0.001</w:t>
            </w:r>
          </w:p>
        </w:tc>
      </w:tr>
      <w:tr w:rsidR="002D3735" w14:paraId="1D8E59A6" w14:textId="77777777" w:rsidTr="005D0E34">
        <w:tc>
          <w:tcPr>
            <w:tcW w:w="1541" w:type="dxa"/>
          </w:tcPr>
          <w:p w14:paraId="0107895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Major bleeding</w:t>
            </w:r>
          </w:p>
        </w:tc>
        <w:tc>
          <w:tcPr>
            <w:tcW w:w="1687" w:type="dxa"/>
          </w:tcPr>
          <w:p w14:paraId="192CA227"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lang w:val="it-IT"/>
              </w:rPr>
              <w:t>VKA</w:t>
            </w:r>
          </w:p>
        </w:tc>
        <w:tc>
          <w:tcPr>
            <w:tcW w:w="1399" w:type="dxa"/>
          </w:tcPr>
          <w:p w14:paraId="605579F3"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0.630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0.037</w:t>
            </w:r>
          </w:p>
        </w:tc>
        <w:tc>
          <w:tcPr>
            <w:tcW w:w="1412" w:type="dxa"/>
          </w:tcPr>
          <w:p w14:paraId="4A34451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0.570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0.034</w:t>
            </w:r>
          </w:p>
        </w:tc>
        <w:tc>
          <w:tcPr>
            <w:tcW w:w="875" w:type="dxa"/>
          </w:tcPr>
          <w:p w14:paraId="524A80F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0.83</w:t>
            </w:r>
            <w:r w:rsidRPr="003A4376">
              <w:rPr>
                <w:rFonts w:ascii="Times New Roman" w:eastAsia="Times New Roman" w:hAnsi="Times New Roman" w:cs="Times New Roman"/>
                <w:sz w:val="20"/>
                <w:szCs w:val="20"/>
                <w:lang w:val="it-IT"/>
              </w:rPr>
              <w:t>1</w:t>
            </w:r>
          </w:p>
        </w:tc>
        <w:tc>
          <w:tcPr>
            <w:tcW w:w="1591" w:type="dxa"/>
          </w:tcPr>
          <w:p w14:paraId="0F42F4EE"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0.540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0.039</w:t>
            </w:r>
          </w:p>
        </w:tc>
        <w:tc>
          <w:tcPr>
            <w:tcW w:w="1123" w:type="dxa"/>
          </w:tcPr>
          <w:p w14:paraId="16BAF67A"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0.43</w:t>
            </w:r>
            <w:r w:rsidRPr="003A4376">
              <w:rPr>
                <w:rFonts w:ascii="Times New Roman" w:eastAsia="Times New Roman" w:hAnsi="Times New Roman" w:cs="Times New Roman"/>
                <w:sz w:val="20"/>
                <w:szCs w:val="20"/>
                <w:lang w:val="it-IT"/>
              </w:rPr>
              <w:t>5</w:t>
            </w:r>
          </w:p>
        </w:tc>
      </w:tr>
      <w:tr w:rsidR="002D3735" w14:paraId="23EDD51C" w14:textId="77777777" w:rsidTr="005D0E34">
        <w:tc>
          <w:tcPr>
            <w:tcW w:w="1541" w:type="dxa"/>
          </w:tcPr>
          <w:p w14:paraId="7911F909"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Stroke</w:t>
            </w:r>
          </w:p>
        </w:tc>
        <w:tc>
          <w:tcPr>
            <w:tcW w:w="1687" w:type="dxa"/>
          </w:tcPr>
          <w:p w14:paraId="418BD644" w14:textId="77777777" w:rsidR="002D3735" w:rsidRPr="003A4376" w:rsidRDefault="002D3735" w:rsidP="005D0E34">
            <w:pPr>
              <w:jc w:val="center"/>
              <w:rPr>
                <w:sz w:val="20"/>
                <w:szCs w:val="20"/>
              </w:rPr>
            </w:pPr>
            <w:r>
              <w:rPr>
                <w:rFonts w:ascii="Times New Roman" w:eastAsia="Times New Roman" w:hAnsi="Times New Roman" w:cs="Times New Roman"/>
                <w:sz w:val="20"/>
                <w:szCs w:val="20"/>
              </w:rPr>
              <w:t>Overall</w:t>
            </w:r>
            <w:r w:rsidRPr="003A4376">
              <w:rPr>
                <w:rFonts w:ascii="Times New Roman" w:eastAsia="Times New Roman" w:hAnsi="Times New Roman" w:cs="Times New Roman"/>
                <w:sz w:val="20"/>
                <w:szCs w:val="20"/>
              </w:rPr>
              <w:t xml:space="preserve"> population</w:t>
            </w:r>
          </w:p>
        </w:tc>
        <w:tc>
          <w:tcPr>
            <w:tcW w:w="1399" w:type="dxa"/>
          </w:tcPr>
          <w:p w14:paraId="2CA7BC4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0.583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0.047</w:t>
            </w:r>
          </w:p>
        </w:tc>
        <w:tc>
          <w:tcPr>
            <w:tcW w:w="1412" w:type="dxa"/>
          </w:tcPr>
          <w:p w14:paraId="39EDE361"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0.592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0.056</w:t>
            </w:r>
          </w:p>
        </w:tc>
        <w:tc>
          <w:tcPr>
            <w:tcW w:w="875" w:type="dxa"/>
          </w:tcPr>
          <w:p w14:paraId="7638CAF0"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0.34</w:t>
            </w:r>
            <w:r w:rsidRPr="003A4376">
              <w:rPr>
                <w:rFonts w:ascii="Times New Roman" w:eastAsia="Times New Roman" w:hAnsi="Times New Roman" w:cs="Times New Roman"/>
                <w:sz w:val="20"/>
                <w:szCs w:val="20"/>
                <w:lang w:val="it-IT"/>
              </w:rPr>
              <w:t>3</w:t>
            </w:r>
          </w:p>
        </w:tc>
        <w:tc>
          <w:tcPr>
            <w:tcW w:w="1591" w:type="dxa"/>
          </w:tcPr>
          <w:p w14:paraId="7BCE5D0F"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0.595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0.041</w:t>
            </w:r>
          </w:p>
        </w:tc>
        <w:tc>
          <w:tcPr>
            <w:tcW w:w="1123" w:type="dxa"/>
          </w:tcPr>
          <w:p w14:paraId="36D4FCAA"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0.28</w:t>
            </w:r>
            <w:r w:rsidRPr="003A4376">
              <w:rPr>
                <w:rFonts w:ascii="Times New Roman" w:eastAsia="Times New Roman" w:hAnsi="Times New Roman" w:cs="Times New Roman"/>
                <w:sz w:val="20"/>
                <w:szCs w:val="20"/>
                <w:lang w:val="it-IT"/>
              </w:rPr>
              <w:t>2</w:t>
            </w:r>
          </w:p>
        </w:tc>
      </w:tr>
      <w:tr w:rsidR="002D3735" w14:paraId="741CD299" w14:textId="77777777" w:rsidTr="005D0E34">
        <w:tc>
          <w:tcPr>
            <w:tcW w:w="1541" w:type="dxa"/>
          </w:tcPr>
          <w:p w14:paraId="7615545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lastRenderedPageBreak/>
              <w:t>Stroke</w:t>
            </w:r>
          </w:p>
        </w:tc>
        <w:tc>
          <w:tcPr>
            <w:tcW w:w="1687" w:type="dxa"/>
          </w:tcPr>
          <w:p w14:paraId="2B522850"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DOAC</w:t>
            </w:r>
          </w:p>
        </w:tc>
        <w:tc>
          <w:tcPr>
            <w:tcW w:w="1399" w:type="dxa"/>
          </w:tcPr>
          <w:p w14:paraId="09E14548"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0.606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0.085</w:t>
            </w:r>
          </w:p>
        </w:tc>
        <w:tc>
          <w:tcPr>
            <w:tcW w:w="1412" w:type="dxa"/>
          </w:tcPr>
          <w:p w14:paraId="222B81D2"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0.614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0.089</w:t>
            </w:r>
          </w:p>
        </w:tc>
        <w:tc>
          <w:tcPr>
            <w:tcW w:w="875" w:type="dxa"/>
          </w:tcPr>
          <w:p w14:paraId="7A2024A3"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0.52</w:t>
            </w:r>
            <w:r w:rsidRPr="003A4376">
              <w:rPr>
                <w:rFonts w:ascii="Times New Roman" w:eastAsia="Times New Roman" w:hAnsi="Times New Roman" w:cs="Times New Roman"/>
                <w:sz w:val="20"/>
                <w:szCs w:val="20"/>
                <w:lang w:val="it-IT"/>
              </w:rPr>
              <w:t>5</w:t>
            </w:r>
          </w:p>
        </w:tc>
        <w:tc>
          <w:tcPr>
            <w:tcW w:w="1591" w:type="dxa"/>
          </w:tcPr>
          <w:p w14:paraId="3E2A68C4"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 xml:space="preserve">0.623 </w:t>
            </w:r>
            <w:r w:rsidRPr="003A4376">
              <w:rPr>
                <w:rFonts w:ascii="Cambria" w:eastAsia="Cambria" w:hAnsi="Cambria" w:cs="Cambria"/>
                <w:sz w:val="20"/>
                <w:szCs w:val="20"/>
              </w:rPr>
              <w:t xml:space="preserve">± </w:t>
            </w:r>
            <w:r w:rsidRPr="003A4376">
              <w:rPr>
                <w:rFonts w:ascii="Times New Roman" w:eastAsia="Times New Roman" w:hAnsi="Times New Roman" w:cs="Times New Roman"/>
                <w:sz w:val="20"/>
                <w:szCs w:val="20"/>
              </w:rPr>
              <w:t>0.105</w:t>
            </w:r>
          </w:p>
        </w:tc>
        <w:tc>
          <w:tcPr>
            <w:tcW w:w="1123" w:type="dxa"/>
          </w:tcPr>
          <w:p w14:paraId="7C02023D"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0.63</w:t>
            </w:r>
            <w:r w:rsidRPr="003A4376">
              <w:rPr>
                <w:rFonts w:ascii="Times New Roman" w:eastAsia="Times New Roman" w:hAnsi="Times New Roman" w:cs="Times New Roman"/>
                <w:sz w:val="20"/>
                <w:szCs w:val="20"/>
                <w:lang w:val="it-IT"/>
              </w:rPr>
              <w:t>0</w:t>
            </w:r>
          </w:p>
        </w:tc>
      </w:tr>
      <w:tr w:rsidR="002D3735" w14:paraId="01642087" w14:textId="77777777" w:rsidTr="005D0E34">
        <w:tc>
          <w:tcPr>
            <w:tcW w:w="1541" w:type="dxa"/>
          </w:tcPr>
          <w:p w14:paraId="10C81BEA"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Stroke</w:t>
            </w:r>
          </w:p>
        </w:tc>
        <w:tc>
          <w:tcPr>
            <w:tcW w:w="1687" w:type="dxa"/>
          </w:tcPr>
          <w:p w14:paraId="67E39BE0"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lang w:val="it-IT"/>
              </w:rPr>
              <w:t>VKA</w:t>
            </w:r>
          </w:p>
        </w:tc>
        <w:tc>
          <w:tcPr>
            <w:tcW w:w="1399" w:type="dxa"/>
          </w:tcPr>
          <w:p w14:paraId="21DFBF3D"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0.566</w:t>
            </w:r>
            <w:r w:rsidRPr="003A4376">
              <w:rPr>
                <w:rFonts w:ascii="Times New Roman" w:eastAsia="Times New Roman" w:hAnsi="Times New Roman" w:cs="Times New Roman"/>
                <w:sz w:val="20"/>
                <w:szCs w:val="20"/>
                <w:lang w:val="it-IT"/>
              </w:rPr>
              <w:t xml:space="preserve"> </w:t>
            </w:r>
            <w:r w:rsidRPr="003A4376">
              <w:rPr>
                <w:rFonts w:ascii="Cambria" w:eastAsia="Cambria" w:hAnsi="Cambria" w:cs="Cambria"/>
                <w:sz w:val="20"/>
                <w:szCs w:val="20"/>
              </w:rPr>
              <w:t>±</w:t>
            </w:r>
            <w:r w:rsidRPr="003A4376">
              <w:rPr>
                <w:rFonts w:ascii="Cambria" w:eastAsia="Cambria" w:hAnsi="Cambria" w:cs="Cambria"/>
                <w:sz w:val="20"/>
                <w:szCs w:val="20"/>
                <w:lang w:val="it-IT"/>
              </w:rPr>
              <w:t xml:space="preserve"> </w:t>
            </w:r>
            <w:r w:rsidRPr="003A4376">
              <w:rPr>
                <w:rFonts w:ascii="Times New Roman" w:eastAsia="Times New Roman" w:hAnsi="Times New Roman" w:cs="Times New Roman"/>
                <w:sz w:val="20"/>
                <w:szCs w:val="20"/>
              </w:rPr>
              <w:t>0.094</w:t>
            </w:r>
          </w:p>
        </w:tc>
        <w:tc>
          <w:tcPr>
            <w:tcW w:w="1412" w:type="dxa"/>
          </w:tcPr>
          <w:p w14:paraId="1FB838FD"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0.580</w:t>
            </w:r>
            <w:r w:rsidRPr="003A4376">
              <w:rPr>
                <w:rFonts w:ascii="Times New Roman" w:eastAsia="Times New Roman" w:hAnsi="Times New Roman" w:cs="Times New Roman"/>
                <w:sz w:val="20"/>
                <w:szCs w:val="20"/>
                <w:lang w:val="it-IT"/>
              </w:rPr>
              <w:t xml:space="preserve"> </w:t>
            </w:r>
            <w:r w:rsidRPr="003A4376">
              <w:rPr>
                <w:rFonts w:ascii="Cambria" w:eastAsia="Cambria" w:hAnsi="Cambria" w:cs="Cambria"/>
                <w:sz w:val="20"/>
                <w:szCs w:val="20"/>
              </w:rPr>
              <w:t>±</w:t>
            </w:r>
            <w:r w:rsidRPr="003A4376">
              <w:rPr>
                <w:rFonts w:ascii="Cambria" w:eastAsia="Cambria" w:hAnsi="Cambria" w:cs="Cambria"/>
                <w:sz w:val="20"/>
                <w:szCs w:val="20"/>
                <w:lang w:val="it-IT"/>
              </w:rPr>
              <w:t xml:space="preserve"> </w:t>
            </w:r>
            <w:r w:rsidRPr="003A4376">
              <w:rPr>
                <w:rFonts w:ascii="Times New Roman" w:eastAsia="Times New Roman" w:hAnsi="Times New Roman" w:cs="Times New Roman"/>
                <w:sz w:val="20"/>
                <w:szCs w:val="20"/>
              </w:rPr>
              <w:t>0.093</w:t>
            </w:r>
          </w:p>
        </w:tc>
        <w:tc>
          <w:tcPr>
            <w:tcW w:w="875" w:type="dxa"/>
          </w:tcPr>
          <w:p w14:paraId="796F13BB"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0.41</w:t>
            </w:r>
            <w:r w:rsidRPr="003A4376">
              <w:rPr>
                <w:rFonts w:ascii="Times New Roman" w:eastAsia="Times New Roman" w:hAnsi="Times New Roman" w:cs="Times New Roman"/>
                <w:sz w:val="20"/>
                <w:szCs w:val="20"/>
                <w:lang w:val="it-IT"/>
              </w:rPr>
              <w:t>4</w:t>
            </w:r>
          </w:p>
        </w:tc>
        <w:tc>
          <w:tcPr>
            <w:tcW w:w="1591" w:type="dxa"/>
          </w:tcPr>
          <w:p w14:paraId="3554D443"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0.536</w:t>
            </w:r>
            <w:r w:rsidRPr="003A4376">
              <w:rPr>
                <w:rFonts w:ascii="Times New Roman" w:eastAsia="Times New Roman" w:hAnsi="Times New Roman" w:cs="Times New Roman"/>
                <w:sz w:val="20"/>
                <w:szCs w:val="20"/>
                <w:lang w:val="it-IT"/>
              </w:rPr>
              <w:t xml:space="preserve"> </w:t>
            </w:r>
            <w:r w:rsidRPr="003A4376">
              <w:rPr>
                <w:rFonts w:ascii="Cambria" w:eastAsia="Cambria" w:hAnsi="Cambria" w:cs="Cambria"/>
                <w:sz w:val="20"/>
                <w:szCs w:val="20"/>
              </w:rPr>
              <w:t>±</w:t>
            </w:r>
            <w:r w:rsidRPr="003A4376">
              <w:rPr>
                <w:rFonts w:ascii="Cambria" w:eastAsia="Cambria" w:hAnsi="Cambria" w:cs="Cambria"/>
                <w:sz w:val="20"/>
                <w:szCs w:val="20"/>
                <w:lang w:val="it-IT"/>
              </w:rPr>
              <w:t xml:space="preserve"> </w:t>
            </w:r>
            <w:r w:rsidRPr="003A4376">
              <w:rPr>
                <w:rFonts w:ascii="Times New Roman" w:eastAsia="Times New Roman" w:hAnsi="Times New Roman" w:cs="Times New Roman"/>
                <w:sz w:val="20"/>
                <w:szCs w:val="20"/>
              </w:rPr>
              <w:t>0.076</w:t>
            </w:r>
          </w:p>
        </w:tc>
        <w:tc>
          <w:tcPr>
            <w:tcW w:w="1123" w:type="dxa"/>
          </w:tcPr>
          <w:p w14:paraId="125FD467" w14:textId="77777777" w:rsidR="002D3735" w:rsidRPr="003A4376" w:rsidRDefault="002D3735" w:rsidP="005D0E34">
            <w:pPr>
              <w:jc w:val="center"/>
              <w:rPr>
                <w:sz w:val="20"/>
                <w:szCs w:val="20"/>
              </w:rPr>
            </w:pPr>
            <w:r w:rsidRPr="003A4376">
              <w:rPr>
                <w:rFonts w:ascii="Times New Roman" w:eastAsia="Times New Roman" w:hAnsi="Times New Roman" w:cs="Times New Roman"/>
                <w:sz w:val="20"/>
                <w:szCs w:val="20"/>
              </w:rPr>
              <w:t>0.70</w:t>
            </w:r>
            <w:r w:rsidRPr="003A4376">
              <w:rPr>
                <w:rFonts w:ascii="Times New Roman" w:eastAsia="Times New Roman" w:hAnsi="Times New Roman" w:cs="Times New Roman"/>
                <w:sz w:val="20"/>
                <w:szCs w:val="20"/>
                <w:lang w:val="it-IT"/>
              </w:rPr>
              <w:t>1</w:t>
            </w:r>
          </w:p>
        </w:tc>
      </w:tr>
    </w:tbl>
    <w:p w14:paraId="79409BDA" w14:textId="77777777" w:rsidR="002D3735" w:rsidRDefault="002D3735" w:rsidP="002D3735">
      <w:pPr>
        <w:jc w:val="center"/>
      </w:pPr>
    </w:p>
    <w:p w14:paraId="3EA7FEF8" w14:textId="77777777" w:rsidR="002D3735" w:rsidRPr="00D87005" w:rsidRDefault="002D3735" w:rsidP="002D3735">
      <w:pPr>
        <w:spacing w:after="0" w:line="265" w:lineRule="auto"/>
        <w:ind w:left="10" w:hanging="10"/>
        <w:rPr>
          <w:rFonts w:ascii="Times New Roman" w:hAnsi="Times New Roman" w:cs="Times New Roman"/>
          <w:i/>
          <w:iCs/>
        </w:rPr>
      </w:pPr>
      <w:r w:rsidRPr="00D87005">
        <w:rPr>
          <w:rFonts w:ascii="Times New Roman" w:hAnsi="Times New Roman" w:cs="Times New Roman"/>
          <w:b/>
          <w:bCs/>
          <w:i/>
          <w:iCs/>
        </w:rPr>
        <w:t>Table 4:</w:t>
      </w:r>
      <w:r w:rsidRPr="00D87005">
        <w:rPr>
          <w:rFonts w:ascii="Times New Roman" w:hAnsi="Times New Roman" w:cs="Times New Roman"/>
          <w:i/>
          <w:iCs/>
        </w:rPr>
        <w:t xml:space="preserve"> Comparison between best ML predicting model and HAS-BLED or CHA</w:t>
      </w:r>
      <w:r w:rsidRPr="00D87005">
        <w:rPr>
          <w:rFonts w:ascii="Times New Roman" w:hAnsi="Times New Roman" w:cs="Times New Roman"/>
          <w:i/>
          <w:iCs/>
          <w:vertAlign w:val="subscript"/>
        </w:rPr>
        <w:t>2</w:t>
      </w:r>
      <w:r w:rsidRPr="00D87005">
        <w:rPr>
          <w:rFonts w:ascii="Times New Roman" w:hAnsi="Times New Roman" w:cs="Times New Roman"/>
          <w:i/>
          <w:iCs/>
        </w:rPr>
        <w:t>DSVA</w:t>
      </w:r>
      <w:r w:rsidRPr="00D87005">
        <w:rPr>
          <w:rFonts w:ascii="Times New Roman" w:hAnsi="Times New Roman" w:cs="Times New Roman"/>
          <w:i/>
          <w:iCs/>
          <w:vertAlign w:val="subscript"/>
        </w:rPr>
        <w:t>2</w:t>
      </w:r>
      <w:r w:rsidRPr="00D87005">
        <w:rPr>
          <w:rFonts w:ascii="Times New Roman" w:hAnsi="Times New Roman" w:cs="Times New Roman"/>
          <w:i/>
          <w:iCs/>
        </w:rPr>
        <w:t>SC</w:t>
      </w:r>
    </w:p>
    <w:p w14:paraId="037DD710" w14:textId="77777777" w:rsidR="002D3735" w:rsidRPr="00C95EA2" w:rsidRDefault="002D3735" w:rsidP="002D3735">
      <w:pPr>
        <w:spacing w:line="480" w:lineRule="auto"/>
        <w:jc w:val="both"/>
        <w:rPr>
          <w:rFonts w:ascii="Times New Roman" w:hAnsi="Times New Roman" w:cs="Times New Roman"/>
          <w:color w:val="000000" w:themeColor="text1"/>
          <w:sz w:val="24"/>
          <w:szCs w:val="24"/>
        </w:rPr>
      </w:pPr>
    </w:p>
    <w:p w14:paraId="319EDBCA" w14:textId="77777777" w:rsidR="002D3735" w:rsidRPr="00C95EA2" w:rsidRDefault="002D3735" w:rsidP="002D3735">
      <w:pPr>
        <w:spacing w:line="480" w:lineRule="auto"/>
        <w:jc w:val="both"/>
        <w:rPr>
          <w:rFonts w:ascii="Times New Roman" w:hAnsi="Times New Roman" w:cs="Times New Roman"/>
          <w:color w:val="000000" w:themeColor="text1"/>
          <w:sz w:val="24"/>
          <w:szCs w:val="24"/>
        </w:rPr>
      </w:pPr>
    </w:p>
    <w:p w14:paraId="36629EF0" w14:textId="77777777" w:rsidR="002D3735" w:rsidRPr="00C95EA2" w:rsidRDefault="002D3735" w:rsidP="002D3735">
      <w:pPr>
        <w:spacing w:line="480" w:lineRule="auto"/>
        <w:jc w:val="both"/>
        <w:rPr>
          <w:rFonts w:ascii="Times New Roman" w:hAnsi="Times New Roman" w:cs="Times New Roman"/>
          <w:b/>
          <w:bCs/>
          <w:color w:val="000000" w:themeColor="text1"/>
          <w:sz w:val="24"/>
          <w:szCs w:val="24"/>
        </w:rPr>
      </w:pPr>
      <w:r w:rsidRPr="00C95EA2">
        <w:rPr>
          <w:rFonts w:ascii="Times New Roman" w:hAnsi="Times New Roman" w:cs="Times New Roman"/>
          <w:b/>
          <w:bCs/>
          <w:color w:val="000000" w:themeColor="text1"/>
          <w:sz w:val="24"/>
          <w:szCs w:val="24"/>
        </w:rPr>
        <w:t>Predictive risk model comparison</w:t>
      </w:r>
    </w:p>
    <w:p w14:paraId="00782CC4" w14:textId="77777777" w:rsidR="002D3735" w:rsidRPr="00C95EA2"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hAnsi="Times New Roman" w:cs="Times New Roman"/>
          <w:color w:val="000000" w:themeColor="text1"/>
          <w:sz w:val="24"/>
          <w:szCs w:val="24"/>
        </w:rPr>
        <w:t>The comparison between the best ML-performing model and the clinical risk score HAS-BLED CHA</w:t>
      </w:r>
      <w:r w:rsidRPr="00C95EA2">
        <w:rPr>
          <w:rFonts w:ascii="Times New Roman" w:hAnsi="Times New Roman" w:cs="Times New Roman"/>
          <w:color w:val="000000" w:themeColor="text1"/>
          <w:sz w:val="24"/>
          <w:szCs w:val="24"/>
          <w:vertAlign w:val="subscript"/>
        </w:rPr>
        <w:t>2</w:t>
      </w:r>
      <w:r w:rsidRPr="00C95EA2">
        <w:rPr>
          <w:rFonts w:ascii="Times New Roman" w:hAnsi="Times New Roman" w:cs="Times New Roman"/>
          <w:color w:val="000000" w:themeColor="text1"/>
          <w:sz w:val="24"/>
          <w:szCs w:val="24"/>
        </w:rPr>
        <w:t>DS</w:t>
      </w:r>
      <w:r w:rsidRPr="00C95EA2">
        <w:rPr>
          <w:rFonts w:ascii="Times New Roman" w:hAnsi="Times New Roman" w:cs="Times New Roman"/>
          <w:color w:val="000000" w:themeColor="text1"/>
          <w:sz w:val="24"/>
          <w:szCs w:val="24"/>
          <w:vertAlign w:val="subscript"/>
        </w:rPr>
        <w:t>2</w:t>
      </w:r>
      <w:r w:rsidRPr="00C95EA2">
        <w:rPr>
          <w:rFonts w:ascii="Times New Roman" w:hAnsi="Times New Roman" w:cs="Times New Roman"/>
          <w:color w:val="000000" w:themeColor="text1"/>
          <w:sz w:val="24"/>
          <w:szCs w:val="24"/>
        </w:rPr>
        <w:t xml:space="preserve">VASC is shown in </w:t>
      </w:r>
      <w:r w:rsidRPr="00C95EA2">
        <w:rPr>
          <w:rFonts w:ascii="Times New Roman" w:hAnsi="Times New Roman" w:cs="Times New Roman"/>
          <w:b/>
          <w:bCs/>
          <w:i/>
          <w:iCs/>
          <w:color w:val="000000" w:themeColor="text1"/>
          <w:sz w:val="24"/>
          <w:szCs w:val="24"/>
        </w:rPr>
        <w:t xml:space="preserve">Table 4 </w:t>
      </w:r>
      <w:r w:rsidRPr="00C95EA2">
        <w:rPr>
          <w:rFonts w:ascii="Times New Roman" w:hAnsi="Times New Roman" w:cs="Times New Roman"/>
          <w:color w:val="000000" w:themeColor="text1"/>
          <w:sz w:val="24"/>
          <w:szCs w:val="24"/>
        </w:rPr>
        <w:t>and</w:t>
      </w:r>
      <w:r w:rsidRPr="00C95EA2">
        <w:rPr>
          <w:rFonts w:ascii="Times New Roman" w:hAnsi="Times New Roman" w:cs="Times New Roman"/>
          <w:b/>
          <w:bCs/>
          <w:i/>
          <w:iCs/>
          <w:color w:val="000000" w:themeColor="text1"/>
          <w:sz w:val="24"/>
          <w:szCs w:val="24"/>
        </w:rPr>
        <w:t xml:space="preserve"> Figure 1. </w:t>
      </w:r>
      <w:r w:rsidRPr="00C95EA2">
        <w:rPr>
          <w:rFonts w:ascii="Times New Roman" w:hAnsi="Times New Roman" w:cs="Times New Roman"/>
          <w:color w:val="000000" w:themeColor="text1"/>
          <w:sz w:val="24"/>
          <w:szCs w:val="24"/>
        </w:rPr>
        <w:t>ML outperformed HAS-BLED and CHA</w:t>
      </w:r>
      <w:r w:rsidRPr="00C95EA2">
        <w:rPr>
          <w:rFonts w:ascii="Times New Roman" w:hAnsi="Times New Roman" w:cs="Times New Roman"/>
          <w:color w:val="000000" w:themeColor="text1"/>
          <w:sz w:val="24"/>
          <w:szCs w:val="24"/>
          <w:vertAlign w:val="subscript"/>
        </w:rPr>
        <w:t>2</w:t>
      </w:r>
      <w:r w:rsidRPr="00C95EA2">
        <w:rPr>
          <w:rFonts w:ascii="Times New Roman" w:hAnsi="Times New Roman" w:cs="Times New Roman"/>
          <w:color w:val="000000" w:themeColor="text1"/>
          <w:sz w:val="24"/>
          <w:szCs w:val="24"/>
        </w:rPr>
        <w:t>DS</w:t>
      </w:r>
      <w:r w:rsidRPr="00C95EA2">
        <w:rPr>
          <w:rFonts w:ascii="Times New Roman" w:hAnsi="Times New Roman" w:cs="Times New Roman"/>
          <w:color w:val="000000" w:themeColor="text1"/>
          <w:sz w:val="24"/>
          <w:szCs w:val="24"/>
          <w:vertAlign w:val="subscript"/>
        </w:rPr>
        <w:t>2</w:t>
      </w:r>
      <w:r w:rsidRPr="00C95EA2">
        <w:rPr>
          <w:rFonts w:ascii="Times New Roman" w:hAnsi="Times New Roman" w:cs="Times New Roman"/>
          <w:color w:val="000000" w:themeColor="text1"/>
          <w:sz w:val="24"/>
          <w:szCs w:val="24"/>
        </w:rPr>
        <w:t xml:space="preserve">VASC in all-cause death prediction in all populations considered (p&lt;0.001, </w:t>
      </w:r>
      <w:r w:rsidRPr="00C95EA2">
        <w:rPr>
          <w:rFonts w:ascii="Times New Roman" w:hAnsi="Times New Roman" w:cs="Times New Roman"/>
          <w:b/>
          <w:bCs/>
          <w:i/>
          <w:iCs/>
          <w:color w:val="000000" w:themeColor="text1"/>
          <w:sz w:val="24"/>
          <w:szCs w:val="24"/>
        </w:rPr>
        <w:t>Figure 1 A</w:t>
      </w:r>
      <w:r w:rsidRPr="00C95EA2">
        <w:rPr>
          <w:rFonts w:ascii="Times New Roman" w:hAnsi="Times New Roman" w:cs="Times New Roman"/>
          <w:color w:val="000000" w:themeColor="text1"/>
          <w:sz w:val="24"/>
          <w:szCs w:val="24"/>
        </w:rPr>
        <w:t xml:space="preserve">). Moreover, </w:t>
      </w:r>
      <w:r w:rsidRPr="00C95EA2">
        <w:rPr>
          <w:rFonts w:ascii="Times New Roman" w:eastAsia="Times New Roman" w:hAnsi="Times New Roman" w:cs="Times New Roman"/>
          <w:bCs/>
          <w:color w:val="000000" w:themeColor="text1"/>
          <w:sz w:val="24"/>
          <w:szCs w:val="24"/>
        </w:rPr>
        <w:t xml:space="preserve">ML improved major bleeding prediction in </w:t>
      </w:r>
      <w:r>
        <w:rPr>
          <w:rFonts w:ascii="Times New Roman" w:eastAsia="Times New Roman" w:hAnsi="Times New Roman" w:cs="Times New Roman"/>
          <w:bCs/>
          <w:color w:val="000000" w:themeColor="text1"/>
          <w:sz w:val="24"/>
          <w:szCs w:val="24"/>
        </w:rPr>
        <w:t xml:space="preserve">the </w:t>
      </w:r>
      <w:r w:rsidRPr="00C95EA2">
        <w:rPr>
          <w:rFonts w:ascii="Times New Roman" w:eastAsia="Times New Roman" w:hAnsi="Times New Roman" w:cs="Times New Roman"/>
          <w:bCs/>
          <w:color w:val="000000" w:themeColor="text1"/>
          <w:sz w:val="24"/>
          <w:szCs w:val="24"/>
        </w:rPr>
        <w:t xml:space="preserve">DOAC population compared to HAS-BLED (0.711 Vs 0.586, p &lt;0.001, </w:t>
      </w:r>
      <w:r w:rsidRPr="00C95EA2">
        <w:rPr>
          <w:rFonts w:ascii="Times New Roman" w:eastAsia="Times New Roman" w:hAnsi="Times New Roman" w:cs="Times New Roman"/>
          <w:b/>
          <w:i/>
          <w:iCs/>
          <w:color w:val="000000" w:themeColor="text1"/>
          <w:sz w:val="24"/>
          <w:szCs w:val="24"/>
        </w:rPr>
        <w:t>Figure 1 C</w:t>
      </w:r>
      <w:r w:rsidRPr="00C95EA2">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Despite </w:t>
      </w:r>
      <w:r w:rsidRPr="00C95EA2">
        <w:rPr>
          <w:rFonts w:ascii="Times New Roman" w:eastAsia="Times New Roman" w:hAnsi="Times New Roman" w:cs="Times New Roman"/>
          <w:bCs/>
          <w:color w:val="000000" w:themeColor="text1"/>
          <w:sz w:val="24"/>
          <w:szCs w:val="24"/>
        </w:rPr>
        <w:t xml:space="preserve">numerically higher results, ML did not reach a statistically significant improvement </w:t>
      </w:r>
      <w:r>
        <w:rPr>
          <w:rFonts w:ascii="Times New Roman" w:eastAsia="Times New Roman" w:hAnsi="Times New Roman" w:cs="Times New Roman"/>
          <w:bCs/>
          <w:color w:val="000000" w:themeColor="text1"/>
          <w:sz w:val="24"/>
          <w:szCs w:val="24"/>
        </w:rPr>
        <w:t>for</w:t>
      </w:r>
      <w:r w:rsidRPr="00C95EA2">
        <w:rPr>
          <w:rFonts w:ascii="Times New Roman" w:eastAsia="Times New Roman" w:hAnsi="Times New Roman" w:cs="Times New Roman"/>
          <w:bCs/>
          <w:color w:val="000000" w:themeColor="text1"/>
          <w:sz w:val="24"/>
          <w:szCs w:val="24"/>
        </w:rPr>
        <w:t xml:space="preserve"> CV</w:t>
      </w:r>
      <w:r>
        <w:rPr>
          <w:rFonts w:ascii="Times New Roman" w:eastAsia="Times New Roman" w:hAnsi="Times New Roman" w:cs="Times New Roman"/>
          <w:bCs/>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 xml:space="preserve">death or major bleeding prediction in all the populations considered or in </w:t>
      </w:r>
      <w:r>
        <w:rPr>
          <w:rFonts w:ascii="Times New Roman" w:eastAsia="Times New Roman" w:hAnsi="Times New Roman" w:cs="Times New Roman"/>
          <w:bCs/>
          <w:color w:val="000000" w:themeColor="text1"/>
          <w:sz w:val="24"/>
          <w:szCs w:val="24"/>
        </w:rPr>
        <w:t xml:space="preserve">the overall </w:t>
      </w:r>
      <w:r w:rsidRPr="00C95EA2">
        <w:rPr>
          <w:rFonts w:ascii="Times New Roman" w:eastAsia="Times New Roman" w:hAnsi="Times New Roman" w:cs="Times New Roman"/>
          <w:bCs/>
          <w:color w:val="000000" w:themeColor="text1"/>
          <w:sz w:val="24"/>
          <w:szCs w:val="24"/>
        </w:rPr>
        <w:t>and VKA populations</w:t>
      </w:r>
      <w:r>
        <w:rPr>
          <w:rFonts w:ascii="Times New Roman" w:eastAsia="Times New Roman" w:hAnsi="Times New Roman" w:cs="Times New Roman"/>
          <w:bCs/>
          <w:color w:val="000000" w:themeColor="text1"/>
          <w:sz w:val="24"/>
          <w:szCs w:val="24"/>
        </w:rPr>
        <w:t>,</w:t>
      </w:r>
      <w:r w:rsidRPr="00FF0711">
        <w:rPr>
          <w:rFonts w:ascii="Times New Roman" w:eastAsia="Times New Roman" w:hAnsi="Times New Roman" w:cs="Times New Roman"/>
          <w:bCs/>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 xml:space="preserve">respectively. No statistically significant differences were found in ischemic stroke prediction between ML and </w:t>
      </w:r>
      <w:r>
        <w:rPr>
          <w:rFonts w:ascii="Times New Roman" w:eastAsia="Times New Roman" w:hAnsi="Times New Roman" w:cs="Times New Roman"/>
          <w:bCs/>
          <w:color w:val="000000" w:themeColor="text1"/>
          <w:sz w:val="24"/>
          <w:szCs w:val="24"/>
        </w:rPr>
        <w:t xml:space="preserve">other </w:t>
      </w:r>
      <w:r w:rsidRPr="00C95EA2">
        <w:rPr>
          <w:rFonts w:ascii="Times New Roman" w:eastAsia="Times New Roman" w:hAnsi="Times New Roman" w:cs="Times New Roman"/>
          <w:bCs/>
          <w:color w:val="000000" w:themeColor="text1"/>
          <w:sz w:val="24"/>
          <w:szCs w:val="24"/>
        </w:rPr>
        <w:t xml:space="preserve">risk scores. </w:t>
      </w:r>
    </w:p>
    <w:p w14:paraId="1D5A0AEF" w14:textId="77777777" w:rsidR="002D3735" w:rsidRDefault="002D3735" w:rsidP="002D3735">
      <w:pPr>
        <w:spacing w:line="480" w:lineRule="auto"/>
        <w:jc w:val="both"/>
        <w:rPr>
          <w:rFonts w:ascii="Times New Roman" w:eastAsia="Times New Roman" w:hAnsi="Times New Roman" w:cs="Times New Roman"/>
          <w:bCs/>
          <w:color w:val="000000" w:themeColor="text1"/>
          <w:sz w:val="24"/>
          <w:szCs w:val="24"/>
        </w:rPr>
      </w:pPr>
    </w:p>
    <w:p w14:paraId="54C5771E" w14:textId="26C4504E"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noProof/>
          <w:color w:val="000000" w:themeColor="text1"/>
          <w:sz w:val="24"/>
          <w:szCs w:val="24"/>
        </w:rPr>
        <w:lastRenderedPageBreak/>
        <w:drawing>
          <wp:inline distT="0" distB="0" distL="0" distR="0" wp14:anchorId="5449886B" wp14:editId="4519D6D6">
            <wp:extent cx="4787900" cy="3667832"/>
            <wp:effectExtent l="0" t="0" r="0" b="8890"/>
            <wp:docPr id="168573941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739412" name="Immagine 1685739412"/>
                    <pic:cNvPicPr/>
                  </pic:nvPicPr>
                  <pic:blipFill>
                    <a:blip r:embed="rId12">
                      <a:extLst>
                        <a:ext uri="{28A0092B-C50C-407E-A947-70E740481C1C}">
                          <a14:useLocalDpi xmlns:a14="http://schemas.microsoft.com/office/drawing/2010/main" val="0"/>
                        </a:ext>
                      </a:extLst>
                    </a:blip>
                    <a:stretch>
                      <a:fillRect/>
                    </a:stretch>
                  </pic:blipFill>
                  <pic:spPr>
                    <a:xfrm>
                      <a:off x="0" y="0"/>
                      <a:ext cx="4793850" cy="3672390"/>
                    </a:xfrm>
                    <a:prstGeom prst="rect">
                      <a:avLst/>
                    </a:prstGeom>
                  </pic:spPr>
                </pic:pic>
              </a:graphicData>
            </a:graphic>
          </wp:inline>
        </w:drawing>
      </w:r>
    </w:p>
    <w:p w14:paraId="5D6EC596" w14:textId="77777777" w:rsidR="00B30246" w:rsidRPr="00D87005" w:rsidRDefault="00B30246" w:rsidP="00B30246">
      <w:pPr>
        <w:ind w:left="-15" w:right="19"/>
        <w:rPr>
          <w:rFonts w:ascii="Times New Roman" w:hAnsi="Times New Roman" w:cs="Times New Roman"/>
          <w:i/>
          <w:iCs/>
        </w:rPr>
      </w:pPr>
      <w:r w:rsidRPr="00D87005">
        <w:rPr>
          <w:rFonts w:ascii="Times New Roman" w:hAnsi="Times New Roman" w:cs="Times New Roman"/>
          <w:b/>
          <w:bCs/>
          <w:i/>
          <w:iCs/>
        </w:rPr>
        <w:t>Figure 1:</w:t>
      </w:r>
      <w:r w:rsidRPr="00D87005">
        <w:rPr>
          <w:rFonts w:ascii="Times New Roman" w:hAnsi="Times New Roman" w:cs="Times New Roman"/>
          <w:i/>
          <w:iCs/>
        </w:rPr>
        <w:t xml:space="preserve"> ROC comparison for all-cause death in the overall population (A), CV death in the overall population (B), major bleeding in DOAC patients (C) and ischemic stroke in the overall population (D) between the best-predicting ML model, CHA</w:t>
      </w:r>
      <w:r w:rsidRPr="00D87005">
        <w:rPr>
          <w:rFonts w:ascii="Times New Roman" w:hAnsi="Times New Roman" w:cs="Times New Roman"/>
          <w:i/>
          <w:iCs/>
          <w:vertAlign w:val="subscript"/>
        </w:rPr>
        <w:t>2</w:t>
      </w:r>
      <w:r w:rsidRPr="00D87005">
        <w:rPr>
          <w:rFonts w:ascii="Times New Roman" w:hAnsi="Times New Roman" w:cs="Times New Roman"/>
          <w:i/>
          <w:iCs/>
        </w:rPr>
        <w:t>DS</w:t>
      </w:r>
      <w:r w:rsidRPr="00D87005">
        <w:rPr>
          <w:rFonts w:ascii="Times New Roman" w:hAnsi="Times New Roman" w:cs="Times New Roman"/>
          <w:i/>
          <w:iCs/>
          <w:vertAlign w:val="subscript"/>
        </w:rPr>
        <w:t>2</w:t>
      </w:r>
      <w:r w:rsidRPr="00D87005">
        <w:rPr>
          <w:rFonts w:ascii="Times New Roman" w:hAnsi="Times New Roman" w:cs="Times New Roman"/>
          <w:i/>
          <w:iCs/>
        </w:rPr>
        <w:t>VASC and HAS-BLED scores.</w:t>
      </w:r>
    </w:p>
    <w:p w14:paraId="7D9EFBBB" w14:textId="77777777" w:rsidR="00B30246" w:rsidRPr="00816983" w:rsidRDefault="00B30246" w:rsidP="00B30246">
      <w:pPr>
        <w:ind w:left="-15" w:right="19" w:firstLine="299"/>
        <w:rPr>
          <w:rFonts w:ascii="Times New Roman" w:hAnsi="Times New Roman" w:cs="Times New Roman"/>
          <w:b/>
          <w:bCs/>
          <w:sz w:val="24"/>
          <w:szCs w:val="24"/>
        </w:rPr>
      </w:pPr>
    </w:p>
    <w:p w14:paraId="13F8E1B5" w14:textId="77777777" w:rsidR="00B30246" w:rsidRPr="00C95EA2" w:rsidRDefault="00B30246" w:rsidP="00B30246">
      <w:pPr>
        <w:spacing w:line="480" w:lineRule="auto"/>
        <w:jc w:val="center"/>
        <w:rPr>
          <w:rFonts w:ascii="Times New Roman" w:eastAsia="Times New Roman" w:hAnsi="Times New Roman" w:cs="Times New Roman"/>
          <w:bCs/>
          <w:color w:val="000000" w:themeColor="text1"/>
          <w:sz w:val="24"/>
          <w:szCs w:val="24"/>
        </w:rPr>
      </w:pPr>
    </w:p>
    <w:p w14:paraId="2262415A" w14:textId="77777777" w:rsidR="002D3735" w:rsidRPr="00C95EA2" w:rsidRDefault="002D3735" w:rsidP="002D3735">
      <w:pPr>
        <w:spacing w:line="480" w:lineRule="auto"/>
        <w:jc w:val="both"/>
        <w:rPr>
          <w:rFonts w:ascii="Times New Roman" w:eastAsia="Times New Roman" w:hAnsi="Times New Roman" w:cs="Times New Roman"/>
          <w:b/>
          <w:i/>
          <w:iCs/>
          <w:color w:val="000000" w:themeColor="text1"/>
          <w:sz w:val="24"/>
          <w:szCs w:val="24"/>
        </w:rPr>
      </w:pPr>
      <w:r w:rsidRPr="00C95EA2">
        <w:rPr>
          <w:rFonts w:ascii="Times New Roman" w:eastAsia="Times New Roman" w:hAnsi="Times New Roman" w:cs="Times New Roman"/>
          <w:b/>
          <w:i/>
          <w:iCs/>
          <w:color w:val="000000" w:themeColor="text1"/>
          <w:sz w:val="24"/>
          <w:szCs w:val="24"/>
        </w:rPr>
        <w:t>Ranking Risk Predictors</w:t>
      </w:r>
    </w:p>
    <w:p w14:paraId="2E71E676" w14:textId="77777777" w:rsidR="002D3735"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eastAsia="Times New Roman" w:hAnsi="Times New Roman" w:cs="Times New Roman"/>
          <w:bCs/>
          <w:color w:val="000000" w:themeColor="text1"/>
          <w:sz w:val="24"/>
          <w:szCs w:val="24"/>
        </w:rPr>
        <w:t xml:space="preserve">The list of the most relevant features of the GBDT model in the prediction of major bleeding in the DOAC population is shown in </w:t>
      </w:r>
      <w:r w:rsidRPr="00C95EA2">
        <w:rPr>
          <w:rFonts w:ascii="Times New Roman" w:eastAsia="Times New Roman" w:hAnsi="Times New Roman" w:cs="Times New Roman"/>
          <w:b/>
          <w:i/>
          <w:iCs/>
          <w:color w:val="000000" w:themeColor="text1"/>
          <w:sz w:val="24"/>
          <w:szCs w:val="24"/>
        </w:rPr>
        <w:t>Figure 2 A.</w:t>
      </w:r>
      <w:r w:rsidRPr="00C95EA2">
        <w:rPr>
          <w:rFonts w:ascii="Times New Roman" w:eastAsia="Times New Roman" w:hAnsi="Times New Roman" w:cs="Times New Roman"/>
          <w:bCs/>
          <w:color w:val="000000" w:themeColor="text1"/>
          <w:sz w:val="24"/>
          <w:szCs w:val="24"/>
        </w:rPr>
        <w:t xml:space="preserve"> The list of relevant features for the GBDT model for the other outcomes and population</w:t>
      </w:r>
      <w:r>
        <w:rPr>
          <w:rFonts w:ascii="Times New Roman" w:eastAsia="Times New Roman" w:hAnsi="Times New Roman" w:cs="Times New Roman"/>
          <w:bCs/>
          <w:color w:val="000000" w:themeColor="text1"/>
          <w:sz w:val="24"/>
          <w:szCs w:val="24"/>
        </w:rPr>
        <w:t>s</w:t>
      </w:r>
      <w:r w:rsidRPr="00C95EA2">
        <w:rPr>
          <w:rFonts w:ascii="Times New Roman" w:eastAsia="Times New Roman" w:hAnsi="Times New Roman" w:cs="Times New Roman"/>
          <w:bCs/>
          <w:color w:val="000000" w:themeColor="text1"/>
          <w:sz w:val="24"/>
          <w:szCs w:val="24"/>
        </w:rPr>
        <w:t xml:space="preserve"> is shown in </w:t>
      </w:r>
      <w:r w:rsidRPr="00C95EA2">
        <w:rPr>
          <w:rFonts w:ascii="Times New Roman" w:eastAsia="Times New Roman" w:hAnsi="Times New Roman" w:cs="Times New Roman"/>
          <w:b/>
          <w:i/>
          <w:iCs/>
          <w:color w:val="000000" w:themeColor="text1"/>
          <w:sz w:val="24"/>
          <w:szCs w:val="24"/>
        </w:rPr>
        <w:t xml:space="preserve">Figure 1 and 2, Supplementary Material. </w:t>
      </w:r>
      <w:r w:rsidRPr="00C95EA2">
        <w:rPr>
          <w:rFonts w:ascii="Times New Roman" w:eastAsia="Times New Roman" w:hAnsi="Times New Roman" w:cs="Times New Roman"/>
          <w:bCs/>
          <w:color w:val="000000" w:themeColor="text1"/>
          <w:sz w:val="24"/>
          <w:szCs w:val="24"/>
        </w:rPr>
        <w:t xml:space="preserve">The most important features for major bleeding in the DOAC population </w:t>
      </w:r>
      <w:r>
        <w:rPr>
          <w:rFonts w:ascii="Times New Roman" w:eastAsia="Times New Roman" w:hAnsi="Times New Roman" w:cs="Times New Roman"/>
          <w:bCs/>
          <w:color w:val="000000" w:themeColor="text1"/>
          <w:sz w:val="24"/>
          <w:szCs w:val="24"/>
        </w:rPr>
        <w:t xml:space="preserve">were </w:t>
      </w:r>
      <w:r w:rsidRPr="00C95EA2">
        <w:rPr>
          <w:rFonts w:ascii="Times New Roman" w:eastAsia="Times New Roman" w:hAnsi="Times New Roman" w:cs="Times New Roman"/>
          <w:bCs/>
          <w:color w:val="000000" w:themeColor="text1"/>
          <w:sz w:val="24"/>
          <w:szCs w:val="24"/>
        </w:rPr>
        <w:t>hemoglobin level</w:t>
      </w:r>
      <w:r>
        <w:rPr>
          <w:rFonts w:ascii="Times New Roman" w:eastAsia="Times New Roman" w:hAnsi="Times New Roman" w:cs="Times New Roman"/>
          <w:bCs/>
          <w:color w:val="000000" w:themeColor="text1"/>
          <w:sz w:val="24"/>
          <w:szCs w:val="24"/>
        </w:rPr>
        <w:t>s</w:t>
      </w:r>
      <w:r w:rsidRPr="00C95EA2">
        <w:rPr>
          <w:rFonts w:ascii="Times New Roman" w:eastAsia="Times New Roman" w:hAnsi="Times New Roman" w:cs="Times New Roman"/>
          <w:bCs/>
          <w:color w:val="000000" w:themeColor="text1"/>
          <w:sz w:val="24"/>
          <w:szCs w:val="24"/>
        </w:rPr>
        <w:t xml:space="preserve">, platelet count, BMI value, estimated GFR, age, red cell blood count, creatinine level and a history of previous major bleeding. With the exclusion of the previous major bleeding and apart from minor differences in </w:t>
      </w:r>
      <w:r w:rsidRPr="00C95EA2">
        <w:rPr>
          <w:rFonts w:ascii="Times New Roman" w:eastAsia="Times New Roman" w:hAnsi="Times New Roman" w:cs="Times New Roman"/>
          <w:bCs/>
          <w:color w:val="000000" w:themeColor="text1"/>
          <w:sz w:val="24"/>
          <w:szCs w:val="24"/>
        </w:rPr>
        <w:lastRenderedPageBreak/>
        <w:t>ranked feature importance, the risk predictors were similar for each outcome in all populations considered. SHAP algorithm (</w:t>
      </w:r>
      <w:r w:rsidRPr="00C95EA2">
        <w:rPr>
          <w:rFonts w:ascii="Times New Roman" w:eastAsia="Times New Roman" w:hAnsi="Times New Roman" w:cs="Times New Roman"/>
          <w:b/>
          <w:i/>
          <w:iCs/>
          <w:color w:val="000000" w:themeColor="text1"/>
          <w:sz w:val="24"/>
          <w:szCs w:val="24"/>
        </w:rPr>
        <w:t>Figure 2B</w:t>
      </w:r>
      <w:r w:rsidRPr="00C95EA2">
        <w:rPr>
          <w:rFonts w:ascii="Times New Roman" w:eastAsia="Times New Roman" w:hAnsi="Times New Roman" w:cs="Times New Roman"/>
          <w:bCs/>
          <w:color w:val="000000" w:themeColor="text1"/>
          <w:sz w:val="24"/>
          <w:szCs w:val="24"/>
        </w:rPr>
        <w:t xml:space="preserve">) selected the same aforementioned features as the more impactful in predicting major bleeding. In particular, the algorithm evidenced a linear inverse relationship (lower the value, higher the impact on the outcome prediction) between major bleeding and hemoglobin levels, platelet number, and BMI; contrarily, a linear direct relationship was evidenced with age and the history of previous major bleeding. On the other hand, the renal function, represented by GFR and creatinine levels, contributed in a non-linear relationship predicting major bleeding. </w:t>
      </w:r>
    </w:p>
    <w:p w14:paraId="7BE30850" w14:textId="557560AB"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noProof/>
          <w:color w:val="000000" w:themeColor="text1"/>
          <w:sz w:val="24"/>
          <w:szCs w:val="24"/>
        </w:rPr>
        <w:drawing>
          <wp:inline distT="0" distB="0" distL="0" distR="0" wp14:anchorId="130A70BE" wp14:editId="640A6B0B">
            <wp:extent cx="3121152" cy="3517392"/>
            <wp:effectExtent l="0" t="0" r="3175" b="6985"/>
            <wp:docPr id="3589185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91858" name="Immagine 35891858"/>
                    <pic:cNvPicPr/>
                  </pic:nvPicPr>
                  <pic:blipFill>
                    <a:blip r:embed="rId13">
                      <a:extLst>
                        <a:ext uri="{28A0092B-C50C-407E-A947-70E740481C1C}">
                          <a14:useLocalDpi xmlns:a14="http://schemas.microsoft.com/office/drawing/2010/main" val="0"/>
                        </a:ext>
                      </a:extLst>
                    </a:blip>
                    <a:stretch>
                      <a:fillRect/>
                    </a:stretch>
                  </pic:blipFill>
                  <pic:spPr>
                    <a:xfrm>
                      <a:off x="0" y="0"/>
                      <a:ext cx="3121152" cy="3517392"/>
                    </a:xfrm>
                    <a:prstGeom prst="rect">
                      <a:avLst/>
                    </a:prstGeom>
                  </pic:spPr>
                </pic:pic>
              </a:graphicData>
            </a:graphic>
          </wp:inline>
        </w:drawing>
      </w:r>
    </w:p>
    <w:p w14:paraId="5647D13F" w14:textId="77777777" w:rsidR="00B30246" w:rsidRPr="00D87005" w:rsidRDefault="00B30246" w:rsidP="00B30246">
      <w:pPr>
        <w:ind w:left="-15" w:right="19"/>
        <w:rPr>
          <w:rFonts w:ascii="Times New Roman" w:hAnsi="Times New Roman" w:cs="Times New Roman"/>
          <w:i/>
          <w:iCs/>
        </w:rPr>
      </w:pPr>
      <w:r w:rsidRPr="00D87005">
        <w:rPr>
          <w:rFonts w:ascii="Times New Roman" w:hAnsi="Times New Roman" w:cs="Times New Roman"/>
          <w:b/>
          <w:bCs/>
          <w:i/>
          <w:iCs/>
        </w:rPr>
        <w:t>Figure 2</w:t>
      </w:r>
      <w:bookmarkStart w:id="19" w:name="_Hlk145753608"/>
      <w:r w:rsidRPr="00D87005">
        <w:rPr>
          <w:rFonts w:ascii="Times New Roman" w:hAnsi="Times New Roman" w:cs="Times New Roman"/>
          <w:b/>
          <w:bCs/>
          <w:i/>
          <w:iCs/>
        </w:rPr>
        <w:t>:</w:t>
      </w:r>
      <w:r w:rsidRPr="00D87005">
        <w:rPr>
          <w:rFonts w:ascii="Times New Roman" w:hAnsi="Times New Roman" w:cs="Times New Roman"/>
          <w:i/>
          <w:iCs/>
        </w:rPr>
        <w:t xml:space="preserve"> (A) Most relevant features for the prediction of major bleeding events in the DOAC population in the GBDT model as the best predicting ML model for this item. </w:t>
      </w:r>
      <w:bookmarkEnd w:id="19"/>
      <w:r w:rsidRPr="00D87005">
        <w:rPr>
          <w:rFonts w:ascii="Times New Roman" w:hAnsi="Times New Roman" w:cs="Times New Roman"/>
          <w:i/>
          <w:iCs/>
        </w:rPr>
        <w:t>(B) SHAP values for GBDT model in the prediction of Major Bleeding in the DOAC population. RBC: Red Blood Cell Count; BMI: Body Mass Index; GFR: Glomerular Filtration Rate</w:t>
      </w:r>
    </w:p>
    <w:p w14:paraId="2CA5594E" w14:textId="77777777"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p>
    <w:p w14:paraId="08DDA65B" w14:textId="526D5206"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noProof/>
          <w:color w:val="000000" w:themeColor="text1"/>
          <w:sz w:val="24"/>
          <w:szCs w:val="24"/>
        </w:rPr>
        <w:lastRenderedPageBreak/>
        <w:drawing>
          <wp:inline distT="0" distB="0" distL="0" distR="0" wp14:anchorId="46F09243" wp14:editId="0D9D4C01">
            <wp:extent cx="4852416" cy="3779520"/>
            <wp:effectExtent l="0" t="0" r="5715" b="0"/>
            <wp:docPr id="152018734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87348" name="Immagine 1520187348"/>
                    <pic:cNvPicPr/>
                  </pic:nvPicPr>
                  <pic:blipFill>
                    <a:blip r:embed="rId14">
                      <a:extLst>
                        <a:ext uri="{28A0092B-C50C-407E-A947-70E740481C1C}">
                          <a14:useLocalDpi xmlns:a14="http://schemas.microsoft.com/office/drawing/2010/main" val="0"/>
                        </a:ext>
                      </a:extLst>
                    </a:blip>
                    <a:stretch>
                      <a:fillRect/>
                    </a:stretch>
                  </pic:blipFill>
                  <pic:spPr>
                    <a:xfrm>
                      <a:off x="0" y="0"/>
                      <a:ext cx="4852416" cy="3779520"/>
                    </a:xfrm>
                    <a:prstGeom prst="rect">
                      <a:avLst/>
                    </a:prstGeom>
                  </pic:spPr>
                </pic:pic>
              </a:graphicData>
            </a:graphic>
          </wp:inline>
        </w:drawing>
      </w:r>
    </w:p>
    <w:p w14:paraId="04580409" w14:textId="77777777" w:rsidR="00B30246" w:rsidRPr="00D87005" w:rsidRDefault="00B30246" w:rsidP="00B30246">
      <w:pPr>
        <w:spacing w:after="0" w:line="240" w:lineRule="auto"/>
        <w:rPr>
          <w:rFonts w:ascii="Times New Roman" w:eastAsia="Times New Roman" w:hAnsi="Times New Roman" w:cs="Times New Roman"/>
          <w:b/>
          <w:bCs/>
          <w:i/>
          <w:iCs/>
          <w:lang w:eastAsia="it-IT"/>
        </w:rPr>
      </w:pPr>
      <w:r w:rsidRPr="00D87005">
        <w:rPr>
          <w:rFonts w:ascii="Times New Roman" w:eastAsia="Times New Roman" w:hAnsi="Times New Roman" w:cs="Times New Roman"/>
          <w:b/>
          <w:bCs/>
          <w:i/>
          <w:iCs/>
          <w:lang w:eastAsia="it-IT"/>
        </w:rPr>
        <w:t>Figure 1 Supplemental</w:t>
      </w:r>
      <w:r w:rsidRPr="00D87005">
        <w:rPr>
          <w:rFonts w:ascii="Times New Roman" w:hAnsi="Times New Roman" w:cs="Times New Roman"/>
          <w:b/>
          <w:bCs/>
          <w:i/>
          <w:iCs/>
        </w:rPr>
        <w:t>:</w:t>
      </w:r>
      <w:r w:rsidRPr="00D87005">
        <w:rPr>
          <w:rFonts w:ascii="Times New Roman" w:hAnsi="Times New Roman" w:cs="Times New Roman"/>
          <w:i/>
          <w:iCs/>
        </w:rPr>
        <w:t xml:space="preserve"> Most relevant features for the prediction of all-cause death and cardiovascular (CV) death in the GBDT model as the best predicting ML model. </w:t>
      </w:r>
      <w:r w:rsidRPr="00D87005">
        <w:rPr>
          <w:rFonts w:ascii="Times New Roman" w:eastAsia="Times New Roman" w:hAnsi="Times New Roman" w:cs="Times New Roman"/>
          <w:b/>
          <w:bCs/>
          <w:i/>
          <w:iCs/>
          <w:lang w:eastAsia="it-IT"/>
        </w:rPr>
        <w:t>A:</w:t>
      </w:r>
      <w:r w:rsidRPr="00D87005">
        <w:rPr>
          <w:rFonts w:ascii="Times New Roman" w:eastAsia="Times New Roman" w:hAnsi="Times New Roman" w:cs="Times New Roman"/>
          <w:i/>
          <w:iCs/>
          <w:lang w:eastAsia="it-IT"/>
        </w:rPr>
        <w:t xml:space="preserve"> all-cause death in global population; </w:t>
      </w:r>
      <w:r w:rsidRPr="00D87005">
        <w:rPr>
          <w:rFonts w:ascii="Times New Roman" w:eastAsia="Times New Roman" w:hAnsi="Times New Roman" w:cs="Times New Roman"/>
          <w:b/>
          <w:bCs/>
          <w:i/>
          <w:iCs/>
          <w:lang w:eastAsia="it-IT"/>
        </w:rPr>
        <w:t>B:</w:t>
      </w:r>
      <w:r w:rsidRPr="00D87005">
        <w:rPr>
          <w:rFonts w:ascii="Times New Roman" w:eastAsia="Times New Roman" w:hAnsi="Times New Roman" w:cs="Times New Roman"/>
          <w:i/>
          <w:iCs/>
          <w:lang w:eastAsia="it-IT"/>
        </w:rPr>
        <w:t xml:space="preserve"> all-cause death in DOAC population; </w:t>
      </w:r>
      <w:r w:rsidRPr="00D87005">
        <w:rPr>
          <w:rFonts w:ascii="Times New Roman" w:eastAsia="Times New Roman" w:hAnsi="Times New Roman" w:cs="Times New Roman"/>
          <w:b/>
          <w:bCs/>
          <w:i/>
          <w:iCs/>
          <w:lang w:eastAsia="it-IT"/>
        </w:rPr>
        <w:t>C:</w:t>
      </w:r>
      <w:r w:rsidRPr="00D87005">
        <w:rPr>
          <w:rFonts w:ascii="Times New Roman" w:eastAsia="Times New Roman" w:hAnsi="Times New Roman" w:cs="Times New Roman"/>
          <w:i/>
          <w:iCs/>
          <w:lang w:eastAsia="it-IT"/>
        </w:rPr>
        <w:t xml:space="preserve"> all-cause death in VKA population; </w:t>
      </w:r>
      <w:r w:rsidRPr="00D87005">
        <w:rPr>
          <w:rFonts w:ascii="Times New Roman" w:eastAsia="Times New Roman" w:hAnsi="Times New Roman" w:cs="Times New Roman"/>
          <w:b/>
          <w:bCs/>
          <w:i/>
          <w:iCs/>
          <w:lang w:eastAsia="it-IT"/>
        </w:rPr>
        <w:t>D:</w:t>
      </w:r>
      <w:r w:rsidRPr="00D87005">
        <w:rPr>
          <w:rFonts w:ascii="Times New Roman" w:eastAsia="Times New Roman" w:hAnsi="Times New Roman" w:cs="Times New Roman"/>
          <w:i/>
          <w:iCs/>
          <w:lang w:eastAsia="it-IT"/>
        </w:rPr>
        <w:t xml:space="preserve"> CV death in global population; </w:t>
      </w:r>
      <w:r w:rsidRPr="00D87005">
        <w:rPr>
          <w:rFonts w:ascii="Times New Roman" w:eastAsia="Times New Roman" w:hAnsi="Times New Roman" w:cs="Times New Roman"/>
          <w:b/>
          <w:bCs/>
          <w:i/>
          <w:iCs/>
          <w:lang w:eastAsia="it-IT"/>
        </w:rPr>
        <w:t>E:</w:t>
      </w:r>
      <w:r w:rsidRPr="00D87005">
        <w:rPr>
          <w:rFonts w:ascii="Times New Roman" w:eastAsia="Times New Roman" w:hAnsi="Times New Roman" w:cs="Times New Roman"/>
          <w:i/>
          <w:iCs/>
          <w:lang w:eastAsia="it-IT"/>
        </w:rPr>
        <w:t xml:space="preserve"> CV death in DOAC population; </w:t>
      </w:r>
      <w:r w:rsidRPr="00D87005">
        <w:rPr>
          <w:rFonts w:ascii="Times New Roman" w:eastAsia="Times New Roman" w:hAnsi="Times New Roman" w:cs="Times New Roman"/>
          <w:b/>
          <w:bCs/>
          <w:i/>
          <w:iCs/>
          <w:lang w:eastAsia="it-IT"/>
        </w:rPr>
        <w:t>F:</w:t>
      </w:r>
      <w:r w:rsidRPr="00D87005">
        <w:rPr>
          <w:rFonts w:ascii="Times New Roman" w:eastAsia="Times New Roman" w:hAnsi="Times New Roman" w:cs="Times New Roman"/>
          <w:i/>
          <w:iCs/>
          <w:lang w:eastAsia="it-IT"/>
        </w:rPr>
        <w:t xml:space="preserve"> CV death in VKA population</w:t>
      </w:r>
    </w:p>
    <w:p w14:paraId="3F9F80BF" w14:textId="77777777" w:rsidR="00B30246" w:rsidRPr="00D87005" w:rsidRDefault="00B30246" w:rsidP="00B30246">
      <w:pPr>
        <w:spacing w:after="0" w:line="240" w:lineRule="auto"/>
        <w:rPr>
          <w:rFonts w:ascii="Times New Roman" w:eastAsia="Times New Roman" w:hAnsi="Times New Roman" w:cs="Times New Roman"/>
          <w:i/>
          <w:iCs/>
          <w:lang w:eastAsia="it-IT"/>
        </w:rPr>
      </w:pPr>
    </w:p>
    <w:p w14:paraId="35258962" w14:textId="77777777"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p>
    <w:p w14:paraId="767F585B" w14:textId="1AED8D7D" w:rsidR="00B30246" w:rsidRDefault="00B30246" w:rsidP="00B30246">
      <w:pPr>
        <w:spacing w:line="480" w:lineRule="auto"/>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noProof/>
          <w:color w:val="000000" w:themeColor="text1"/>
          <w:sz w:val="24"/>
          <w:szCs w:val="24"/>
        </w:rPr>
        <w:lastRenderedPageBreak/>
        <w:drawing>
          <wp:inline distT="0" distB="0" distL="0" distR="0" wp14:anchorId="2659C46F" wp14:editId="0DC3384B">
            <wp:extent cx="4956478" cy="3804234"/>
            <wp:effectExtent l="0" t="0" r="0" b="6350"/>
            <wp:docPr id="214717708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177086" name="Immagine 2147177086"/>
                    <pic:cNvPicPr/>
                  </pic:nvPicPr>
                  <pic:blipFill>
                    <a:blip r:embed="rId15">
                      <a:extLst>
                        <a:ext uri="{28A0092B-C50C-407E-A947-70E740481C1C}">
                          <a14:useLocalDpi xmlns:a14="http://schemas.microsoft.com/office/drawing/2010/main" val="0"/>
                        </a:ext>
                      </a:extLst>
                    </a:blip>
                    <a:stretch>
                      <a:fillRect/>
                    </a:stretch>
                  </pic:blipFill>
                  <pic:spPr>
                    <a:xfrm>
                      <a:off x="0" y="0"/>
                      <a:ext cx="4956478" cy="3804234"/>
                    </a:xfrm>
                    <a:prstGeom prst="rect">
                      <a:avLst/>
                    </a:prstGeom>
                  </pic:spPr>
                </pic:pic>
              </a:graphicData>
            </a:graphic>
          </wp:inline>
        </w:drawing>
      </w:r>
    </w:p>
    <w:p w14:paraId="61375093" w14:textId="77777777" w:rsidR="00B30246" w:rsidRPr="00D87005" w:rsidRDefault="00B30246" w:rsidP="00B30246">
      <w:pPr>
        <w:spacing w:after="0" w:line="240" w:lineRule="auto"/>
        <w:rPr>
          <w:rFonts w:ascii="Times New Roman" w:eastAsia="Times New Roman" w:hAnsi="Times New Roman" w:cs="Times New Roman"/>
          <w:b/>
          <w:bCs/>
          <w:i/>
          <w:iCs/>
          <w:lang w:eastAsia="it-IT"/>
        </w:rPr>
      </w:pPr>
      <w:r w:rsidRPr="00D87005">
        <w:rPr>
          <w:rFonts w:ascii="Times New Roman" w:eastAsia="Times New Roman" w:hAnsi="Times New Roman" w:cs="Times New Roman"/>
          <w:b/>
          <w:bCs/>
          <w:i/>
          <w:iCs/>
          <w:lang w:eastAsia="it-IT"/>
        </w:rPr>
        <w:t>Figure 2 Supplemental</w:t>
      </w:r>
      <w:r w:rsidRPr="00D87005">
        <w:rPr>
          <w:rFonts w:ascii="Times New Roman" w:hAnsi="Times New Roman" w:cs="Times New Roman"/>
          <w:b/>
          <w:bCs/>
          <w:i/>
          <w:iCs/>
        </w:rPr>
        <w:t>:</w:t>
      </w:r>
      <w:r w:rsidRPr="00D87005">
        <w:rPr>
          <w:rFonts w:ascii="Times New Roman" w:hAnsi="Times New Roman" w:cs="Times New Roman"/>
          <w:i/>
          <w:iCs/>
        </w:rPr>
        <w:t xml:space="preserve"> Most relevant features for the prediction of major bleeding and ischemic stroke in the GBDT model as the best predicting ML model. </w:t>
      </w:r>
      <w:r w:rsidRPr="00D87005">
        <w:rPr>
          <w:rFonts w:ascii="Times New Roman" w:eastAsia="Times New Roman" w:hAnsi="Times New Roman" w:cs="Times New Roman"/>
          <w:b/>
          <w:bCs/>
          <w:i/>
          <w:iCs/>
          <w:lang w:eastAsia="it-IT"/>
        </w:rPr>
        <w:t>A:</w:t>
      </w:r>
      <w:r w:rsidRPr="00D87005">
        <w:rPr>
          <w:rFonts w:ascii="Times New Roman" w:eastAsia="Times New Roman" w:hAnsi="Times New Roman" w:cs="Times New Roman"/>
          <w:i/>
          <w:iCs/>
          <w:lang w:eastAsia="it-IT"/>
        </w:rPr>
        <w:t xml:space="preserve"> major bleeding in global population; </w:t>
      </w:r>
      <w:r w:rsidRPr="00D87005">
        <w:rPr>
          <w:rFonts w:ascii="Times New Roman" w:eastAsia="Times New Roman" w:hAnsi="Times New Roman" w:cs="Times New Roman"/>
          <w:b/>
          <w:bCs/>
          <w:i/>
          <w:iCs/>
          <w:lang w:eastAsia="it-IT"/>
        </w:rPr>
        <w:t>B:</w:t>
      </w:r>
      <w:r w:rsidRPr="00D87005">
        <w:rPr>
          <w:rFonts w:ascii="Times New Roman" w:eastAsia="Times New Roman" w:hAnsi="Times New Roman" w:cs="Times New Roman"/>
          <w:i/>
          <w:iCs/>
          <w:lang w:eastAsia="it-IT"/>
        </w:rPr>
        <w:t xml:space="preserve"> major bleeding in DOAC population; </w:t>
      </w:r>
      <w:r w:rsidRPr="00D87005">
        <w:rPr>
          <w:rFonts w:ascii="Times New Roman" w:eastAsia="Times New Roman" w:hAnsi="Times New Roman" w:cs="Times New Roman"/>
          <w:b/>
          <w:bCs/>
          <w:i/>
          <w:iCs/>
          <w:lang w:eastAsia="it-IT"/>
        </w:rPr>
        <w:t>C:</w:t>
      </w:r>
      <w:r w:rsidRPr="00D87005">
        <w:rPr>
          <w:rFonts w:ascii="Times New Roman" w:eastAsia="Times New Roman" w:hAnsi="Times New Roman" w:cs="Times New Roman"/>
          <w:i/>
          <w:iCs/>
          <w:lang w:eastAsia="it-IT"/>
        </w:rPr>
        <w:t xml:space="preserve"> major bleeding in VKA population; </w:t>
      </w:r>
      <w:r w:rsidRPr="00D87005">
        <w:rPr>
          <w:rFonts w:ascii="Times New Roman" w:eastAsia="Times New Roman" w:hAnsi="Times New Roman" w:cs="Times New Roman"/>
          <w:b/>
          <w:bCs/>
          <w:i/>
          <w:iCs/>
          <w:lang w:eastAsia="it-IT"/>
        </w:rPr>
        <w:t>D:</w:t>
      </w:r>
      <w:r w:rsidRPr="00D87005">
        <w:rPr>
          <w:rFonts w:ascii="Times New Roman" w:eastAsia="Times New Roman" w:hAnsi="Times New Roman" w:cs="Times New Roman"/>
          <w:i/>
          <w:iCs/>
          <w:lang w:eastAsia="it-IT"/>
        </w:rPr>
        <w:t xml:space="preserve"> stroke in global population; </w:t>
      </w:r>
      <w:r w:rsidRPr="00D87005">
        <w:rPr>
          <w:rFonts w:ascii="Times New Roman" w:eastAsia="Times New Roman" w:hAnsi="Times New Roman" w:cs="Times New Roman"/>
          <w:b/>
          <w:bCs/>
          <w:i/>
          <w:iCs/>
          <w:lang w:eastAsia="it-IT"/>
        </w:rPr>
        <w:t>E:</w:t>
      </w:r>
      <w:r w:rsidRPr="00D87005">
        <w:rPr>
          <w:rFonts w:ascii="Times New Roman" w:eastAsia="Times New Roman" w:hAnsi="Times New Roman" w:cs="Times New Roman"/>
          <w:i/>
          <w:iCs/>
          <w:lang w:eastAsia="it-IT"/>
        </w:rPr>
        <w:t xml:space="preserve"> stroke in DOAC population; </w:t>
      </w:r>
      <w:r w:rsidRPr="00D87005">
        <w:rPr>
          <w:rFonts w:ascii="Times New Roman" w:eastAsia="Times New Roman" w:hAnsi="Times New Roman" w:cs="Times New Roman"/>
          <w:b/>
          <w:bCs/>
          <w:i/>
          <w:iCs/>
          <w:lang w:eastAsia="it-IT"/>
        </w:rPr>
        <w:t>F:</w:t>
      </w:r>
      <w:r w:rsidRPr="00D87005">
        <w:rPr>
          <w:rFonts w:ascii="Times New Roman" w:eastAsia="Times New Roman" w:hAnsi="Times New Roman" w:cs="Times New Roman"/>
          <w:i/>
          <w:iCs/>
          <w:lang w:eastAsia="it-IT"/>
        </w:rPr>
        <w:t xml:space="preserve"> stroke in VKA population. To be noted that when GBDT model was poorly predictive (AUC &lt;0.7), as for ischemic stroke prediction, the list of features is not very reliable because of the non-predictability of the model itself.</w:t>
      </w:r>
    </w:p>
    <w:p w14:paraId="221B09BF" w14:textId="77777777" w:rsidR="00B30246" w:rsidRDefault="00B30246" w:rsidP="00B30246">
      <w:pPr>
        <w:spacing w:after="0" w:line="240" w:lineRule="auto"/>
        <w:rPr>
          <w:rFonts w:ascii="Times New Roman" w:eastAsia="Times New Roman" w:hAnsi="Times New Roman" w:cs="Times New Roman"/>
          <w:sz w:val="24"/>
          <w:szCs w:val="24"/>
          <w:lang w:eastAsia="it-IT"/>
        </w:rPr>
      </w:pPr>
    </w:p>
    <w:p w14:paraId="67A45936" w14:textId="77777777" w:rsidR="00B30246" w:rsidRPr="00C95EA2" w:rsidRDefault="00B30246" w:rsidP="00B30246">
      <w:pPr>
        <w:spacing w:line="480" w:lineRule="auto"/>
        <w:jc w:val="center"/>
        <w:rPr>
          <w:rFonts w:ascii="Times New Roman" w:eastAsia="Times New Roman" w:hAnsi="Times New Roman" w:cs="Times New Roman"/>
          <w:bCs/>
          <w:color w:val="000000" w:themeColor="text1"/>
          <w:sz w:val="24"/>
          <w:szCs w:val="24"/>
        </w:rPr>
      </w:pPr>
    </w:p>
    <w:p w14:paraId="62A30702" w14:textId="77777777" w:rsidR="002D3735" w:rsidRPr="00C95EA2" w:rsidRDefault="002D3735" w:rsidP="002D3735">
      <w:pPr>
        <w:spacing w:line="480" w:lineRule="auto"/>
        <w:jc w:val="both"/>
        <w:rPr>
          <w:rFonts w:ascii="Times New Roman" w:eastAsia="Times New Roman" w:hAnsi="Times New Roman" w:cs="Times New Roman"/>
          <w:b/>
          <w:color w:val="000000" w:themeColor="text1"/>
          <w:sz w:val="24"/>
          <w:szCs w:val="24"/>
        </w:rPr>
      </w:pPr>
    </w:p>
    <w:p w14:paraId="2670DCAB" w14:textId="77777777" w:rsidR="00115F22" w:rsidRDefault="00115F22" w:rsidP="008D02BC">
      <w:pPr>
        <w:pStyle w:val="Titolo1"/>
        <w:spacing w:line="480" w:lineRule="auto"/>
        <w:rPr>
          <w:rFonts w:ascii="Times New Roman" w:eastAsia="Times New Roman" w:hAnsi="Times New Roman" w:cs="Times New Roman"/>
          <w:b/>
          <w:color w:val="auto"/>
          <w:sz w:val="22"/>
          <w:szCs w:val="22"/>
        </w:rPr>
      </w:pPr>
    </w:p>
    <w:p w14:paraId="0C038576" w14:textId="77777777" w:rsidR="002D3735" w:rsidRDefault="002D3735" w:rsidP="002D3735"/>
    <w:p w14:paraId="3D16AC73" w14:textId="77777777" w:rsidR="002D3735" w:rsidRDefault="002D3735" w:rsidP="002D3735"/>
    <w:p w14:paraId="7180C885" w14:textId="77777777" w:rsidR="002D3735" w:rsidRDefault="002D3735" w:rsidP="002D3735"/>
    <w:p w14:paraId="41029727" w14:textId="77777777" w:rsidR="002D3735" w:rsidRDefault="002D3735" w:rsidP="002D3735"/>
    <w:p w14:paraId="4D86015F" w14:textId="77777777" w:rsidR="00B30246" w:rsidRDefault="00B30246" w:rsidP="002D3735">
      <w:pPr>
        <w:spacing w:line="480" w:lineRule="auto"/>
        <w:jc w:val="both"/>
      </w:pPr>
    </w:p>
    <w:p w14:paraId="0306EDF1" w14:textId="77777777" w:rsidR="00B30246" w:rsidRDefault="00B30246" w:rsidP="002D3735">
      <w:pPr>
        <w:spacing w:line="480" w:lineRule="auto"/>
        <w:jc w:val="both"/>
      </w:pPr>
    </w:p>
    <w:p w14:paraId="3A7254CB" w14:textId="28EF651E" w:rsidR="002D3735" w:rsidRPr="002713F4" w:rsidRDefault="002D3735" w:rsidP="002713F4">
      <w:pPr>
        <w:pStyle w:val="TITOLOTNR"/>
        <w:rPr>
          <w:sz w:val="24"/>
          <w:szCs w:val="24"/>
        </w:rPr>
      </w:pPr>
      <w:bookmarkStart w:id="20" w:name="_Toc193649588"/>
      <w:r w:rsidRPr="002713F4">
        <w:rPr>
          <w:sz w:val="24"/>
          <w:szCs w:val="24"/>
        </w:rPr>
        <w:lastRenderedPageBreak/>
        <w:t>DISCUSSION</w:t>
      </w:r>
      <w:bookmarkEnd w:id="20"/>
    </w:p>
    <w:p w14:paraId="7E4D8C49" w14:textId="77777777" w:rsidR="002713F4" w:rsidRPr="00C95EA2" w:rsidRDefault="002713F4" w:rsidP="002713F4">
      <w:pPr>
        <w:pStyle w:val="TITOLOTNR"/>
      </w:pPr>
    </w:p>
    <w:p w14:paraId="4F2BCA69" w14:textId="77777777" w:rsidR="002D3735" w:rsidRPr="00AE0470" w:rsidRDefault="002D3735" w:rsidP="002D3735">
      <w:pPr>
        <w:spacing w:line="480" w:lineRule="auto"/>
        <w:jc w:val="both"/>
        <w:rPr>
          <w:rFonts w:ascii="Times New Roman" w:eastAsia="Times New Roman" w:hAnsi="Times New Roman" w:cs="Times New Roman"/>
          <w:sz w:val="24"/>
          <w:szCs w:val="24"/>
        </w:rPr>
      </w:pPr>
      <w:r w:rsidRPr="00AE0470">
        <w:rPr>
          <w:rFonts w:ascii="Times New Roman" w:eastAsia="Times New Roman" w:hAnsi="Times New Roman" w:cs="Times New Roman"/>
          <w:sz w:val="24"/>
          <w:szCs w:val="24"/>
        </w:rPr>
        <w:t>To our knowledge, this is the first study to use ML approach in an AF population</w:t>
      </w:r>
      <w:r>
        <w:rPr>
          <w:rFonts w:ascii="Times New Roman" w:eastAsia="Times New Roman" w:hAnsi="Times New Roman" w:cs="Times New Roman"/>
          <w:sz w:val="24"/>
          <w:szCs w:val="24"/>
        </w:rPr>
        <w:t xml:space="preserve"> entirely on</w:t>
      </w:r>
      <w:r w:rsidRPr="00AE0470">
        <w:rPr>
          <w:rFonts w:ascii="Times New Roman" w:eastAsia="Times New Roman" w:hAnsi="Times New Roman" w:cs="Times New Roman"/>
          <w:sz w:val="24"/>
          <w:szCs w:val="24"/>
        </w:rPr>
        <w:t xml:space="preserve"> oral anticoagulation to predict all</w:t>
      </w:r>
      <w:r w:rsidRPr="002851A6">
        <w:rPr>
          <w:rFonts w:ascii="Times New Roman" w:eastAsia="Times New Roman" w:hAnsi="Times New Roman" w:cs="Times New Roman"/>
          <w:sz w:val="24"/>
          <w:szCs w:val="24"/>
        </w:rPr>
        <w:t xml:space="preserve">-cause death, CV death, major bleeding and stroke. Data were obtained by a large, multicenter, real-world registry with a long-duration follow-up. Clinical outcomes were also evaluated in patients receiving different therapeutic approaches (DOACs and VKA), providing a different risk prediction in the two populations. The main findings can </w:t>
      </w:r>
      <w:r>
        <w:rPr>
          <w:rFonts w:ascii="Times New Roman" w:eastAsia="Times New Roman" w:hAnsi="Times New Roman" w:cs="Times New Roman"/>
          <w:sz w:val="24"/>
          <w:szCs w:val="24"/>
        </w:rPr>
        <w:t>be recapitulated as follows</w:t>
      </w:r>
      <w:r w:rsidRPr="00AE0470">
        <w:rPr>
          <w:rFonts w:ascii="Times New Roman" w:eastAsia="Times New Roman" w:hAnsi="Times New Roman" w:cs="Times New Roman"/>
          <w:sz w:val="24"/>
          <w:szCs w:val="24"/>
        </w:rPr>
        <w:t>:</w:t>
      </w:r>
    </w:p>
    <w:p w14:paraId="5E00EFBD" w14:textId="77777777" w:rsidR="002D3735" w:rsidRPr="00C95EA2" w:rsidRDefault="002D3735" w:rsidP="002D3735">
      <w:pPr>
        <w:pStyle w:val="Paragrafoelenco"/>
        <w:numPr>
          <w:ilvl w:val="0"/>
          <w:numId w:val="10"/>
        </w:numPr>
        <w:spacing w:line="480" w:lineRule="auto"/>
        <w:jc w:val="both"/>
        <w:rPr>
          <w:rFonts w:ascii="Times New Roman" w:eastAsia="Times New Roman" w:hAnsi="Times New Roman" w:cs="Times New Roman"/>
          <w:bCs/>
          <w:color w:val="000000" w:themeColor="text1"/>
          <w:sz w:val="24"/>
          <w:szCs w:val="24"/>
        </w:rPr>
      </w:pPr>
      <w:r w:rsidRPr="00C95EA2">
        <w:rPr>
          <w:rFonts w:ascii="Times New Roman" w:eastAsia="Times New Roman" w:hAnsi="Times New Roman" w:cs="Times New Roman"/>
          <w:bCs/>
          <w:color w:val="000000" w:themeColor="text1"/>
          <w:sz w:val="24"/>
          <w:szCs w:val="24"/>
        </w:rPr>
        <w:t>ML improved the prediction of all-cause mortality</w:t>
      </w:r>
      <w:r>
        <w:rPr>
          <w:rFonts w:ascii="Times New Roman" w:eastAsia="Times New Roman" w:hAnsi="Times New Roman" w:cs="Times New Roman"/>
          <w:bCs/>
          <w:color w:val="000000" w:themeColor="text1"/>
          <w:sz w:val="24"/>
          <w:szCs w:val="24"/>
        </w:rPr>
        <w:t xml:space="preserve"> in all populations considered</w:t>
      </w:r>
      <w:r w:rsidRPr="00C95EA2">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 xml:space="preserve">as compared </w:t>
      </w:r>
      <w:r w:rsidRPr="00C95EA2">
        <w:rPr>
          <w:rFonts w:ascii="Times New Roman" w:eastAsia="Times New Roman" w:hAnsi="Times New Roman" w:cs="Times New Roman"/>
          <w:bCs/>
          <w:color w:val="000000" w:themeColor="text1"/>
          <w:sz w:val="24"/>
          <w:szCs w:val="24"/>
        </w:rPr>
        <w:t xml:space="preserve">to </w:t>
      </w:r>
      <w:r>
        <w:rPr>
          <w:rFonts w:ascii="Times New Roman" w:eastAsia="Times New Roman" w:hAnsi="Times New Roman" w:cs="Times New Roman"/>
          <w:bCs/>
          <w:color w:val="000000" w:themeColor="text1"/>
          <w:sz w:val="24"/>
          <w:szCs w:val="24"/>
        </w:rPr>
        <w:t xml:space="preserve">available </w:t>
      </w:r>
      <w:r w:rsidRPr="00C95EA2">
        <w:rPr>
          <w:rFonts w:ascii="Times New Roman" w:eastAsia="Times New Roman" w:hAnsi="Times New Roman" w:cs="Times New Roman"/>
          <w:bCs/>
          <w:color w:val="000000" w:themeColor="text1"/>
          <w:sz w:val="24"/>
          <w:szCs w:val="24"/>
        </w:rPr>
        <w:t xml:space="preserve">risk scores </w:t>
      </w:r>
      <w:r>
        <w:rPr>
          <w:rFonts w:ascii="Times New Roman" w:eastAsia="Times New Roman" w:hAnsi="Times New Roman" w:cs="Times New Roman"/>
          <w:bCs/>
          <w:color w:val="000000" w:themeColor="text1"/>
          <w:sz w:val="24"/>
          <w:szCs w:val="24"/>
        </w:rPr>
        <w:t>and improved the</w:t>
      </w:r>
      <w:r w:rsidRPr="00C95EA2">
        <w:rPr>
          <w:rFonts w:ascii="Times New Roman" w:eastAsia="Times New Roman" w:hAnsi="Times New Roman" w:cs="Times New Roman"/>
          <w:bCs/>
          <w:color w:val="000000" w:themeColor="text1"/>
          <w:sz w:val="24"/>
          <w:szCs w:val="24"/>
        </w:rPr>
        <w:t xml:space="preserve"> prediction of major bleeding in the DOAC </w:t>
      </w:r>
      <w:r>
        <w:rPr>
          <w:rFonts w:ascii="Times New Roman" w:eastAsia="Times New Roman" w:hAnsi="Times New Roman" w:cs="Times New Roman"/>
          <w:bCs/>
          <w:color w:val="000000" w:themeColor="text1"/>
          <w:sz w:val="24"/>
          <w:szCs w:val="24"/>
        </w:rPr>
        <w:t>cohort as compared to HAS-BLED</w:t>
      </w:r>
      <w:r w:rsidRPr="00C95EA2">
        <w:rPr>
          <w:rFonts w:ascii="Times New Roman" w:eastAsia="Times New Roman" w:hAnsi="Times New Roman" w:cs="Times New Roman"/>
          <w:bCs/>
          <w:color w:val="000000" w:themeColor="text1"/>
          <w:sz w:val="24"/>
          <w:szCs w:val="24"/>
        </w:rPr>
        <w:t>.</w:t>
      </w:r>
    </w:p>
    <w:p w14:paraId="64FA1E71" w14:textId="77777777" w:rsidR="002D3735" w:rsidRPr="00C95EA2" w:rsidRDefault="002D3735" w:rsidP="002D3735">
      <w:pPr>
        <w:pStyle w:val="Paragrafoelenco"/>
        <w:numPr>
          <w:ilvl w:val="0"/>
          <w:numId w:val="10"/>
        </w:numPr>
        <w:spacing w:line="480" w:lineRule="auto"/>
        <w:jc w:val="both"/>
        <w:rPr>
          <w:rFonts w:ascii="Times New Roman" w:hAnsi="Times New Roman" w:cs="Times New Roman"/>
          <w:color w:val="000000" w:themeColor="text1"/>
          <w:sz w:val="24"/>
          <w:szCs w:val="24"/>
        </w:rPr>
      </w:pPr>
      <w:r w:rsidRPr="00C95EA2">
        <w:rPr>
          <w:rFonts w:ascii="Times New Roman" w:eastAsia="Times New Roman" w:hAnsi="Times New Roman" w:cs="Times New Roman"/>
          <w:bCs/>
          <w:color w:val="000000" w:themeColor="text1"/>
          <w:sz w:val="24"/>
          <w:szCs w:val="24"/>
        </w:rPr>
        <w:t xml:space="preserve">The GBDT model selected important </w:t>
      </w:r>
      <w:bookmarkStart w:id="21" w:name="_Hlk153190586"/>
      <w:r w:rsidRPr="00C95EA2">
        <w:rPr>
          <w:rFonts w:ascii="Times New Roman" w:eastAsia="Times New Roman" w:hAnsi="Times New Roman" w:cs="Times New Roman"/>
          <w:bCs/>
          <w:color w:val="000000" w:themeColor="text1"/>
          <w:sz w:val="24"/>
          <w:szCs w:val="24"/>
        </w:rPr>
        <w:t>features for outcome prediction</w:t>
      </w:r>
      <w:r>
        <w:rPr>
          <w:rFonts w:ascii="Times New Roman" w:eastAsia="Times New Roman" w:hAnsi="Times New Roman" w:cs="Times New Roman"/>
          <w:bCs/>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variables</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such as hemoglobin, platelet count</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and BMI, </w:t>
      </w:r>
      <w:r>
        <w:rPr>
          <w:rFonts w:ascii="Times New Roman" w:eastAsia="Times New Roman" w:hAnsi="Times New Roman" w:cs="Times New Roman"/>
          <w:bCs/>
          <w:color w:val="000000" w:themeColor="text1"/>
          <w:sz w:val="24"/>
          <w:szCs w:val="24"/>
        </w:rPr>
        <w:t xml:space="preserve">that are </w:t>
      </w:r>
      <w:r w:rsidRPr="00C95EA2">
        <w:rPr>
          <w:rFonts w:ascii="Times New Roman" w:eastAsia="Times New Roman" w:hAnsi="Times New Roman" w:cs="Times New Roman"/>
          <w:bCs/>
          <w:color w:val="000000" w:themeColor="text1"/>
          <w:sz w:val="24"/>
          <w:szCs w:val="24"/>
        </w:rPr>
        <w:t xml:space="preserve">not included in </w:t>
      </w:r>
      <w:r>
        <w:rPr>
          <w:rFonts w:ascii="Times New Roman" w:eastAsia="Times New Roman" w:hAnsi="Times New Roman" w:cs="Times New Roman"/>
          <w:bCs/>
          <w:color w:val="000000" w:themeColor="text1"/>
          <w:sz w:val="24"/>
          <w:szCs w:val="24"/>
        </w:rPr>
        <w:t xml:space="preserve">available </w:t>
      </w:r>
      <w:r w:rsidRPr="00C95EA2">
        <w:rPr>
          <w:rFonts w:ascii="Times New Roman" w:eastAsia="Times New Roman" w:hAnsi="Times New Roman" w:cs="Times New Roman"/>
          <w:bCs/>
          <w:color w:val="000000" w:themeColor="text1"/>
          <w:sz w:val="24"/>
          <w:szCs w:val="24"/>
        </w:rPr>
        <w:t xml:space="preserve">risk scores. </w:t>
      </w:r>
      <w:bookmarkEnd w:id="21"/>
    </w:p>
    <w:p w14:paraId="6A6ECDC2" w14:textId="77777777" w:rsidR="002D3735" w:rsidRDefault="002D3735" w:rsidP="002D3735">
      <w:pPr>
        <w:spacing w:line="480" w:lineRule="auto"/>
        <w:jc w:val="both"/>
        <w:rPr>
          <w:rFonts w:ascii="Times New Roman" w:eastAsia="Times New Roman" w:hAnsi="Times New Roman" w:cs="Times New Roman"/>
          <w:bCs/>
          <w:color w:val="FF0000"/>
          <w:sz w:val="24"/>
          <w:szCs w:val="24"/>
        </w:rPr>
      </w:pPr>
      <w:r w:rsidRPr="00F17D20">
        <w:rPr>
          <w:rFonts w:ascii="Times New Roman" w:eastAsia="Times New Roman" w:hAnsi="Times New Roman" w:cs="Times New Roman"/>
          <w:bCs/>
          <w:sz w:val="24"/>
          <w:szCs w:val="24"/>
        </w:rPr>
        <w:t xml:space="preserve">Anticoagulation represents the cornerstone of therapy in AF patients, with an overall anticoagulation rate </w:t>
      </w:r>
      <w:r>
        <w:rPr>
          <w:rFonts w:ascii="Times New Roman" w:eastAsia="Times New Roman" w:hAnsi="Times New Roman" w:cs="Times New Roman"/>
          <w:bCs/>
          <w:sz w:val="24"/>
          <w:szCs w:val="24"/>
        </w:rPr>
        <w:t xml:space="preserve">that </w:t>
      </w:r>
      <w:r w:rsidRPr="00F17D20">
        <w:rPr>
          <w:rFonts w:ascii="Times New Roman" w:eastAsia="Times New Roman" w:hAnsi="Times New Roman" w:cs="Times New Roman"/>
          <w:bCs/>
          <w:sz w:val="24"/>
          <w:szCs w:val="24"/>
        </w:rPr>
        <w:t>increase</w:t>
      </w:r>
      <w:r>
        <w:rPr>
          <w:rFonts w:ascii="Times New Roman" w:eastAsia="Times New Roman" w:hAnsi="Times New Roman" w:cs="Times New Roman"/>
          <w:bCs/>
          <w:sz w:val="24"/>
          <w:szCs w:val="24"/>
        </w:rPr>
        <w:t>d</w:t>
      </w:r>
      <w:r w:rsidRPr="00F17D20">
        <w:rPr>
          <w:rFonts w:ascii="Times New Roman" w:eastAsia="Times New Roman" w:hAnsi="Times New Roman" w:cs="Times New Roman"/>
          <w:bCs/>
          <w:sz w:val="24"/>
          <w:szCs w:val="24"/>
        </w:rPr>
        <w:t xml:space="preserve"> over the past years</w:t>
      </w:r>
      <w:r w:rsidRPr="00F17D20">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{"citationID":"qyLQA8uB","properties":{"formattedCitation":"\\super 14\\nosupersub{}","plainCitation":"14","noteIndex":0},"citationItems":[{"id":702,"uris":["http://zotero.org/users/local/51ctrMZy/items/TFLWYDAS"],"itemData":{"id":702,"type":"article-journal","abstract":"Background Among patients with nonvalvular atrial fibrillation (AF) and an elevated stroke risk, guidelines recommend direct oral anticoagulants (DOACs) over warfarin for stroke prevention. Changes in DOAC use over the past decade have not been well described. Methods and Results We evaluated trends in use of DOACs and warfarin from 2011 to 2020 among adults with AF and a CHA2DS2-VASc score ≥2 based on electronic health record data from 88 health systems in the United States contributing to Cerner Real World Data. The use of DOACs and warfarin was described over time, by age, sex, race, and ethnicity, and at the health-system level. We identified 436 864 patients with AF at risk for stroke (median age, 78 years; 52.1% men). From 2011 to 2020, overall anticoagulation rates increased from 56.3% to 64.7%, as DOAC use increased steadily (from 4.7% to 47.9%), while warfarin use declined (from 52.4% to 17.7%). DOAC uptake was similar across age, sex, and race and ethnicity groups but varied by health system. In 2020, the median health-system-level proportion of patients with AF on a DOAC was 49% (interquartile range, 40%-54%). Conclusions Over the past decade, anticoagulation rates for patients with AF have increased modestly as DOACs largely replaced warfarin, though significant gaps remain: One in 3 high-risk patients with AF is not on any anticoagulant. While DOAC adoption was generally consistent across major demographic groups, use between health systems remained highly variable, suggesting that provider and system factors influence DOAC uptake use more than patient-level factors.","container-title":"Journal of the American Heart Association","DOI":"10.1161/JAHA.122.026723","ISSN":"2047-9980","issue":"22","journalAbbreviation":"J Am Heart Assoc","language":"eng","note":"PMID: 36346063\nPMCID: PMC9750070","page":"e026723","source":"PubMed","title":"Trends in Oral Anticoagulant Use Among 436 864 Patients With Atrial Fibrillation in Community Practice, 2011 to 2020","volume":"11","author":[{"family":"Navar","given":"Ann Marie"},{"family":"Kolkailah","given":"Ahmed A."},{"family":"Overton","given":"Robert"},{"family":"Shah","given":"Nishant P."},{"family":"Rousseau","given":"Justin F."},{"family":"Flaker","given":"Greg C."},{"family":"Pignone","given":"Michael P."},{"family":"Peterson","given":"Eric D."}],"issued":{"date-parts":[["2022",11,15]]}}}],"schema":"https://github.com/citation-style-language/schema/raw/master/csl-citation.json"} </w:instrText>
      </w:r>
      <w:r w:rsidRPr="00F17D20">
        <w:rPr>
          <w:rFonts w:ascii="Times New Roman" w:eastAsia="Times New Roman" w:hAnsi="Times New Roman" w:cs="Times New Roman"/>
          <w:bCs/>
          <w:sz w:val="24"/>
          <w:szCs w:val="24"/>
        </w:rPr>
        <w:fldChar w:fldCharType="separate"/>
      </w:r>
      <w:r w:rsidRPr="00E47694">
        <w:rPr>
          <w:rFonts w:ascii="Times New Roman" w:hAnsi="Times New Roman" w:cs="Times New Roman"/>
          <w:sz w:val="24"/>
          <w:szCs w:val="24"/>
          <w:vertAlign w:val="superscript"/>
        </w:rPr>
        <w:t>14</w:t>
      </w:r>
      <w:r w:rsidRPr="00F17D20">
        <w:rPr>
          <w:rFonts w:ascii="Times New Roman" w:eastAsia="Times New Roman" w:hAnsi="Times New Roman" w:cs="Times New Roman"/>
          <w:bCs/>
          <w:sz w:val="24"/>
          <w:szCs w:val="24"/>
        </w:rPr>
        <w:fldChar w:fldCharType="end"/>
      </w:r>
      <w:r w:rsidRPr="00F17D20">
        <w:rPr>
          <w:rFonts w:ascii="Times New Roman" w:eastAsia="Times New Roman" w:hAnsi="Times New Roman" w:cs="Times New Roman"/>
          <w:bCs/>
          <w:sz w:val="24"/>
          <w:szCs w:val="24"/>
        </w:rPr>
        <w:t xml:space="preserve">, a decline in VKA prescription and a progressive increase in DOACs </w:t>
      </w:r>
      <w:r w:rsidRPr="002851A6">
        <w:rPr>
          <w:rFonts w:ascii="Times New Roman" w:eastAsia="Times New Roman" w:hAnsi="Times New Roman" w:cs="Times New Roman"/>
          <w:bCs/>
          <w:sz w:val="24"/>
          <w:szCs w:val="24"/>
        </w:rPr>
        <w:t>prescription. DOACs were prescribed in more than 95% of patients in our cohort during the last year of enrolment</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{"citationID":"MsDtEWHF","properties":{"formattedCitation":"\\super 16\\nosupersub{}","plainCitation":"16","noteIndex":0},"citationItems":[{"id":601,"uris":["http://zotero.org/users/local/51ctrMZy/items/A4D5K834"],"itemData":{"id":601,"type":"article-journal","abstract":"The survey on anticoagulated patients register (START-Register) is an independent, prospective, inception-cohort observational study aimed at providing information on patients on vitamin K antagonists (VKAs) or direct oral anticoagulants (DOACs) in Italy. In this study, we describe the cohort of atrial fibrillation (AF) patients in the START-Register and report outcomes and changes in anticoagulant prescription from 2011 to 2021. The study included 11,078 AF patients, enrolled in 47 Italian centers distributed all over the Country; the median age was 77 years (range 18-99 years); 6029 (54.3%) were men; 5135 (46.4%) were on VKAs, and 5943 (53.6%) were on DOACs. Warfarin was the most prescribed VKA (98.4%), and apixaban was the most prescribed DOAC (31.6%). Among DOAC users, 4022 (67.7%) patients were naive to anticoagulation, and 2562 (43.1%) patients were treated with a reduced dose. DOAC patients were significantly older than VKA patients (median age 79 years vs 76 years respectively, P&amp;lt;0.001), but no gender difference was detected. The mean CHA2DS2VASc score was higher in DOAC users than in VKA users (3.7 vs 3.6; P=0.03). The mean HAS-BLED score was not different between the two groups. During follow-up, 542 bleeding events were recorded [2.44 per 100 patient-years (pt-yrs)]; 240 were major (1.08 per 100 pt-yrs), and 301 were clinically relevant non-major bleedings (1.34 per 100 pt-yrs). 146 thrombotic events were recorded during follow-up (0.66 per 100 pt-yrs). The total mortality rate was 3.5 per 100 pt-yrs; the mortality rate was 4.54 per 100 pt-yrs among patients on VKAs and 2.31 per 100 pt-yrs among patients on DOACs. During the last 10 years, in Italy, AF patient management has changed with the large spread of DOACs all over the Country. DOAC patients are frequently treated with reduced doses and show a lower mortality rate in comparison to patients on VKAs.","container-title":"Bleeding, Thrombosis, and Vascular Biology","DOI":"10.4081/btvb.2023.84","ISSN":"2785-5309","issue":"2","language":"en","license":"Copyright (c) 2023 The Author(s)","note":"number: 2","source":"btvb.org","title":"Management of anticoagulation in atrial fibrillation patients in Italy: insight from the &lt;i&gt;Atrial Fibrillation-Survey on Anticoagulated Patients Register&lt;/i&gt; (AF-START)","title-short":"Management of anticoagulation in atrial fibrillation patients in Italy","URL":"https://btvb.org/btvb/article/view/84","volume":"2","author":[{"family":"Poli","given":"Daniela"},{"family":"Ageno","given":"Walter"},{"family":"Antonucci","given":"Emilia"},{"family":"Bradamante","given":"Salvatore"},{"family":"Bucherini","given":"Eugenio"},{"family":"Chiarugi","given":"Paolo"},{"family":"Chistolini","given":"Antonio"},{"family":"Cosmi","given":"Benilde"},{"family":"Falanga","given":"Anna"},{"family":"Insana","given":"Antonio"},{"family":"Lione","given":"Domenico"},{"family":"Lombardi","given":"Rosa Maria"},{"family":"Malcangi","given":"Giuseppe"},{"family":"Marcucci","given":"Rossella"},{"family":"Martini","given":"Giuliana"},{"family":"Masciocco","given":"Lucilla"},{"family":"Paparo","given":"Carmelo"},{"family":"Pastori","given":"Daniele"},{"family":"Pedrini","given":"Simona"},{"family":"Pengo","given":"Vittorio"},{"family":"Pignatelli","given":"Pasquale"},{"family":"Toma","given":"Andrea"},{"family":"Testa","given":"Sophie"},{"family":"Palareti","given":"Gualtiero"}],"accessed":{"date-parts":[["2023",8,25]]},"issued":{"date-parts":[["2023",6,27]]}}}],"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16</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Our study, contrarily to the previous ones already published, provides results updated also to a contemporary population represented mainly by anticoagulated patients with DOACs. As anticoagulated AF patients </w:t>
      </w:r>
      <w:r w:rsidRPr="00F17D20">
        <w:rPr>
          <w:rFonts w:ascii="Times New Roman" w:eastAsia="Times New Roman" w:hAnsi="Times New Roman" w:cs="Times New Roman"/>
          <w:bCs/>
          <w:sz w:val="24"/>
          <w:szCs w:val="24"/>
        </w:rPr>
        <w:t>represent the majority of AF patients</w:t>
      </w:r>
      <w:r w:rsidRPr="00F17D20">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{"citationID":"vGckw6cK","properties":{"formattedCitation":"\\super 14\\nosupersub{}","plainCitation":"14","noteIndex":0},"citationItems":[{"id":702,"uris":["http://zotero.org/users/local/51ctrMZy/items/TFLWYDAS"],"itemData":{"id":702,"type":"article-journal","abstract":"Background Among patients with nonvalvular atrial fibrillation (AF) and an elevated stroke risk, guidelines recommend direct oral anticoagulants (DOACs) over warfarin for stroke prevention. Changes in DOAC use over the past decade have not been well described. Methods and Results We evaluated trends in use of DOACs and warfarin from 2011 to 2020 among adults with AF and a CHA2DS2-VASc score ≥2 based on electronic health record data from 88 health systems in the United States contributing to Cerner Real World Data. The use of DOACs and warfarin was described over time, by age, sex, race, and ethnicity, and at the health-system level. We identified 436 864 patients with AF at risk for stroke (median age, 78 years; 52.1% men). From 2011 to 2020, overall anticoagulation rates increased from 56.3% to 64.7%, as DOAC use increased steadily (from 4.7% to 47.9%), while warfarin use declined (from 52.4% to 17.7%). DOAC uptake was similar across age, sex, and race and ethnicity groups but varied by health system. In 2020, the median health-system-level proportion of patients with AF on a DOAC was 49% (interquartile range, 40%-54%). Conclusions Over the past decade, anticoagulation rates for patients with AF have increased modestly as DOACs largely replaced warfarin, though significant gaps remain: One in 3 high-risk patients with AF is not on any anticoagulant. While DOAC adoption was generally consistent across major demographic groups, use between health systems remained highly variable, suggesting that provider and system factors influence DOAC uptake use more than patient-level factors.","container-title":"Journal of the American Heart Association","DOI":"10.1161/JAHA.122.026723","ISSN":"2047-9980","issue":"22","journalAbbreviation":"J Am Heart Assoc","language":"eng","note":"PMID: 36346063\nPMCID: PMC9750070","page":"e026723","source":"PubMed","title":"Trends in Oral Anticoagulant Use Among 436 864 Patients With Atrial Fibrillation in Community Practice, 2011 to 2020","volume":"11","author":[{"family":"Navar","given":"Ann Marie"},{"family":"Kolkailah","given":"Ahmed A."},{"family":"Overton","given":"Robert"},{"family":"Shah","given":"Nishant P."},{"family":"Rousseau","given":"Justin F."},{"family":"Flaker","given":"Greg C."},{"family":"Pignone","given":"Michael P."},{"family":"Peterson","given":"Eric D."}],"issued":{"date-parts":[["2022",11,15]]}}}],"schema":"https://github.com/citation-style-language/schema/raw/master/csl-citation.json"} </w:instrText>
      </w:r>
      <w:r w:rsidRPr="00F17D20">
        <w:rPr>
          <w:rFonts w:ascii="Times New Roman" w:eastAsia="Times New Roman" w:hAnsi="Times New Roman" w:cs="Times New Roman"/>
          <w:bCs/>
          <w:sz w:val="24"/>
          <w:szCs w:val="24"/>
        </w:rPr>
        <w:fldChar w:fldCharType="separate"/>
      </w:r>
      <w:r w:rsidRPr="00E47694">
        <w:rPr>
          <w:rFonts w:ascii="Times New Roman" w:hAnsi="Times New Roman" w:cs="Times New Roman"/>
          <w:sz w:val="24"/>
          <w:szCs w:val="24"/>
          <w:vertAlign w:val="superscript"/>
        </w:rPr>
        <w:t>14</w:t>
      </w:r>
      <w:r w:rsidRPr="00F17D20">
        <w:rPr>
          <w:rFonts w:ascii="Times New Roman" w:eastAsia="Times New Roman" w:hAnsi="Times New Roman" w:cs="Times New Roman"/>
          <w:bCs/>
          <w:sz w:val="24"/>
          <w:szCs w:val="24"/>
        </w:rPr>
        <w:fldChar w:fldCharType="end"/>
      </w:r>
      <w:r w:rsidRPr="00F17D20">
        <w:rPr>
          <w:rFonts w:ascii="Times New Roman" w:eastAsia="Times New Roman" w:hAnsi="Times New Roman" w:cs="Times New Roman"/>
          <w:bCs/>
          <w:sz w:val="24"/>
          <w:szCs w:val="24"/>
        </w:rPr>
        <w:t xml:space="preserve">, a targeted ML analysis </w:t>
      </w:r>
      <w:r>
        <w:rPr>
          <w:rFonts w:ascii="Times New Roman" w:eastAsia="Times New Roman" w:hAnsi="Times New Roman" w:cs="Times New Roman"/>
          <w:bCs/>
          <w:sz w:val="24"/>
          <w:szCs w:val="24"/>
        </w:rPr>
        <w:t>for</w:t>
      </w:r>
      <w:r w:rsidRPr="00F17D20">
        <w:rPr>
          <w:rFonts w:ascii="Times New Roman" w:eastAsia="Times New Roman" w:hAnsi="Times New Roman" w:cs="Times New Roman"/>
          <w:bCs/>
          <w:sz w:val="24"/>
          <w:szCs w:val="24"/>
        </w:rPr>
        <w:t xml:space="preserve"> event prediction in this </w:t>
      </w:r>
      <w:r>
        <w:rPr>
          <w:rFonts w:ascii="Times New Roman" w:eastAsia="Times New Roman" w:hAnsi="Times New Roman" w:cs="Times New Roman"/>
          <w:bCs/>
          <w:sz w:val="24"/>
          <w:szCs w:val="24"/>
        </w:rPr>
        <w:t xml:space="preserve">setting is crucial to </w:t>
      </w:r>
      <w:r w:rsidRPr="00F17D20">
        <w:rPr>
          <w:rFonts w:ascii="Times New Roman" w:eastAsia="Times New Roman" w:hAnsi="Times New Roman" w:cs="Times New Roman"/>
          <w:bCs/>
          <w:sz w:val="24"/>
          <w:szCs w:val="24"/>
        </w:rPr>
        <w:t xml:space="preserve"> improve the ability to </w:t>
      </w:r>
      <w:r>
        <w:rPr>
          <w:rFonts w:ascii="Times New Roman" w:eastAsia="Times New Roman" w:hAnsi="Times New Roman" w:cs="Times New Roman"/>
          <w:bCs/>
          <w:sz w:val="24"/>
          <w:szCs w:val="24"/>
        </w:rPr>
        <w:t>identify</w:t>
      </w:r>
      <w:r w:rsidRPr="00F17D20">
        <w:rPr>
          <w:rFonts w:ascii="Times New Roman" w:eastAsia="Times New Roman" w:hAnsi="Times New Roman" w:cs="Times New Roman"/>
          <w:bCs/>
          <w:sz w:val="24"/>
          <w:szCs w:val="24"/>
        </w:rPr>
        <w:t xml:space="preserve"> patients with a higher risk, allowing a better clinical stratification.</w:t>
      </w:r>
      <w:r w:rsidRPr="001F0F39">
        <w:rPr>
          <w:rFonts w:ascii="Times New Roman" w:eastAsia="Times New Roman" w:hAnsi="Times New Roman" w:cs="Times New Roman"/>
          <w:bCs/>
          <w:color w:val="FF0000"/>
          <w:sz w:val="24"/>
          <w:szCs w:val="24"/>
        </w:rPr>
        <w:t xml:space="preserve"> </w:t>
      </w:r>
    </w:p>
    <w:p w14:paraId="37D87D38" w14:textId="77777777" w:rsidR="002D3735" w:rsidRPr="00C95EA2" w:rsidRDefault="002D3735" w:rsidP="002D3735">
      <w:pPr>
        <w:spacing w:line="480" w:lineRule="auto"/>
        <w:jc w:val="both"/>
        <w:rPr>
          <w:rFonts w:ascii="Times New Roman" w:hAnsi="Times New Roman" w:cs="Times New Roman"/>
          <w:color w:val="000000" w:themeColor="text1"/>
          <w:sz w:val="24"/>
          <w:szCs w:val="24"/>
        </w:rPr>
      </w:pPr>
      <w:r w:rsidRPr="00F17D20">
        <w:rPr>
          <w:rFonts w:ascii="Times New Roman" w:eastAsia="Times New Roman" w:hAnsi="Times New Roman" w:cs="Times New Roman"/>
          <w:bCs/>
          <w:sz w:val="24"/>
          <w:szCs w:val="24"/>
        </w:rPr>
        <w:lastRenderedPageBreak/>
        <w:t>AF is associated with an increased risk of mortality</w:t>
      </w:r>
      <w:r w:rsidRPr="00F17D20">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{"citationID":"nOx8nVm1","properties":{"formattedCitation":"\\super 30\\nosupersub{}","plainCitation":"30","noteIndex":0},"citationItems":[{"id":614,"uris":["http://zotero.org/users/local/51ctrMZy/items/3LUMET89"],"itemData":{"id":614,"type":"article-journal","abstract":"Objective To quantify the association between atrial fibrillation and cardiovascular disease, renal disease, and death.\nDesign Systematic review and meta-analysis.\nData sources Medline and Embase.\nEligibility criteria Cohort studies examining the association between atrial fibrillation and cardiovascular disease, renal disease, and death. Two reviewers independently extracted study characteristics and the relative risk of outcomes associated with atrial fibrillation: specifically, all cause mortality, cardiovascular mortality, major cardiovascular events, any stroke, ischaemic stroke, haemorrhagic stroke, ischaemic heart disease, sudden cardiac death, congestive heart failure, chronic kidney disease, and peripheral arterial disease. Estimates were pooled with inverse variance weighted random effects meta-analysis.\nResults 104 eligible cohort studies involving 9 686 513 participants (587 867 with atrial fibrillation) were identified. Atrial fibrillation was associated with an increased risk of all cause mortality (relative risk 1.46, 95% confidence interval 1.39 to 1.54), cardiovascular mortality (2.03, 1.79 to 2.30), major cardiovascular events (1.96, 1.53 to 2.51), stroke (2.42, 2.17 to 2.71), ischaemic stroke (2.33, 1.84 to 2.94), ischaemic heart disease (1.61, 1.38 to 1.87), sudden cardiac death (1.88, 1.36 to 2.60), heart failure (4.99, 3.04 to 8.22), chronic kidney disease (1.64, 1.41 to 1.91), and peripheral arterial disease (1.31, 1.19 to 1.45) but not haemorrhagic stroke (2.00, 0.67 to 5.96). Among the outcomes examined, the highest absolute risk increase was for heart failure. Associations between atrial fibrillation and included outcomes were broadly consistent across subgroups and in sensitivity analyses.\nConclusions Atrial fibrillation is associated with an increased risk of death and an increased risk of cardiovascular and renal disease. Interventions aimed at reducing outcomes beyond stroke are warranted in patients with atrial fibrillation.","container-title":"BMJ","DOI":"10.1136/bmj.i4482","ISSN":"1756-1833","journalAbbreviation":"BMJ","language":"en","license":"Published by the BMJ Publishing Group Limited. For permission to use (where not already granted under a licence) please go to http://group.bmj.com/group/rights-licensing/permissions. This is an Open Access article distributed in accordance with the Creative Commons Attribution Non Commercial (CC BY-NC 3.0) license, which permits others to distribute, remix, adapt, build upon this work non-commercially, and license their derivative works on different terms, provided the original work is properly cited and the use is non-commercial. See: http://creativecommons.org/licenses/by-nc/3.0/.","note":"publisher: British Medical Journal Publishing Group\nsection: Research\nPMID: 27599725","page":"i4482","source":"www.bmj.com","title":"Atrial fibrillation and risks of cardiovascular disease, renal disease, and death: systematic review and meta-analysis","title-short":"Atrial fibrillation and risks of cardiovascular disease, renal disease, and death","volume":"354","author":[{"family":"Odutayo","given":"Ayodele"},{"family":"Wong","given":"Christopher X."},{"family":"Hsiao","given":"Allan J."},{"family":"Hopewell","given":"Sally"},{"family":"Altman","given":"Douglas G."},{"family":"Emdin","given":"Connor A."}],"issued":{"date-parts":[["2016",9,6]]}}}],"schema":"https://github.com/citation-style-language/schema/raw/master/csl-citation.json"} </w:instrText>
      </w:r>
      <w:r w:rsidRPr="00F17D20">
        <w:rPr>
          <w:rFonts w:ascii="Times New Roman" w:eastAsia="Times New Roman" w:hAnsi="Times New Roman" w:cs="Times New Roman"/>
          <w:bCs/>
          <w:sz w:val="24"/>
          <w:szCs w:val="24"/>
        </w:rPr>
        <w:fldChar w:fldCharType="separate"/>
      </w:r>
      <w:r w:rsidRPr="001B11DE">
        <w:rPr>
          <w:rFonts w:ascii="Times New Roman" w:hAnsi="Times New Roman" w:cs="Times New Roman"/>
          <w:sz w:val="24"/>
          <w:szCs w:val="24"/>
          <w:vertAlign w:val="superscript"/>
        </w:rPr>
        <w:t>30</w:t>
      </w:r>
      <w:r w:rsidRPr="00F17D20">
        <w:rPr>
          <w:rFonts w:ascii="Times New Roman" w:eastAsia="Times New Roman" w:hAnsi="Times New Roman" w:cs="Times New Roman"/>
          <w:bCs/>
          <w:sz w:val="24"/>
          <w:szCs w:val="24"/>
        </w:rPr>
        <w:fldChar w:fldCharType="end"/>
      </w:r>
      <w:r w:rsidRPr="00F17D20">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I</w:t>
      </w:r>
      <w:r w:rsidRPr="00F17D20">
        <w:rPr>
          <w:rFonts w:ascii="Times New Roman" w:eastAsia="Times New Roman" w:hAnsi="Times New Roman" w:cs="Times New Roman"/>
          <w:bCs/>
          <w:sz w:val="24"/>
          <w:szCs w:val="24"/>
        </w:rPr>
        <w:t>n recent studies</w:t>
      </w:r>
      <w:r>
        <w:rPr>
          <w:rFonts w:ascii="Times New Roman" w:eastAsia="Times New Roman" w:hAnsi="Times New Roman" w:cs="Times New Roman"/>
          <w:bCs/>
          <w:sz w:val="24"/>
          <w:szCs w:val="24"/>
        </w:rPr>
        <w:t>,</w:t>
      </w:r>
      <w:r w:rsidRPr="00F17D20">
        <w:rPr>
          <w:rFonts w:ascii="Times New Roman" w:eastAsia="Times New Roman" w:hAnsi="Times New Roman" w:cs="Times New Roman"/>
          <w:bCs/>
          <w:sz w:val="24"/>
          <w:szCs w:val="24"/>
        </w:rPr>
        <w:t xml:space="preserve"> ML has provided a</w:t>
      </w:r>
      <w:r>
        <w:rPr>
          <w:rFonts w:ascii="Times New Roman" w:eastAsia="Times New Roman" w:hAnsi="Times New Roman" w:cs="Times New Roman"/>
          <w:bCs/>
          <w:sz w:val="24"/>
          <w:szCs w:val="24"/>
        </w:rPr>
        <w:t>n effective</w:t>
      </w:r>
      <w:r w:rsidRPr="00F17D20">
        <w:rPr>
          <w:rFonts w:ascii="Times New Roman" w:eastAsia="Times New Roman" w:hAnsi="Times New Roman" w:cs="Times New Roman"/>
          <w:bCs/>
          <w:sz w:val="24"/>
          <w:szCs w:val="24"/>
        </w:rPr>
        <w:t xml:space="preserve"> tool to predict this outcome </w:t>
      </w:r>
      <w:r w:rsidRPr="00C95EA2">
        <w:rPr>
          <w:rFonts w:ascii="Times New Roman" w:eastAsia="Times New Roman" w:hAnsi="Times New Roman" w:cs="Times New Roman"/>
          <w:bCs/>
          <w:color w:val="000000" w:themeColor="text1"/>
          <w:sz w:val="24"/>
          <w:szCs w:val="24"/>
        </w:rPr>
        <w:t xml:space="preserve">with consistent results in AF patients, </w:t>
      </w:r>
      <w:r>
        <w:rPr>
          <w:rFonts w:ascii="Times New Roman" w:eastAsia="Times New Roman" w:hAnsi="Times New Roman" w:cs="Times New Roman"/>
          <w:bCs/>
          <w:color w:val="000000" w:themeColor="text1"/>
          <w:sz w:val="24"/>
          <w:szCs w:val="24"/>
        </w:rPr>
        <w:t xml:space="preserve">with </w:t>
      </w:r>
      <w:r w:rsidRPr="00C95EA2">
        <w:rPr>
          <w:rFonts w:ascii="Times New Roman" w:eastAsia="Times New Roman" w:hAnsi="Times New Roman" w:cs="Times New Roman"/>
          <w:bCs/>
          <w:color w:val="000000" w:themeColor="text1"/>
          <w:sz w:val="24"/>
          <w:szCs w:val="24"/>
        </w:rPr>
        <w:t xml:space="preserve">a </w:t>
      </w:r>
      <w:r>
        <w:rPr>
          <w:rFonts w:ascii="Times New Roman" w:eastAsia="Times New Roman" w:hAnsi="Times New Roman" w:cs="Times New Roman"/>
          <w:bCs/>
          <w:color w:val="000000" w:themeColor="text1"/>
          <w:sz w:val="24"/>
          <w:szCs w:val="24"/>
        </w:rPr>
        <w:t>c-</w:t>
      </w:r>
      <w:r w:rsidRPr="00C95EA2">
        <w:rPr>
          <w:rFonts w:ascii="Times New Roman" w:eastAsia="Times New Roman" w:hAnsi="Times New Roman" w:cs="Times New Roman"/>
          <w:bCs/>
          <w:color w:val="000000" w:themeColor="text1"/>
          <w:sz w:val="24"/>
          <w:szCs w:val="24"/>
        </w:rPr>
        <w:t>index ranging from 0.61 at 1 year derived from three measurements of PT-INR taken over the first 30 days after starting VKA in patients from the GARFIELD-AF registry</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{"citationID":"dv4ftN17","properties":{"formattedCitation":"\\super 13\\nosupersub{}","plainCitation":"13","noteIndex":0},"citationItems":[{"id":531,"uris":["http://zotero.org/users/local/51ctrMZy/items/Q4SRZJ43"],"itemData":{"id":531,"type":"article-journal","abstract":"Most clinical risk stratification models are based on measurement at a single time-point rather than serial measurements. Artificial intelligence (AI) is able to predict one-dimensional outcomes from multi-dimensional datasets. Using data from Global Anticoagulant Registry in the Field (GARFIELD)-AF registry, a new AI model was developed for predicting clinical outcomes in atrial fibrillation (AF) patients up to 1 year based on sequential measures of prothrombin time international normalized ratio (PT-INR) within 30 days of enrolment.Patients with newly diagnosed AF who were treated with vitamin K antagonists (VKAs) and had at least three measurements of PT-INR taken over the first 30 days after prescription were analysed. The AI model was constructed with multilayer neural network including long short-term memory and one-dimensional convolution layers. The neural network was trained using PT-INR measurements within days 0–30 after starting treatment and clinical outcomes over days 31–365 in a derivation cohort (cohorts 1–3; n = 3185). Accuracy of the AI model at predicting major bleed, stroke/systemic embolism (SE), and death was assessed in a validation cohort (cohorts 4–5; n = 1523). The model’s c-statistic for predicting major bleed, stroke/SE, and all-cause death was 0.75, 0.70, and 0.61, respectively.Using serial PT-INR values collected within 1 month after starting VKA, the new AI model performed better than time in therapeutic range at predicting clinical outcomes occurring up to 12 months thereafter. Serial PT-INR values contain important information that can be analysed by computer to help predict adverse clinical outcomes.","container-title":"European Heart Journal - Cardiovascular Pharmacotherapy","DOI":"10.1093/ehjcvp/pvz076","ISSN":"2055-6837","issue":"5","journalAbbreviation":"European Heart Journal - Cardiovascular Pharmacotherapy","page":"301-309","source":"Silverchair","title":"New artificial intelligence prediction model using serial prothrombin time international normalized ratio measurements in atrial fibrillation patients on vitamin K antagonists: GARFIELD-AF","title-short":"New artificial intelligence prediction model using serial prothrombin time international normalized ratio measurements in atrial fibrillation patients on vitamin K antagonists","volume":"6","author":[{"family":"Goto","given":"Shinichi"},{"family":"Goto","given":"Shinya"},{"family":"Pieper","given":"Karen S"},{"family":"Bassand","given":"Jean-Pierre"},{"family":"Camm","given":"Alan John"},{"family":"Fitzmaurice","given":"David A"},{"family":"Goldhaber","given":"Samuel Z"},{"family":"Haas","given":"Sylvia"},{"family":"Parkhomenko","given":"Alexander"},{"family":"Oto","given":"Ali"},{"family":"Misselwitz","given":"Frank"},{"family":"Turpie","given":"Alexander G G"},{"family":"Verheugt","given":"Freek W A"},{"family":"Fox","given":"Keith A A"},{"family":"Gersh","given":"Bernard J"},{"family":"Kakkar","given":"Ajay K"},{"literal":"for the GARFIELD-AF Investigators"}],"issued":{"date-parts":[["2020",9,1]]}}}],"schema":"https://github.com/citation-style-language/schema/raw/master/csl-citation.json"}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13</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to 0.762 </w:t>
      </w:r>
      <w:r>
        <w:rPr>
          <w:rFonts w:ascii="Times New Roman" w:eastAsia="Times New Roman" w:hAnsi="Times New Roman" w:cs="Times New Roman"/>
          <w:bCs/>
          <w:color w:val="000000" w:themeColor="text1"/>
          <w:sz w:val="24"/>
          <w:szCs w:val="24"/>
        </w:rPr>
        <w:t xml:space="preserve">in two </w:t>
      </w:r>
      <w:r w:rsidRPr="00C95EA2">
        <w:rPr>
          <w:rFonts w:ascii="Times New Roman" w:eastAsia="Times New Roman" w:hAnsi="Times New Roman" w:cs="Times New Roman"/>
          <w:bCs/>
          <w:color w:val="000000" w:themeColor="text1"/>
          <w:sz w:val="24"/>
          <w:szCs w:val="24"/>
        </w:rPr>
        <w:t xml:space="preserve">analyses </w:t>
      </w:r>
      <w:r>
        <w:rPr>
          <w:rFonts w:ascii="Times New Roman" w:eastAsia="Times New Roman" w:hAnsi="Times New Roman" w:cs="Times New Roman"/>
          <w:bCs/>
          <w:color w:val="000000" w:themeColor="text1"/>
          <w:sz w:val="24"/>
          <w:szCs w:val="24"/>
        </w:rPr>
        <w:t>of</w:t>
      </w:r>
      <w:r w:rsidRPr="00C95EA2">
        <w:rPr>
          <w:rFonts w:ascii="Times New Roman" w:eastAsia="Times New Roman" w:hAnsi="Times New Roman" w:cs="Times New Roman"/>
          <w:bCs/>
          <w:color w:val="000000" w:themeColor="text1"/>
          <w:sz w:val="24"/>
          <w:szCs w:val="24"/>
        </w:rPr>
        <w:t xml:space="preserve"> the GARFIELD-AF </w:t>
      </w:r>
      <w:r>
        <w:rPr>
          <w:rFonts w:ascii="Times New Roman" w:eastAsia="Times New Roman" w:hAnsi="Times New Roman" w:cs="Times New Roman"/>
          <w:bCs/>
          <w:color w:val="000000" w:themeColor="text1"/>
          <w:sz w:val="24"/>
          <w:szCs w:val="24"/>
        </w:rPr>
        <w:t xml:space="preserve">and </w:t>
      </w:r>
      <w:r w:rsidRPr="00C95EA2">
        <w:rPr>
          <w:rFonts w:ascii="Times New Roman" w:eastAsia="Times New Roman" w:hAnsi="Times New Roman" w:cs="Times New Roman"/>
          <w:bCs/>
          <w:color w:val="000000" w:themeColor="text1"/>
          <w:sz w:val="24"/>
          <w:szCs w:val="24"/>
        </w:rPr>
        <w:t xml:space="preserve">ORBIT-AF registries, 0.765 </w:t>
      </w:r>
      <w:r>
        <w:rPr>
          <w:rFonts w:ascii="Times New Roman" w:eastAsia="Times New Roman" w:hAnsi="Times New Roman" w:cs="Times New Roman"/>
          <w:bCs/>
          <w:color w:val="000000" w:themeColor="text1"/>
          <w:sz w:val="24"/>
          <w:szCs w:val="24"/>
        </w:rPr>
        <w:t xml:space="preserve">in an </w:t>
      </w:r>
      <w:r w:rsidRPr="00C95EA2">
        <w:rPr>
          <w:rFonts w:ascii="Times New Roman" w:eastAsia="Times New Roman" w:hAnsi="Times New Roman" w:cs="Times New Roman"/>
          <w:bCs/>
          <w:color w:val="000000" w:themeColor="text1"/>
          <w:sz w:val="24"/>
          <w:szCs w:val="24"/>
        </w:rPr>
        <w:t xml:space="preserve">Australian </w:t>
      </w:r>
      <w:r>
        <w:rPr>
          <w:rFonts w:ascii="Times New Roman" w:eastAsia="Times New Roman" w:hAnsi="Times New Roman" w:cs="Times New Roman"/>
          <w:bCs/>
          <w:color w:val="000000" w:themeColor="text1"/>
          <w:sz w:val="24"/>
          <w:szCs w:val="24"/>
        </w:rPr>
        <w:t>study</w:t>
      </w:r>
      <w:r w:rsidRPr="00C95EA2">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and up to</w:t>
      </w:r>
      <w:r w:rsidRPr="00C95EA2">
        <w:rPr>
          <w:rFonts w:ascii="Times New Roman" w:eastAsia="Times New Roman" w:hAnsi="Times New Roman" w:cs="Times New Roman"/>
          <w:bCs/>
          <w:color w:val="000000" w:themeColor="text1"/>
          <w:sz w:val="24"/>
          <w:szCs w:val="24"/>
        </w:rPr>
        <w:t xml:space="preserve"> 0.785 in a French </w:t>
      </w:r>
      <w:r>
        <w:rPr>
          <w:rFonts w:ascii="Times New Roman" w:eastAsia="Times New Roman" w:hAnsi="Times New Roman" w:cs="Times New Roman"/>
          <w:bCs/>
          <w:color w:val="000000" w:themeColor="text1"/>
          <w:sz w:val="24"/>
          <w:szCs w:val="24"/>
        </w:rPr>
        <w:t xml:space="preserve">cohort </w:t>
      </w:r>
      <w:r w:rsidRPr="00C95EA2">
        <w:rPr>
          <w:rFonts w:ascii="Times New Roman" w:eastAsia="Times New Roman" w:hAnsi="Times New Roman" w:cs="Times New Roman"/>
          <w:bCs/>
          <w:color w:val="000000" w:themeColor="text1"/>
          <w:sz w:val="24"/>
          <w:szCs w:val="24"/>
        </w:rPr>
        <w:t xml:space="preserve">of newly diagnosed AF </w:t>
      </w:r>
      <w:r>
        <w:rPr>
          <w:rFonts w:ascii="Times New Roman" w:eastAsia="Times New Roman" w:hAnsi="Times New Roman" w:cs="Times New Roman"/>
          <w:bCs/>
          <w:color w:val="000000" w:themeColor="text1"/>
          <w:sz w:val="24"/>
          <w:szCs w:val="24"/>
        </w:rPr>
        <w:t xml:space="preserve">patients </w:t>
      </w:r>
      <w:r w:rsidRPr="00C95EA2">
        <w:rPr>
          <w:rFonts w:ascii="Times New Roman" w:eastAsia="Times New Roman" w:hAnsi="Times New Roman" w:cs="Times New Roman"/>
          <w:bCs/>
          <w:color w:val="000000" w:themeColor="text1"/>
          <w:sz w:val="24"/>
          <w:szCs w:val="24"/>
        </w:rPr>
        <w:t>admitted to Hospitals</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{"citationID":"qgk2GhQq","properties":{"formattedCitation":"\\super 31\\nosupersub{}","plainCitation":"31","noteIndex":0},"citationItems":[{"id":622,"uris":["http://zotero.org/users/local/51ctrMZy/items/7PK89K7S"],"itemData":{"id":622,"type":"article-journal","abstract":"AIMS: Atrial fibrillation is associated with important mortality but the usual clinical risk factor based scores only modestly predict mortality. This study aimed to develop machine learning models for the prediction of death occurrence within the year following atrial fibrillation diagnosis and compare predictive ability against usual clinical risk scores.\nMETHODS AND RESULTS: We used a nationwide cohort of 2,435,541 newly diagnosed atrial fibrillation patients seen in French hospitals from 2011 to 2019. Three machine learning models were trained to predict mortality within the first year using a training set (70% of the cohort). The best model was selected to be evaluate and compared with previously published scores on the validation set (30% of the cohort). Discrimination of the best model was evaluated using the C index. Within the first year following atrial fibrillation diagnosis, 342,005 patients (14.4%) died after a period of 83 (SD 98) days (median 37 [10-129]). The best machine learning model selected was a deep neural network with a C index of 0.785 (95% CI, 0.781-0.789) on the validation set. Compared to clinical risk scores, the selected model was superior to the CHA2DS2-VASc and HAS-BLED risk scores and superior to dedicated scores such as Charlson Comorbidity Index and Hospital Frailty Risk Score to predict death within the year following atrial fibrillation diagnosis (C indexes: 0.597; 0.562; 0.643; 0.626 respectively. P&lt;0.0001).\nCONCLUSION: Machine learning algorithms predict early death after atrial fibrillation diagnosis and may help clinicians to better risk stratify atrial fibrillation patients at high risk of mortality.\nTRANSLATIONAL PERSPECTIVE: Atrial fibrillation is responsible for a substantial proportion of short-term mortality making futile, complex and expensive, cardiovascular procedures/devices or therapies that will not change overall prognosis due to competing risk between cardiovascular and non-cardiovascular death. Machine learning algorithms predict early mortality in atrial fibrillation patients with a better ability than previously developed traditional clinical risk scores. A Machine learning approach may help clinicians to better stratify atrial fibrillation patients at high risk of mortality and may assist physicians in decision-making when managing atrial fibrillation patients in a holistic and integrated care manner.","container-title":"American Heart Journal","DOI":"10.1016/j.ahj.2023.08.006","ISSN":"1097-6744","journalAbbreviation":"Am Heart J","language":"eng","note":"PMID: 37595659","page":"S0002-8703(23)00203-X","source":"PubMed","title":"Prediction of early death after atrial fibrillation diagnosis using a machine learning approach: A French nationwide cohort study","title-short":"Prediction of early death after atrial fibrillation diagnosis using a machine learning approach","author":[{"family":"Bisson","given":"Arnaud"},{"family":"Lemrini","given":"Yassine"},{"family":"Romiti","given":"Giulio Francesco"},{"family":"Proietti","given":"Marco"},{"family":"Angoulvant","given":"Denis"},{"family":"Bentounes","given":"Sidahmed"},{"family":"El-Bouri","given":"Wahbi"},{"family":"Lip","given":"Gregory Y. H."},{"family":"Fauchier","given":"Laurent"}],"issued":{"date-parts":[["2023",8,16]]}}}],"schema":"https://github.com/citation-style-language/schema/raw/master/csl-citation.json"}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1B11DE">
        <w:rPr>
          <w:rFonts w:ascii="Times New Roman" w:hAnsi="Times New Roman" w:cs="Times New Roman"/>
          <w:sz w:val="24"/>
          <w:szCs w:val="24"/>
          <w:vertAlign w:val="superscript"/>
        </w:rPr>
        <w:t>31</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w:t>
      </w:r>
      <w:r>
        <w:rPr>
          <w:rFonts w:ascii="Times New Roman" w:eastAsia="Times New Roman" w:hAnsi="Times New Roman" w:cs="Times New Roman"/>
          <w:bCs/>
          <w:color w:val="000000" w:themeColor="text1"/>
          <w:sz w:val="24"/>
          <w:szCs w:val="24"/>
        </w:rPr>
        <w:t>In our study, the discriminative ability was good with an</w:t>
      </w:r>
      <w:r w:rsidRPr="00C95EA2">
        <w:rPr>
          <w:rFonts w:ascii="Times New Roman" w:eastAsia="Times New Roman" w:hAnsi="Times New Roman" w:cs="Times New Roman"/>
          <w:bCs/>
          <w:color w:val="000000" w:themeColor="text1"/>
          <w:sz w:val="24"/>
          <w:szCs w:val="24"/>
        </w:rPr>
        <w:t xml:space="preserve"> AUC </w:t>
      </w:r>
      <w:r>
        <w:rPr>
          <w:rFonts w:ascii="Times New Roman" w:eastAsia="Times New Roman" w:hAnsi="Times New Roman" w:cs="Times New Roman"/>
          <w:bCs/>
          <w:color w:val="000000" w:themeColor="text1"/>
          <w:sz w:val="24"/>
          <w:szCs w:val="24"/>
        </w:rPr>
        <w:t xml:space="preserve">for </w:t>
      </w:r>
      <w:r w:rsidRPr="00C95EA2">
        <w:rPr>
          <w:rFonts w:ascii="Times New Roman" w:eastAsia="Times New Roman" w:hAnsi="Times New Roman" w:cs="Times New Roman"/>
          <w:bCs/>
          <w:color w:val="000000" w:themeColor="text1"/>
          <w:sz w:val="24"/>
          <w:szCs w:val="24"/>
        </w:rPr>
        <w:t xml:space="preserve">all-cause death </w:t>
      </w:r>
      <w:r>
        <w:rPr>
          <w:rFonts w:ascii="Times New Roman" w:eastAsia="Times New Roman" w:hAnsi="Times New Roman" w:cs="Times New Roman"/>
          <w:bCs/>
          <w:color w:val="000000" w:themeColor="text1"/>
          <w:sz w:val="24"/>
          <w:szCs w:val="24"/>
        </w:rPr>
        <w:t xml:space="preserve">prediction </w:t>
      </w:r>
      <w:r w:rsidRPr="00C95EA2">
        <w:rPr>
          <w:rFonts w:ascii="Times New Roman" w:eastAsia="Times New Roman" w:hAnsi="Times New Roman" w:cs="Times New Roman"/>
          <w:bCs/>
          <w:color w:val="000000" w:themeColor="text1"/>
          <w:sz w:val="24"/>
          <w:szCs w:val="24"/>
        </w:rPr>
        <w:t>of 0.779</w:t>
      </w:r>
      <w:r>
        <w:rPr>
          <w:rFonts w:ascii="Times New Roman" w:eastAsia="Times New Roman" w:hAnsi="Times New Roman" w:cs="Times New Roman"/>
          <w:bCs/>
          <w:color w:val="000000" w:themeColor="text1"/>
          <w:sz w:val="24"/>
          <w:szCs w:val="24"/>
        </w:rPr>
        <w:t>, a result that is</w:t>
      </w:r>
      <w:r w:rsidRPr="00C95EA2">
        <w:rPr>
          <w:rFonts w:ascii="Times New Roman" w:eastAsia="Times New Roman" w:hAnsi="Times New Roman" w:cs="Times New Roman"/>
          <w:bCs/>
          <w:color w:val="000000" w:themeColor="text1"/>
          <w:sz w:val="24"/>
          <w:szCs w:val="24"/>
        </w:rPr>
        <w:t xml:space="preserve"> consistent with the aforementioned </w:t>
      </w:r>
      <w:r>
        <w:rPr>
          <w:rFonts w:ascii="Times New Roman" w:eastAsia="Times New Roman" w:hAnsi="Times New Roman" w:cs="Times New Roman"/>
          <w:bCs/>
          <w:color w:val="000000" w:themeColor="text1"/>
          <w:sz w:val="24"/>
          <w:szCs w:val="24"/>
        </w:rPr>
        <w:t>studies</w:t>
      </w:r>
      <w:r w:rsidRPr="00C95EA2">
        <w:rPr>
          <w:rFonts w:ascii="Times New Roman" w:eastAsia="Times New Roman" w:hAnsi="Times New Roman" w:cs="Times New Roman"/>
          <w:bCs/>
          <w:color w:val="000000" w:themeColor="text1"/>
          <w:sz w:val="24"/>
          <w:szCs w:val="24"/>
        </w:rPr>
        <w:t xml:space="preserve">, with the differences that are extrapolated from a different setting (patients not necessarily admitted to Hospitals) and clinical situation (patients completely on oral anticoagulation). Despite differences in prevalence </w:t>
      </w:r>
      <w:r w:rsidRPr="002851A6">
        <w:rPr>
          <w:rFonts w:ascii="Times New Roman" w:eastAsia="Times New Roman" w:hAnsi="Times New Roman" w:cs="Times New Roman"/>
          <w:bCs/>
          <w:sz w:val="24"/>
          <w:szCs w:val="24"/>
        </w:rPr>
        <w:t>between studies, ranging from 64% of all deaths in a metanalysis of randomized trials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{"citationID":"m8u0dxsw","properties":{"formattedCitation":"\\super 32\\nosupersub{}","plainCitation":"32","noteIndex":0},"citationItems":[{"id":330,"uris":["http://zotero.org/users/local/51ctrMZy/items/TSJ579RF"],"itemData":{"id":330,"type":"article-journal","abstract":"BACKGROUND: Oral anticoagulation reduces the risk of mortality in atrial fibrillation (AF), but examination of the causes of death is essential to design new strategies to further reduce the high mortality rates observed in this population.\nOBJECTIVES: The authors sought to analyze and compare causes of death in patients receiving direct oral anticoagulants (DOAC) or warfarin for prevention of stroke and systemic embolism (SE) in AF.\nMETHODS: The authors systematically searched for randomized trials of DOAC versus warfarin for prevention of stroke/SE in AF. The main outcome was mortality and independently adjudicated specific causes of death. The authors used the random effects model of meta-analysis to combine the studies.\nRESULTS: 71,683 patients from 4 trials were included (134,046 patient-years of follow-up). A total of 6,206 patients (9%) died during follow-up. Adjusted mortality rate was 4.72%/year (95% confidence interval [CI]: 4.19 to 5.28). Cardiac deaths accounted for 46% of all deaths, whereas nonhemorrhagic stroke/SE and hemorrhage-related deaths represented 5.7% and 5.6% of the total mortality, respectively. Compared with patients who were alive, those who died had more frequent history of heart failure (odds ratio [OR]: 1.75; 95% CI: 1.25 to 2.44), permanent/persistent AF (OR: 1.38; 95% CI: 1.25 to 1.52) and diabetes (OR: 1.37; 95% CI: 1.11 to 1.68); were more frequently male (OR: 1.24; 95% CI: 1.13 to 1.37) and older (mean difference 3.2 years; 95% CI: 1.6 to 4.8); and had a lower creatinine clearance (-9.9 ml/min; 95% CI: -11.3 to -8.4). There was a small, but significant, reduction in all-cause mortality with the DOAC versus warfarin (difference -0.42%/year; 95% CI: -0.66 to -0.18), mainly driven by a reduction in fatal bleedings.\nCONCLUSIONS: In contemporary AF trials, most deaths were cardiac-related, whereas stroke and bleeding represented only a small subset of deaths. Interventions beyond anticoagulation are needed to further reduce mortality in AF.","container-title":"Journal of the American College of Cardiology","DOI":"10.1016/j.jacc.2016.09.944","ISSN":"1558-3597","issue":"23","journalAbbreviation":"J Am Coll Cardiol","language":"eng","note":"PMID: 27931607","page":"2508-2521","source":"PubMed","title":"Causes of Death in Anticoagulated Patients With Atrial Fibrillation","volume":"68","author":[{"family":"Gómez-Outes","given":"Antonio"},{"family":"Lagunar-Ruíz","given":"Julián"},{"family":"Terleira-Fernández","given":"Ana-Isabel"},{"family":"Calvo-Rojas","given":"Gonzalo"},{"family":"Suárez-Gea","given":"Maria Luisa"},{"family":"Vargas-Castrillón","given":"Emilio"}],"issued":{"date-parts":[["2016",12,13]]}}}],"schema":"https://github.com/citation-style-language/schema/raw/master/csl-citation.json"}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32</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to nearly 38% in real-world registries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{"citationID":"txZHTFak","properties":{"formattedCitation":"\\super 33\\nosupersub{}","plainCitation":"33","noteIndex":0},"citationItems":[{"id":636,"uris":["http://zotero.org/users/local/51ctrMZy/items/RFH8NBSJ"],"itemData":{"id":636,"type":"article-journal","abstract":"BACKGROUND: Clinical complexity is common in atrial fibrillation (AF) patients. We assessed the impact of clinical complexity on oral anticoagulant (OAC) treatment patterns and major adverse outcomes in a contemporary cohort of AF patients.\nMETHODS: The GLORIA-AF Phase II and III Registry enrolled newly diagnosed AF patients with at least one stroke risk factor. Among patients with CHA2DS2-VASc score ≥2, we defined four domains of perceived clinical complexity: frail elderly (age ≥75 years and body mass index &lt;23 kg/m2), chronic kidney disease (CKD, creatinine clearance &lt;60 mL/min), history of bleeding, and those with ≥2 of the above conditions. We evaluated the associations between clinical complexity domains and antithrombotic treatment prescription, risk of OAC discontinuation, and major adverse outcomes.\nRESULTS: Among the 29,625 patients included (mean age 69.6 ± 10.7 years, 44.2% females), 9,504 (32.1%) presented with at least one complexity criterion. Clinical complexity was associated with lower OAC prescription, with stronger associations in frail elderly (odds ratio [OR]: 0.47, 95% confidence interval [CI]: 0.36-0.62) and those with ≥2 complexity domains (OR: 0.50, 95% CI: 0.44-0.57). Risk of OAC discontinuation was higher among frail elderly (hazard ratio [HR]: 1.30, 95% CI: 1.00-1.69), CKD (HR: 1.10, 95% CI: 1.02-1.20), and those with ≥2 complexity domains (HR: 1.39, 95% CI: 1.23-1.57). Clinical complexity was associated with higher risk of the primary outcome of all-cause death, thromboembolism, and major bleeding, with the highest magnitude in those with ≥2 criteria (HR: 1.63, 95% CI: 1.43-1.86).\nCONCLUSION: In AF patients, clinical complexity influences OAC treatment management, and increases the risk of poor clinical outcomes. These patients require additional efforts, such as integrated care approach, to improve their management and prognosis.","container-title":"Thrombosis and Haemostasis","DOI":"10.1055/s-0042-1756355","ISSN":"2567-689X","issue":"12","journalAbbreviation":"Thromb Haemost","language":"eng","note":"PMID: 36037828","page":"2030-2041","source":"PubMed","title":"Clinical Complexity Domains, Anticoagulation, and Outcomes in Patients with Atrial Fibrillation: A Report from the GLORIA-AF Registry Phase II and III","title-short":"Clinical Complexity Domains, Anticoagulation, and Outcomes in Patients with Atrial Fibrillation","volume":"122","author":[{"family":"Romiti","given":"Giulio Francesco"},{"family":"Proietti","given":"Marco"},{"family":"Bonini","given":"Niccolò"},{"family":"Ding","given":"Wern Yew"},{"family":"Boriani","given":"Giuseppe"},{"family":"Huisman","given":"Menno V."},{"family":"Lip","given":"Gregory Y. H."},{"literal":"GLORIA-AF Investigators"}],"issued":{"date-parts":[["2022",12]]}}}],"schema":"https://github.com/citation-style-language/schema/raw/master/csl-citation.json"}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33</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CV death represents an important cause of mortality in AF patients. For these reasons, we provided a risk prediction for CV death with an AUC of 0.741, which is consistent with a recent finding of a ML prediction of 0.724 in a large cohort derived from a </w:t>
      </w:r>
      <w:r w:rsidRPr="002851A6">
        <w:rPr>
          <w:rFonts w:ascii="Times New Roman" w:hAnsi="Times New Roman" w:cs="Times New Roman"/>
          <w:sz w:val="24"/>
          <w:szCs w:val="24"/>
        </w:rPr>
        <w:t xml:space="preserve">French database that, however, did not provide any information regarding the use of anticoagulation therapy. The lower rate of CV death (19% vs 31.5%) compared to the French study, could explain the slightly lower prediction performance in both ML systems in comparison with all-cause death. START-Register enrollment centers are anticoagulation </w:t>
      </w:r>
      <w:r w:rsidRPr="00C95EA2">
        <w:rPr>
          <w:rFonts w:ascii="Times New Roman" w:hAnsi="Times New Roman" w:cs="Times New Roman"/>
          <w:color w:val="000000" w:themeColor="text1"/>
          <w:sz w:val="24"/>
          <w:szCs w:val="24"/>
        </w:rPr>
        <w:t xml:space="preserve">clinics that closely monitored AF patients and although a relevant percentage of patients were enrolled after a hospital discharge, the more critical patients could not have been referred to the anticoagulation clinics: these aspects, </w:t>
      </w:r>
      <w:r w:rsidRPr="00C95EA2">
        <w:rPr>
          <w:rFonts w:ascii="Times New Roman" w:hAnsi="Times New Roman" w:cs="Times New Roman"/>
          <w:color w:val="000000" w:themeColor="text1"/>
          <w:sz w:val="24"/>
          <w:szCs w:val="24"/>
        </w:rPr>
        <w:lastRenderedPageBreak/>
        <w:t xml:space="preserve">added to the fact that oral anticoagulation </w:t>
      </w:r>
      <w:r w:rsidRPr="00C95EA2">
        <w:rPr>
          <w:rFonts w:ascii="Times New Roman" w:hAnsi="Times New Roman" w:cs="Times New Roman"/>
          <w:i/>
          <w:iCs/>
          <w:color w:val="000000" w:themeColor="text1"/>
          <w:sz w:val="24"/>
          <w:szCs w:val="24"/>
        </w:rPr>
        <w:t>per se</w:t>
      </w:r>
      <w:r w:rsidRPr="00C95EA2">
        <w:rPr>
          <w:rFonts w:ascii="Times New Roman" w:hAnsi="Times New Roman" w:cs="Times New Roman"/>
          <w:color w:val="000000" w:themeColor="text1"/>
          <w:sz w:val="24"/>
          <w:szCs w:val="24"/>
        </w:rPr>
        <w:t xml:space="preserve"> reduces the rate of CV-death, may </w:t>
      </w:r>
      <w:r>
        <w:rPr>
          <w:rFonts w:ascii="Times New Roman" w:hAnsi="Times New Roman" w:cs="Times New Roman"/>
          <w:color w:val="000000" w:themeColor="text1"/>
          <w:sz w:val="24"/>
          <w:szCs w:val="24"/>
        </w:rPr>
        <w:t>explain the</w:t>
      </w:r>
      <w:r w:rsidRPr="00C95EA2">
        <w:rPr>
          <w:rFonts w:ascii="Times New Roman" w:hAnsi="Times New Roman" w:cs="Times New Roman"/>
          <w:color w:val="000000" w:themeColor="text1"/>
          <w:sz w:val="24"/>
          <w:szCs w:val="24"/>
        </w:rPr>
        <w:t xml:space="preserve"> lower rate of events in our patients</w:t>
      </w:r>
      <w:r>
        <w:rPr>
          <w:rFonts w:ascii="Times New Roman" w:hAnsi="Times New Roman" w:cs="Times New Roman"/>
          <w:color w:val="000000" w:themeColor="text1"/>
          <w:sz w:val="24"/>
          <w:szCs w:val="24"/>
        </w:rPr>
        <w:t>.</w:t>
      </w:r>
    </w:p>
    <w:p w14:paraId="07489CD9" w14:textId="77777777" w:rsidR="002D3735" w:rsidRPr="00C95EA2" w:rsidRDefault="002D3735" w:rsidP="002D3735">
      <w:pPr>
        <w:spacing w:line="480" w:lineRule="auto"/>
        <w:jc w:val="both"/>
        <w:rPr>
          <w:rFonts w:ascii="Times New Roman" w:eastAsia="Times New Roman" w:hAnsi="Times New Roman" w:cs="Times New Roman"/>
          <w:bCs/>
          <w:color w:val="000000" w:themeColor="text1"/>
          <w:sz w:val="24"/>
          <w:szCs w:val="24"/>
        </w:rPr>
      </w:pPr>
      <w:r w:rsidRPr="00C95EA2">
        <w:rPr>
          <w:rFonts w:ascii="Times New Roman" w:eastAsia="Times New Roman" w:hAnsi="Times New Roman" w:cs="Times New Roman"/>
          <w:bCs/>
          <w:color w:val="000000" w:themeColor="text1"/>
          <w:sz w:val="24"/>
          <w:szCs w:val="24"/>
        </w:rPr>
        <w:t xml:space="preserve">Anticoagulation reduces the </w:t>
      </w:r>
      <w:r>
        <w:rPr>
          <w:rFonts w:ascii="Times New Roman" w:eastAsia="Times New Roman" w:hAnsi="Times New Roman" w:cs="Times New Roman"/>
          <w:bCs/>
          <w:color w:val="000000" w:themeColor="text1"/>
          <w:sz w:val="24"/>
          <w:szCs w:val="24"/>
        </w:rPr>
        <w:t xml:space="preserve">risk of </w:t>
      </w:r>
      <w:r w:rsidRPr="00C95EA2">
        <w:rPr>
          <w:rFonts w:ascii="Times New Roman" w:eastAsia="Times New Roman" w:hAnsi="Times New Roman" w:cs="Times New Roman"/>
          <w:bCs/>
          <w:color w:val="000000" w:themeColor="text1"/>
          <w:sz w:val="24"/>
          <w:szCs w:val="24"/>
        </w:rPr>
        <w:t xml:space="preserve">thromboembolic events </w:t>
      </w:r>
      <w:r>
        <w:rPr>
          <w:rFonts w:ascii="Times New Roman" w:eastAsia="Times New Roman" w:hAnsi="Times New Roman" w:cs="Times New Roman"/>
          <w:bCs/>
          <w:color w:val="000000" w:themeColor="text1"/>
          <w:sz w:val="24"/>
          <w:szCs w:val="24"/>
        </w:rPr>
        <w:t xml:space="preserve">in </w:t>
      </w:r>
      <w:r w:rsidRPr="00C95EA2">
        <w:rPr>
          <w:rFonts w:ascii="Times New Roman" w:eastAsia="Times New Roman" w:hAnsi="Times New Roman" w:cs="Times New Roman"/>
          <w:bCs/>
          <w:color w:val="000000" w:themeColor="text1"/>
          <w:sz w:val="24"/>
          <w:szCs w:val="24"/>
        </w:rPr>
        <w:t>AF</w:t>
      </w:r>
      <w:r>
        <w:rPr>
          <w:rFonts w:ascii="Times New Roman" w:eastAsia="Times New Roman" w:hAnsi="Times New Roman" w:cs="Times New Roman"/>
          <w:bCs/>
          <w:color w:val="000000" w:themeColor="text1"/>
          <w:sz w:val="24"/>
          <w:szCs w:val="24"/>
        </w:rPr>
        <w:t xml:space="preserve"> patients</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{"citationID":"nExty6g7","properties":{"formattedCitation":"\\super 6\\nosupersub{}","plainCitation":"6","noteIndex":0},"citationItems":[{"id":613,"uris":["http://zotero.org/users/local/51ctrMZy/items/B7IUAXJF"],"itemData":{"id":613,"type":"article-journal","container-title":"Annals of Internal Medicine","DOI":"10.7326/0003-4819-146-12-200706190-00007","ISSN":"0003-4819","issue":"12","journalAbbreviation":"Ann Intern Med","note":"publisher: American College of Physicians","page":"857-867","source":"acpjournals.org (Atypon)","title":"Meta-analysis: Antithrombotic Therapy to Prevent Stroke in Patients Who Have Nonvalvular Atrial Fibrillation","title-short":"Meta-analysis","volume":"146","author":[{"family":"Hart","given":"Robert G."},{"family":"Pearce","given":"Lesly A."},{"family":"Aguilar","given":"Maria I."}],"issued":{"date-parts":[["2007",6,19]]}}}],"schema":"https://github.com/citation-style-language/schema/raw/master/csl-citation.json"}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1B11DE">
        <w:rPr>
          <w:rFonts w:ascii="Times New Roman" w:hAnsi="Times New Roman" w:cs="Times New Roman"/>
          <w:sz w:val="24"/>
          <w:szCs w:val="24"/>
          <w:vertAlign w:val="superscript"/>
        </w:rPr>
        <w:t>6</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as a consequence, the number of thromboembolic events and</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in particular</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of ischemic stroke resulted very low in the START-AF registry, with a rate×100 pt-yrs of 0.37 and 0.23, respectively. This aspect mainly contributed to </w:t>
      </w:r>
      <w:r>
        <w:rPr>
          <w:rFonts w:ascii="Times New Roman" w:eastAsia="Times New Roman" w:hAnsi="Times New Roman" w:cs="Times New Roman"/>
          <w:bCs/>
          <w:color w:val="000000" w:themeColor="text1"/>
          <w:sz w:val="24"/>
          <w:szCs w:val="24"/>
        </w:rPr>
        <w:t>the</w:t>
      </w:r>
      <w:r w:rsidRPr="00C95EA2">
        <w:rPr>
          <w:rFonts w:ascii="Times New Roman" w:eastAsia="Times New Roman" w:hAnsi="Times New Roman" w:cs="Times New Roman"/>
          <w:bCs/>
          <w:color w:val="000000" w:themeColor="text1"/>
          <w:sz w:val="24"/>
          <w:szCs w:val="24"/>
        </w:rPr>
        <w:t xml:space="preserve"> suboptimal stroke prediction in our study, that was not different from that obtained </w:t>
      </w:r>
      <w:r>
        <w:rPr>
          <w:rFonts w:ascii="Times New Roman" w:eastAsia="Times New Roman" w:hAnsi="Times New Roman" w:cs="Times New Roman"/>
          <w:bCs/>
          <w:color w:val="000000" w:themeColor="text1"/>
          <w:sz w:val="24"/>
          <w:szCs w:val="24"/>
        </w:rPr>
        <w:t xml:space="preserve">with </w:t>
      </w:r>
      <w:r w:rsidRPr="00C95EA2">
        <w:rPr>
          <w:rFonts w:ascii="Times New Roman" w:eastAsia="Times New Roman" w:hAnsi="Times New Roman" w:cs="Times New Roman"/>
          <w:bCs/>
          <w:color w:val="000000" w:themeColor="text1"/>
          <w:sz w:val="24"/>
          <w:szCs w:val="24"/>
        </w:rPr>
        <w:t>the CHA</w:t>
      </w:r>
      <w:r w:rsidRPr="00C95EA2">
        <w:rPr>
          <w:rFonts w:ascii="Times New Roman" w:eastAsia="Times New Roman" w:hAnsi="Times New Roman" w:cs="Times New Roman"/>
          <w:bCs/>
          <w:color w:val="000000" w:themeColor="text1"/>
          <w:sz w:val="24"/>
          <w:szCs w:val="24"/>
          <w:vertAlign w:val="subscript"/>
        </w:rPr>
        <w:t>2</w:t>
      </w:r>
      <w:r w:rsidRPr="00C95EA2">
        <w:rPr>
          <w:rFonts w:ascii="Times New Roman" w:eastAsia="Times New Roman" w:hAnsi="Times New Roman" w:cs="Times New Roman"/>
          <w:bCs/>
          <w:color w:val="000000" w:themeColor="text1"/>
          <w:sz w:val="24"/>
          <w:szCs w:val="24"/>
        </w:rPr>
        <w:t>DS</w:t>
      </w:r>
      <w:r w:rsidRPr="00C95EA2">
        <w:rPr>
          <w:rFonts w:ascii="Times New Roman" w:eastAsia="Times New Roman" w:hAnsi="Times New Roman" w:cs="Times New Roman"/>
          <w:bCs/>
          <w:color w:val="000000" w:themeColor="text1"/>
          <w:sz w:val="24"/>
          <w:szCs w:val="24"/>
          <w:vertAlign w:val="subscript"/>
        </w:rPr>
        <w:t>2</w:t>
      </w:r>
      <w:r w:rsidRPr="00C95EA2">
        <w:rPr>
          <w:rFonts w:ascii="Times New Roman" w:eastAsia="Times New Roman" w:hAnsi="Times New Roman" w:cs="Times New Roman"/>
          <w:bCs/>
          <w:color w:val="000000" w:themeColor="text1"/>
          <w:sz w:val="24"/>
          <w:szCs w:val="24"/>
        </w:rPr>
        <w:t xml:space="preserve">VASC score. </w:t>
      </w:r>
      <w:r>
        <w:rPr>
          <w:rFonts w:ascii="Times New Roman" w:eastAsia="Times New Roman" w:hAnsi="Times New Roman" w:cs="Times New Roman"/>
          <w:bCs/>
          <w:color w:val="000000" w:themeColor="text1"/>
          <w:sz w:val="24"/>
          <w:szCs w:val="24"/>
        </w:rPr>
        <w:t>Of note</w:t>
      </w:r>
      <w:r w:rsidRPr="00C95EA2">
        <w:rPr>
          <w:rFonts w:ascii="Times New Roman" w:eastAsia="Times New Roman" w:hAnsi="Times New Roman" w:cs="Times New Roman"/>
          <w:bCs/>
          <w:color w:val="000000" w:themeColor="text1"/>
          <w:sz w:val="24"/>
          <w:szCs w:val="24"/>
        </w:rPr>
        <w:t xml:space="preserve">, our performance was comparable with previous ML-derived results, </w:t>
      </w:r>
      <w:r>
        <w:rPr>
          <w:rFonts w:ascii="Times New Roman" w:eastAsia="Times New Roman" w:hAnsi="Times New Roman" w:cs="Times New Roman"/>
          <w:bCs/>
          <w:color w:val="000000" w:themeColor="text1"/>
          <w:sz w:val="24"/>
          <w:szCs w:val="24"/>
        </w:rPr>
        <w:t xml:space="preserve">that also reported a </w:t>
      </w:r>
      <w:r w:rsidRPr="00C95EA2">
        <w:rPr>
          <w:rFonts w:ascii="Times New Roman" w:eastAsia="Times New Roman" w:hAnsi="Times New Roman" w:cs="Times New Roman"/>
          <w:bCs/>
          <w:color w:val="000000" w:themeColor="text1"/>
          <w:sz w:val="24"/>
          <w:szCs w:val="24"/>
        </w:rPr>
        <w:t>C statistic ≤0.70 for stroke prediction</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{"citationID":"iSSQb2PI","properties":{"formattedCitation":"\\super 7,9,13\\nosupersub{}","plainCitation":"7,9,13","noteIndex":0},"citationItems":[{"id":287,"uris":["http://zotero.org/users/local/51ctrMZy/items/5RQRXVBD"],"itemData":{"id":287,"type":"article-journal","abstract":"Prediction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K"}],"issued":{"date-parts":[["2020",11,1]]}}},{"id":528,"uris":["http://zotero.org/users/local/51ctrMZy/items/GJHBD7HH"],"itemData":{"id":528,"type":"article-journal","abstract":"Background\nAppropriate anticoagulant therapy for patients with atrial fibrillation (AF) requires assessment of stroke and bleeding risks. However, risk stratification schemas such as CHA2DS2-VASc and HAS-BLED have modest predictive capacity for patients with AF. Multilabel machine learning (ML) techniques may improve predictive performance and support decision-making for anticoagulant therapy. We compared the performance of multilabel ML models with the currently used risk scores for predicting outcomes in AF patients.\nMethods\nThis was a retrospective cohort study of 9670 patients, mean age 76.9 years, 46% women, who were hospitalized with non-valvular AF, and had 1-year follow-up. The outcomes were ischemic stroke (167), major bleeding (430) admissions, all-cause death (1912) and event-free survival (7387). Discrimination and calibration of ML models were compared with clinical risk scores by area under the curve (AUC). Risk stratification was assessed using net reclassification index (NRI).\nResults\nMultilabel gradient boosting classifier chain provided the best AUCs for stroke (0.685 95% CI 0.676, 0.694), major bleeding (0.709 95% CI 0.703, 0.716) and death (0.765 95% CI 0.763, 0.768) compared to multi-layer neural networks and classifier chain using support vector machine. It provided modest performance improvement for stroke compared to AUC of CHA2DS2-VASc (0.652, NRI = 3.2%, p-value = 0.1), but significantly improved major bleeding prediction compared to AUC of HAS-BLED (0.522, NRI = 22.8%, p-value &lt; 0.05). It also achieved greater discriminant power for death compared with AUC of CHA2DS2-VASc (0.606, p-value &lt; 0.05). ML models identified additional risk features such as hemoglobin level, renal function.\nConclusions\nMultilabel ML models can outperform clinical risk stratification scores for predicting the risk of major bleeding and death in non-valvular AF patients.","container-title":"Computers in Biology and Medicine","DOI":"10.1016/j.compbiomed.2022.106126","ISSN":"0010-4825","journalAbbreviation":"Computers in Biology and Medicine","language":"en","page":"106126","source":"ScienceDirect","title":"Performance of multilabel machine learning models and risk stratification schemas for predicting stroke and bleeding risk in patients with non-valvular atrial fibrillation","volume":"150","author":[{"family":"Lu","given":"Juan"},{"family":"Hutchens","given":"Rebecca"},{"family":"Hung","given":"Joseph"},{"family":"Bennamoun","given":"Mohammed"},{"family":"McQuillan","given":"Brendan"},{"family":"Briffa","given":"Tom"},{"family":"Sohel","given":"Ferdous"},{"family":"Murray","given":"Kevin"},{"family":"Stewart","given":"Jonathon"},{"family":"Chow","given":"Benjamin"},{"family":"Sanfilippo","given":"Frank"},{"family":"Dwivedi","given":"Girish"}],"issued":{"date-parts":[["2022",11,1]]}}},{"id":531,"uris":["http://zotero.org/users/local/51ctrMZy/items/Q4SRZJ43"],"itemData":{"id":531,"type":"article-journal","abstract":"Most clinical risk stratification models are based on measurement at a single time-point rather than serial measurements. Artificial intelligence (AI) is able to predict one-dimensional outcomes from multi-dimensional datasets. Using data from Global Anticoagulant Registry in the Field (GARFIELD)-AF registry, a new AI model was developed for predicting clinical outcomes in atrial fibrillation (AF) patients up to 1 year based on sequential measures of prothrombin time international normalized ratio (PT-INR) within 30 days of enrolment.Patients with newly diagnosed AF who were treated with vitamin K antagonists (VKAs) and had at least three measurements of PT-INR taken over the first 30 days after prescription were analysed. The AI model was constructed with multilayer neural network including long short-term memory and one-dimensional convolution layers. The neural network was trained using PT-INR measurements within days 0–30 after starting treatment and clinical outcomes over days 31–365 in a derivation cohort (cohorts 1–3; n = 3185). Accuracy of the AI model at predicting major bleed, stroke/systemic embolism (SE), and death was assessed in a validation cohort (cohorts 4–5; n = 1523). The model’s c-statistic for predicting major bleed, stroke/SE, and all-cause death was 0.75, 0.70, and 0.61, respectively.Using serial PT-INR values collected within 1 month after starting VKA, the new AI model performed better than time in therapeutic range at predicting clinical outcomes occurring up to 12 months thereafter. Serial PT-INR values contain important information that can be analysed by computer to help predict adverse clinical outcomes.","container-title":"European Heart Journal - Cardiovascular Pharmacotherapy","DOI":"10.1093/ehjcvp/pvz076","ISSN":"2055-6837","issue":"5","journalAbbreviation":"European Heart Journal - Cardiovascular Pharmacotherapy","page":"301-309","source":"Silverchair","title":"New artificial intelligence prediction model using serial prothrombin time international normalized ratio measurements in atrial fibrillation patients on vitamin K antagonists: GARFIELD-AF","title-short":"New artificial intelligence prediction model using serial prothrombin time international normalized ratio measurements in atrial fibrillation patients on vitamin K antagonists","volume":"6","author":[{"family":"Goto","given":"Shinichi"},{"family":"Goto","given":"Shinya"},{"family":"Pieper","given":"Karen S"},{"family":"Bassand","given":"Jean-Pierre"},{"family":"Camm","given":"Alan John"},{"family":"Fitzmaurice","given":"David A"},{"family":"Goldhaber","given":"Samuel Z"},{"family":"Haas","given":"Sylvia"},{"family":"Parkhomenko","given":"Alexander"},{"family":"Oto","given":"Ali"},{"family":"Misselwitz","given":"Frank"},{"family":"Turpie","given":"Alexander G G"},{"family":"Verheugt","given":"Freek W A"},{"family":"Fox","given":"Keith A A"},{"family":"Gersh","given":"Bernard J"},{"family":"Kakkar","given":"Ajay K"},{"literal":"for the GARFIELD-AF Investigators"}],"issued":{"date-parts":[["2020",9,1]]}}}],"schema":"https://github.com/citation-style-language/schema/raw/master/csl-citation.json"}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7,9,13</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As in </w:t>
      </w:r>
      <w:r>
        <w:rPr>
          <w:rFonts w:ascii="Times New Roman" w:eastAsia="Times New Roman" w:hAnsi="Times New Roman" w:cs="Times New Roman"/>
          <w:bCs/>
          <w:color w:val="000000" w:themeColor="text1"/>
          <w:sz w:val="24"/>
          <w:szCs w:val="24"/>
        </w:rPr>
        <w:t>previous reports</w:t>
      </w:r>
      <w:r w:rsidRPr="00C95EA2">
        <w:rPr>
          <w:rFonts w:ascii="Times New Roman" w:eastAsia="Times New Roman" w:hAnsi="Times New Roman" w:cs="Times New Roman"/>
          <w:bCs/>
          <w:color w:val="000000" w:themeColor="text1"/>
          <w:sz w:val="24"/>
          <w:szCs w:val="24"/>
        </w:rPr>
        <w:t xml:space="preserve">, our model showed a better performance in predicting all-cause mortality than stroke or bleeding. A </w:t>
      </w:r>
      <w:r>
        <w:rPr>
          <w:rFonts w:ascii="Times New Roman" w:eastAsia="Times New Roman" w:hAnsi="Times New Roman" w:cs="Times New Roman"/>
          <w:bCs/>
          <w:color w:val="000000" w:themeColor="text1"/>
          <w:sz w:val="24"/>
          <w:szCs w:val="24"/>
        </w:rPr>
        <w:t xml:space="preserve">possible </w:t>
      </w:r>
      <w:r w:rsidRPr="00C95EA2">
        <w:rPr>
          <w:rFonts w:ascii="Times New Roman" w:eastAsia="Times New Roman" w:hAnsi="Times New Roman" w:cs="Times New Roman"/>
          <w:bCs/>
          <w:color w:val="000000" w:themeColor="text1"/>
          <w:sz w:val="24"/>
          <w:szCs w:val="24"/>
        </w:rPr>
        <w:t xml:space="preserve">explanation of this finding could be that since the risk factors for stroke, hemorrhage, and mortality overlap significantly, many of the items recorded in registries are linked to a higher risk of all three outcomes. Nevertheless, models of stroke and hemorrhage </w:t>
      </w:r>
      <w:r>
        <w:rPr>
          <w:rFonts w:ascii="Times New Roman" w:eastAsia="Times New Roman" w:hAnsi="Times New Roman" w:cs="Times New Roman"/>
          <w:bCs/>
          <w:color w:val="000000" w:themeColor="text1"/>
          <w:sz w:val="24"/>
          <w:szCs w:val="24"/>
        </w:rPr>
        <w:t>should</w:t>
      </w:r>
      <w:r w:rsidRPr="00C95EA2">
        <w:rPr>
          <w:rFonts w:ascii="Times New Roman" w:eastAsia="Times New Roman" w:hAnsi="Times New Roman" w:cs="Times New Roman"/>
          <w:bCs/>
          <w:color w:val="000000" w:themeColor="text1"/>
          <w:sz w:val="24"/>
          <w:szCs w:val="24"/>
        </w:rPr>
        <w:t xml:space="preserve"> consider the competing risk of death from other causes, whereas models of all-cause mortality do not</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{"citationID":"oOXBHArB","properties":{"formattedCitation":"\\super 7\\nosupersub{}","plainCitation":"7","noteIndex":0},"citationItems":[{"id":287,"uris":["http://zotero.org/users/local/51ctrMZy/items/5RQRXVBD"],"itemData":{"id":287,"type":"article-journal","abstract":"Prediction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7</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w:t>
      </w:r>
      <w:r>
        <w:rPr>
          <w:rFonts w:ascii="Times New Roman" w:eastAsia="Times New Roman" w:hAnsi="Times New Roman" w:cs="Times New Roman"/>
          <w:bCs/>
          <w:color w:val="000000" w:themeColor="text1"/>
          <w:sz w:val="24"/>
          <w:szCs w:val="24"/>
        </w:rPr>
        <w:t xml:space="preserve"> </w:t>
      </w:r>
    </w:p>
    <w:p w14:paraId="07B5D999" w14:textId="77777777" w:rsidR="002D3735" w:rsidRPr="00C95EA2" w:rsidRDefault="002D3735" w:rsidP="002D3735">
      <w:pPr>
        <w:spacing w:line="480" w:lineRule="auto"/>
        <w:jc w:val="both"/>
        <w:rPr>
          <w:rFonts w:ascii="Times New Roman" w:eastAsia="Times New Roman" w:hAnsi="Times New Roman" w:cs="Times New Roman"/>
          <w:bCs/>
          <w:color w:val="000000" w:themeColor="text1"/>
          <w:sz w:val="24"/>
          <w:szCs w:val="24"/>
        </w:rPr>
      </w:pPr>
      <w:bookmarkStart w:id="22" w:name="_Hlk144574018"/>
      <w:r w:rsidRPr="00C95EA2">
        <w:rPr>
          <w:rFonts w:ascii="Times New Roman" w:eastAsia="Times New Roman" w:hAnsi="Times New Roman" w:cs="Times New Roman"/>
          <w:bCs/>
          <w:color w:val="000000" w:themeColor="text1"/>
          <w:sz w:val="24"/>
          <w:szCs w:val="24"/>
        </w:rPr>
        <w:t>Regarding the different ML models used, MMoE outperformed the other methods in predicting all-cause and CV death among all the population</w:t>
      </w:r>
      <w:r>
        <w:rPr>
          <w:rFonts w:ascii="Times New Roman" w:eastAsia="Times New Roman" w:hAnsi="Times New Roman" w:cs="Times New Roman"/>
          <w:bCs/>
          <w:color w:val="000000" w:themeColor="text1"/>
          <w:sz w:val="24"/>
          <w:szCs w:val="24"/>
        </w:rPr>
        <w:t>s</w:t>
      </w:r>
      <w:r w:rsidRPr="00C95EA2">
        <w:rPr>
          <w:rFonts w:ascii="Times New Roman" w:eastAsia="Times New Roman" w:hAnsi="Times New Roman" w:cs="Times New Roman"/>
          <w:bCs/>
          <w:color w:val="000000" w:themeColor="text1"/>
          <w:sz w:val="24"/>
          <w:szCs w:val="24"/>
        </w:rPr>
        <w:t xml:space="preserve"> considered. Unlike other naïve multi-task learning models, MMoE introduces greater diversity among experts, creating representations that are better suited to highly unbalanced and heterogeneous multi-task learning. This allows the model to better capture shared patterns that might be ignored by independent training, as MMoE explicitly learns to model task relationships from data, having to share a part of the architecture for the prediction of different targets</w:t>
      </w:r>
      <w:bookmarkEnd w:id="22"/>
      <w:r>
        <w:rPr>
          <w:rFonts w:ascii="Times New Roman" w:eastAsia="Times New Roman" w:hAnsi="Times New Roman" w:cs="Times New Roman"/>
          <w:bCs/>
          <w:color w:val="000000" w:themeColor="text1"/>
          <w:sz w:val="24"/>
          <w:szCs w:val="24"/>
        </w:rPr>
        <w:t xml:space="preserve">. </w:t>
      </w:r>
      <w:r w:rsidRPr="00C95EA2">
        <w:rPr>
          <w:rFonts w:ascii="Times New Roman" w:eastAsia="Times New Roman" w:hAnsi="Times New Roman" w:cs="Times New Roman"/>
          <w:bCs/>
          <w:color w:val="000000" w:themeColor="text1"/>
          <w:sz w:val="24"/>
          <w:szCs w:val="24"/>
        </w:rPr>
        <w:t>Despite in a previous work stepwise logistic regression models performed as well or better than ML models for outcome prediction</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{"citationID":"4VoemwQ1","properties":{"formattedCitation":"\\super 7\\nosupersub{}","plainCitation":"7","noteIndex":0},"citationItems":[{"id":287,"uris":["http://zotero.org/users/local/51ctrMZy/items/5RQRXVBD"],"itemData":{"id":287,"type":"article-journal","abstract":"Prediction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E47694">
        <w:rPr>
          <w:rFonts w:ascii="Times New Roman" w:hAnsi="Times New Roman" w:cs="Times New Roman"/>
          <w:sz w:val="24"/>
          <w:szCs w:val="24"/>
          <w:vertAlign w:val="superscript"/>
        </w:rPr>
        <w:t>7</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xml:space="preserve">, in our study ML </w:t>
      </w:r>
      <w:r w:rsidRPr="00C95EA2">
        <w:rPr>
          <w:rFonts w:ascii="Times New Roman" w:eastAsia="Times New Roman" w:hAnsi="Times New Roman" w:cs="Times New Roman"/>
          <w:bCs/>
          <w:color w:val="000000" w:themeColor="text1"/>
          <w:sz w:val="24"/>
          <w:szCs w:val="24"/>
        </w:rPr>
        <w:lastRenderedPageBreak/>
        <w:t>techniques provided slightly better results (although without significative differences) than stepwise logistic regression. The differences in the number and type of variables included in the datasets could have influenced the capability of more complex models to better capture non-linear relationships and interactions between variables.</w:t>
      </w:r>
    </w:p>
    <w:p w14:paraId="66696EDD" w14:textId="77777777" w:rsidR="002D3735" w:rsidRPr="002851A6" w:rsidRDefault="002D3735" w:rsidP="002D3735">
      <w:pPr>
        <w:spacing w:line="480" w:lineRule="auto"/>
        <w:jc w:val="both"/>
        <w:rPr>
          <w:rFonts w:ascii="Times New Roman" w:eastAsia="Times New Roman" w:hAnsi="Times New Roman" w:cs="Times New Roman"/>
          <w:bCs/>
          <w:sz w:val="24"/>
          <w:szCs w:val="24"/>
        </w:rPr>
      </w:pPr>
      <w:r w:rsidRPr="00C95EA2">
        <w:rPr>
          <w:rFonts w:ascii="Times New Roman" w:eastAsia="Times New Roman" w:hAnsi="Times New Roman" w:cs="Times New Roman"/>
          <w:bCs/>
          <w:color w:val="000000" w:themeColor="text1"/>
          <w:sz w:val="24"/>
          <w:szCs w:val="24"/>
        </w:rPr>
        <w:t>The most commonly used scores in clinic practice in AF patients are represented by CHA</w:t>
      </w:r>
      <w:r w:rsidRPr="00C95EA2">
        <w:rPr>
          <w:rFonts w:ascii="Times New Roman" w:eastAsia="Times New Roman" w:hAnsi="Times New Roman" w:cs="Times New Roman"/>
          <w:bCs/>
          <w:color w:val="000000" w:themeColor="text1"/>
          <w:sz w:val="24"/>
          <w:szCs w:val="24"/>
          <w:vertAlign w:val="subscript"/>
        </w:rPr>
        <w:t>2</w:t>
      </w:r>
      <w:r w:rsidRPr="00C95EA2">
        <w:rPr>
          <w:rFonts w:ascii="Times New Roman" w:eastAsia="Times New Roman" w:hAnsi="Times New Roman" w:cs="Times New Roman"/>
          <w:bCs/>
          <w:color w:val="000000" w:themeColor="text1"/>
          <w:sz w:val="24"/>
          <w:szCs w:val="24"/>
        </w:rPr>
        <w:t>DS</w:t>
      </w:r>
      <w:r w:rsidRPr="00C95EA2">
        <w:rPr>
          <w:rFonts w:ascii="Times New Roman" w:eastAsia="Times New Roman" w:hAnsi="Times New Roman" w:cs="Times New Roman"/>
          <w:bCs/>
          <w:color w:val="000000" w:themeColor="text1"/>
          <w:sz w:val="24"/>
          <w:szCs w:val="24"/>
          <w:vertAlign w:val="subscript"/>
        </w:rPr>
        <w:t>2</w:t>
      </w:r>
      <w:r w:rsidRPr="00C95EA2">
        <w:rPr>
          <w:rFonts w:ascii="Times New Roman" w:eastAsia="Times New Roman" w:hAnsi="Times New Roman" w:cs="Times New Roman"/>
          <w:bCs/>
          <w:color w:val="000000" w:themeColor="text1"/>
          <w:sz w:val="24"/>
          <w:szCs w:val="24"/>
        </w:rPr>
        <w:t>-VASc and HAS-BLED. Although they were created respectively to predict the thromboembolic risk</w:t>
      </w:r>
      <w:r>
        <w:rPr>
          <w:rFonts w:ascii="Times New Roman" w:eastAsia="Times New Roman" w:hAnsi="Times New Roman" w:cs="Times New Roman"/>
          <w:bCs/>
          <w:color w:val="000000" w:themeColor="text1"/>
          <w:sz w:val="24"/>
          <w:szCs w:val="24"/>
        </w:rPr>
        <w:t xml:space="preserve"> </w:t>
      </w:r>
      <w:r w:rsidRPr="00B44211">
        <w:rPr>
          <w:rFonts w:ascii="Times New Roman" w:eastAsia="Times New Roman" w:hAnsi="Times New Roman" w:cs="Times New Roman"/>
          <w:bCs/>
          <w:color w:val="000000" w:themeColor="text1"/>
          <w:sz w:val="24"/>
          <w:szCs w:val="24"/>
        </w:rPr>
        <w:t>before the introduction of antithrombotic therapy</w:t>
      </w:r>
      <w:r w:rsidRPr="00BA48F0">
        <w:rPr>
          <w:rFonts w:ascii="Times New Roman" w:eastAsia="Times New Roman" w:hAnsi="Times New Roman" w:cs="Times New Roman"/>
          <w:bCs/>
          <w:color w:val="FF0000"/>
          <w:sz w:val="24"/>
          <w:szCs w:val="24"/>
        </w:rPr>
        <w:t xml:space="preserve"> </w:t>
      </w:r>
      <w:r w:rsidRPr="00C95EA2">
        <w:rPr>
          <w:rFonts w:ascii="Times New Roman" w:eastAsia="Times New Roman" w:hAnsi="Times New Roman" w:cs="Times New Roman"/>
          <w:bCs/>
          <w:color w:val="000000" w:themeColor="text1"/>
          <w:sz w:val="24"/>
          <w:szCs w:val="24"/>
        </w:rPr>
        <w:t>and the major bleeding risk amongst patients on anticoagulation, these scores have been widely used beyond their original purpose</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{"citationID":"sYLlrszy","properties":{"formattedCitation":"\\super 34\\nosupersub{}","plainCitation":"34","noteIndex":0},"citationItems":[{"id":696,"uris":["http://zotero.org/users/local/51ctrMZy/items/6RK8DWKT"],"itemData":{"id":696,"type":"article-journal","abstract":"IMPORTANCE: The CHA2DS2-VASc score (congestive heart failure, hypertension, age ≥75 years [doubled], diabetes, stroke/transient ischemic attack/thromboembolism [doubled], vascular disease [prior myocardial infarction, peripheral artery disease, or aortic plaque], age 65-75 years, sex category [female]) is used clinically for stroke risk stratification in atrial fibrillation (AF). Its usefulness in a population of patients with heart failure (HF) is unclear.\nOBJECTIVE: To investigate whether CHA2DS2-VASc predicts ischemic stroke, thromboembolism, and death in a cohort of patients with HF with and without AF.\nDESIGN, SETTING, AND POPULATION: Nationwide prospective cohort study using Danish registries, including 42 987 patients (21.9% with concomitant AF) not receiving anticoagulation who were diagnosed as having incident HF during 2000-2012. End of follow-up was December 31, 2012.\nEXPOSURES: Levels of the CHA2DS2-VASc score (based on 10 possible points, with higher scores indicating higher risk), stratified by concomitant AF at baseline. Analyses took into account the competing risk of death.\nMAIN OUTCOMES AND MEASURES: Ischemic stroke, thromboembolism, and death within 1 year after HF diagnosis.\nRESULTS: In patients without AF, the risks of ischemic stroke, thromboembolism, and death were 3.1% (n = 977), 9.9% (n = 3187), and 21.8% (n = 6956), respectively; risks were greater with increasing CHA2DS2-VASc scores as follows, for scores of 1 through 6, respectively: (1) ischemic stroke with concomitant AF: 4.5%, 3.7%, 3.2%, 4.3%, 5.6%, and 8.4%; without concomitant AF: 1.5%, 1.5%, 2.0%, 3.0%, 3.7%, and 7% and (2) all-cause death with concomitant AF: 19.8%, 19.5%, 26.1%, 35.1%, 37.7%, and 45.5%; without concomitant AF: 7.6%, 8.3%, 17.8%, 25.6%, 27.9%, and 35.0%. At high CHA2DS2-VASc scores (≥4), the absolute risk of thromboembolism was high regardless of presence of AF (for a score of 4, 9.7% vs 8.2% for patients without and with concomitant AF, respectively; overall P&lt;.001 for interaction). C statistics and negative predictive values indicate that the CHA2DS2-VASc score performed modestly in this HF population with and without AF (for ischemic stroke, 1-year C statistics, 0.67 [95% CI, 0.65-0.68] and 0.64 [95% CI, 0.61-0.67], respectively; 1-year negative predictive values, 92% [95% CI, 91%-93%] and 91% [95% CI, 88%-95%], respectively).\nCONCLUSIONS AND RELEVANCE: Among patients with incident HF with or without AF, the CHA2DS2-VASc score was associated with risk of ischemic stroke, thromboembolism, and death. The absolute risk of thromboembolic complications was higher among patients without AF compared with patients with concomitant AF at high CHA2DS2-VASc scores. However, predictive accuracy was modest, and the clinical utility of the CHA2DS2-VASc score in patients with HF remains to be determined.","container-title":"JAMA","DOI":"10.1001/jama.2015.10725","ISSN":"1538-3598","issue":"10","journalAbbreviation":"JAMA","language":"eng","note":"PMID: 26318604","page":"1030-1038","source":"PubMed","title":"Assessment of the CHA2DS2-VASc Score in Predicting Ischemic Stroke, Thromboembolism, and Death in Patients With Heart Failure With and Without Atrial Fibrillation","volume":"314","author":[{"family":"Melgaard","given":"Line"},{"family":"Gorst-Rasmussen","given":"Anders"},{"family":"Lane","given":"Deidre A."},{"family":"Rasmussen","given":"Lars Hvilsted"},{"family":"Larsen","given":"Torben Bjerregaard"},{"family":"Lip","given":"Gregory Y. H."}],"issued":{"date-parts":[["2015",9,8]]}}}],"schema":"https://github.com/citation-style-language/schema/raw/master/csl-citation.json"}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1B11DE">
        <w:rPr>
          <w:rFonts w:ascii="Times New Roman" w:hAnsi="Times New Roman" w:cs="Times New Roman"/>
          <w:sz w:val="24"/>
          <w:szCs w:val="24"/>
          <w:vertAlign w:val="superscript"/>
        </w:rPr>
        <w:t>34</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Due to the overlapping of items considered, both these scores resulted in reasonably good predictors even of stroke, major bleeding, and mortality in AF patients</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{"citationID":"ArA0XU1L","properties":{"formattedCitation":"\\super 35\\nosupersub{}","plainCitation":"35","noteIndex":0},"citationItems":[{"id":722,"uris":["http://zotero.org/users/local/51ctrMZy/items/J3S6AGNV"],"itemData":{"id":722,"type":"article-journal","abstract":"Anticoagulation is recommended in patients with atrial fibrillation (AF) for stroke prevention, and the bleeding risk associated suggests the need for a bleeding risk stratification. HAS-BLED (hypertension, abnormal renal/liver function, stroke, bleeding history or predisposition, labile international normalized ratio (INR), elderly &gt;65 years, drugs/alcohol concomitantly) score includes \"labile INR\" referred to quality of anticoagulation. However, in naïve patients, this item is not available. In addition, stroke and bleeding risk prediction scores shared several risk factors. The aims of our study were as follows: (1) to evaluate if the HAS-BLED score in its refined form excluding \"labile INR\" (HAS-BED [hypertension, abnormal renal/liver function, stroke, bleeding history or predisposition, elderly, drugs/alcohol]) is still associated with bleeding risk and (2) to evaluate the predictive ability for bleeding of both stroke and bleeding prediction models. We followed an inception cohort of 4,579 patients with AF enrolled in the Survey on anticoagulaTed pAtients RegisTer (NCT02219984). Major bleeds were recorded. During follow-up (7,014 patient-years), 115 patients experienced a major bleeding (MB; rate 1.6 × 100 patient-years). Patients at high risk were better identified by HAS-BLED and HAS-BED scores with respect to CHADS2 (congestive heart failure, hypertension, age &gt;75 years, diabetes, previous stroke or transient ischemic attack) and CHA2DS2VASc (congestive heart, failure, hypertension, age [&gt;75 years], diabetes, stroke/transient ischemic attack, vascular disease, age [65 to 74 years], female gender). HAS-BLED has a slightly higher c value in comparison to CHADS2 and CHA2DS2VASc. However, among naïve patients, the predictive ability for hemorrhage of HAS-BED score is overlapping with CHADS2 and CHA2DS2VASc. In low stroke risk patients (CHA2DS2VASc = 0 to 1), only 6 patients are at high bleeding risk, and none of them experienced MB. In conclusion, in our prospective cohort of patients with AF, we found that HAS-BLED and HAS-BED scores identify patients at high bleeding risk. However, the predictive value for MB of HAS-BED used in naïve patients is similar to CHADS2 or CHA2DS2VASc, suggesting that stroke stratification scores could be sufficient for tailoring treatment.","container-title":"The American Journal of Cardiology","DOI":"10.1016/j.amjcard.2016.12.007","ISSN":"1879-1913","issue":"7","journalAbbreviation":"Am J Cardiol","language":"eng","note":"PMID: 28237286","page":"1012-1016","source":"PubMed","title":"Comparison of HAS-BLED and HAS-BED Versus CHADS2 and CHA2DS2VASC Stroke and Bleeding Scores in Patients With Atrial Fibrillation","volume":"119","author":[{"family":"Poli","given":"Daniela"},{"family":"Antonucci","given":"Emilia"},{"family":"Pengo","given":"Vittorio"},{"family":"Testa","given":"Sophie"},{"family":"Palareti","given":"Gualtiero"}],"issued":{"date-parts":[["2017",4,1]]}}}],"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1B11DE">
        <w:rPr>
          <w:rFonts w:ascii="Times New Roman" w:hAnsi="Times New Roman" w:cs="Times New Roman"/>
          <w:sz w:val="24"/>
          <w:szCs w:val="24"/>
          <w:vertAlign w:val="superscript"/>
        </w:rPr>
        <w:t>35</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Anyway, these scores are not dedicated to the prediction of death and their predictive ability remains modest</w:t>
      </w:r>
      <w:r w:rsidRPr="00C95EA2">
        <w:rPr>
          <w:rFonts w:ascii="Times New Roman" w:eastAsia="Times New Roman" w:hAnsi="Times New Roman" w:cs="Times New Roman"/>
          <w:bCs/>
          <w:color w:val="000000" w:themeColor="text1"/>
          <w:sz w:val="24"/>
          <w:szCs w:val="24"/>
        </w:rPr>
        <w:fldChar w:fldCharType="begin"/>
      </w:r>
      <w:r>
        <w:rPr>
          <w:rFonts w:ascii="Times New Roman" w:eastAsia="Times New Roman" w:hAnsi="Times New Roman" w:cs="Times New Roman"/>
          <w:bCs/>
          <w:color w:val="000000" w:themeColor="text1"/>
          <w:sz w:val="24"/>
          <w:szCs w:val="24"/>
        </w:rPr>
        <w:instrText xml:space="preserve"> ADDIN ZOTERO_ITEM CSL_CITATION {"citationID":"5ONODZbH","properties":{"formattedCitation":"\\super 36\\nosupersub{}","plainCitation":"36","noteIndex":0},"citationItems":[{"id":619,"uris":["http://zotero.org/users/local/51ctrMZy/items/WF7EXZQ9"],"itemData":{"id":619,"type":"article-journal","abstract":"AIMS: Many clinical scores for risk stratification in patients with atrial fibrillation have been proposed, and some have been useful in predicting all-cause mortality. We aim to analyse the relationship between clinical risk score and all-cause death occurrence in atrial fibrillation patients.\nMETHODS: We performed a systematic search in PubMed and Scopus from inception to 22 July 2017. We considered the following scores: ATRIA-Stroke, ATRIA-Bleeding, CHADS2, CHA2DS2-VASc, HAS-BLED, HATCH and ORBIT. Papers reporting data about scores and all-cause death rates were considered.\nRESULTS: Fifty studies and 71 scores groups were included in the analysis, with 669,217 patients. Data on ATRIA-Bleeding, CHADS2, CHA2DS2-VASc and HAS-BLED were available. All the scores were significantly associated with an increased risk for all-cause death. All the scores showed modest predictive ability at five years (c-indexes (95% confidence interval) CHADS2: 0.64 (0.63-0.65), CHA2DS2-VASc: 0.62 (0.61-0.64), HAS-BLED: 0.62 (0.58-0.66)). Network meta-regression found no significant differences in predictive ability. CHA2DS2-VASc score had consistently high negative predictive value (≥94%) at one, three and five years of follow-up; conversely it showed the highest probability of being the best performing score (63% at one year, 60% at three years, 68% at five years).\nCONCLUSION: In atrial fibrillation patients, contemporary clinical risk scores are associated with an increased risk of all-cause death. Use of these scores for death prediction in atrial fibrillation patients could be considered as part of holistic clinical assessment. The CHA2DS2-VASc score had consistently high negative predictive value during follow-up and the highest probability of being the best performing clinical score.","container-title":"European Journal of Preventive Cardiology","DOI":"10.1177/2047487318817662","ISSN":"2047-4881","issue":"6","journalAbbreviation":"Eur J Prev Cardiol","language":"eng","note":"PMID: 30861693","page":"633-644","source":"PubMed","title":"Association between clinical risk scores and mortality in atrial fibrillation: Systematic review and network meta-regression of 669,000 patients","title-short":"Association between clinical risk scores and mortality in atrial fibrillation","volume":"27","author":[{"family":"Proietti","given":"Marco"},{"family":"Farcomeni","given":"Alessio"},{"family":"Romiti","given":"Giulio Francesco"},{"family":"Di Rocco","given":"Arianna"},{"family":"Placentino","given":"Filippo"},{"family":"Diemberger","given":"Igor"},{"family":"Lip","given":"Gregory Yh"},{"family":"Boriani","given":"Giuseppe"}],"issued":{"date-parts":[["2020",4]]}}}],"schema":"https://github.com/citation-style-language/schema/raw/master/csl-citation.json"} </w:instrText>
      </w:r>
      <w:r w:rsidRPr="00C95EA2">
        <w:rPr>
          <w:rFonts w:ascii="Times New Roman" w:eastAsia="Times New Roman" w:hAnsi="Times New Roman" w:cs="Times New Roman"/>
          <w:bCs/>
          <w:color w:val="000000" w:themeColor="text1"/>
          <w:sz w:val="24"/>
          <w:szCs w:val="24"/>
        </w:rPr>
        <w:fldChar w:fldCharType="separate"/>
      </w:r>
      <w:r w:rsidRPr="001B11DE">
        <w:rPr>
          <w:rFonts w:ascii="Times New Roman" w:hAnsi="Times New Roman" w:cs="Times New Roman"/>
          <w:sz w:val="24"/>
          <w:szCs w:val="24"/>
          <w:vertAlign w:val="superscript"/>
        </w:rPr>
        <w:t>36</w:t>
      </w:r>
      <w:r w:rsidRPr="00C95EA2">
        <w:rPr>
          <w:rFonts w:ascii="Times New Roman" w:eastAsia="Times New Roman" w:hAnsi="Times New Roman" w:cs="Times New Roman"/>
          <w:bCs/>
          <w:color w:val="000000" w:themeColor="text1"/>
          <w:sz w:val="24"/>
          <w:szCs w:val="24"/>
        </w:rPr>
        <w:fldChar w:fldCharType="end"/>
      </w:r>
      <w:r w:rsidRPr="00C95EA2">
        <w:rPr>
          <w:rFonts w:ascii="Times New Roman" w:eastAsia="Times New Roman" w:hAnsi="Times New Roman" w:cs="Times New Roman"/>
          <w:bCs/>
          <w:color w:val="000000" w:themeColor="text1"/>
          <w:sz w:val="24"/>
          <w:szCs w:val="24"/>
        </w:rPr>
        <w:t>. Our ML approach allowed us to provide better accuracy of prediction regarding all</w:t>
      </w:r>
      <w:r>
        <w:rPr>
          <w:rFonts w:ascii="Times New Roman" w:eastAsia="Times New Roman" w:hAnsi="Times New Roman" w:cs="Times New Roman"/>
          <w:bCs/>
          <w:color w:val="000000" w:themeColor="text1"/>
          <w:sz w:val="24"/>
          <w:szCs w:val="24"/>
        </w:rPr>
        <w:t>-</w:t>
      </w:r>
      <w:r w:rsidRPr="00C95EA2">
        <w:rPr>
          <w:rFonts w:ascii="Times New Roman" w:eastAsia="Times New Roman" w:hAnsi="Times New Roman" w:cs="Times New Roman"/>
          <w:bCs/>
          <w:color w:val="000000" w:themeColor="text1"/>
          <w:sz w:val="24"/>
          <w:szCs w:val="24"/>
        </w:rPr>
        <w:t>cause death in all populations considered and of major bleeding in the DOAC population</w:t>
      </w:r>
      <w:r w:rsidRPr="002851A6">
        <w:rPr>
          <w:rFonts w:ascii="Times New Roman" w:eastAsia="Times New Roman" w:hAnsi="Times New Roman" w:cs="Times New Roman"/>
          <w:bCs/>
          <w:sz w:val="24"/>
          <w:szCs w:val="24"/>
        </w:rPr>
        <w:t xml:space="preserve">. Also if recommended by the current guidelines, our study confirmed the HAS-BLED score poor major bleeding predictive ability in the DOAC population (AUC 0.586 ± 0.054), providing a better tool to stratify the hemorrhagic risk in a contemporary AF cohort of patients. Moreover, it is conceivable that all cause-death is related to factors not included in the current stratification risk scores, which ML is more likely to reveal. </w:t>
      </w:r>
      <w:bookmarkStart w:id="23" w:name="_Hlk145690263"/>
      <w:r w:rsidRPr="002851A6">
        <w:rPr>
          <w:rFonts w:ascii="Times New Roman" w:eastAsia="Times New Roman" w:hAnsi="Times New Roman" w:cs="Times New Roman"/>
          <w:bCs/>
          <w:sz w:val="24"/>
          <w:szCs w:val="24"/>
        </w:rPr>
        <w:t>The better prediction of death and major bleeding could allow the individuation of high-risk patients, filling an unmet need for an individualized patient management strategy</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{"citationID":"UsHHQc5d","properties":{"formattedCitation":"\\super 37\\nosupersub{}","plainCitation":"37","noteIndex":0},"citationItems":[{"id":700,"uris":["http://zotero.org/users/local/51ctrMZy/items/IEQ9YK8G"],"itemData":{"id":700,"type":"article-journal","container-title":"The Lancet","DOI":"10.1016/S0140-6736(20)32519-8","ISSN":"0140-6736, 1474-547X","issue":"10270","journalAbbreviation":"The Lancet","language":"English","note":"publisher: Elsevier\nPMID: 33453782","page":"199-207","source":"www.thelancet.com","title":"Machine learning-based prediction of adverse events following an acute coronary syndrome (PRAISE): a modelling study of pooled datasets","title-short":"Machine learning-based prediction of adverse events following an acute coronary syndrome (PRAISE)","volume":"397","author":[{"family":"D'Ascenzo","given":"Fabrizio"},{"family":"Filippo","given":"Ovidio De"},{"family":"Gallone","given":"Guglielmo"},{"family":"Mittone","given":"Gianluca"},{"family":"Deriu","given":"Marco Agostino"},{"family":"Iannaccone","given":"Mario"},{"family":"Ariza-Solé","given":"Albert"},{"family":"Liebetrau","given":"Christoph"},{"family":"Manzano-Fernández","given":"Sergio"},{"family":"Quadri","given":"Giorgio"},{"family":"Kinnaird","given":"Tim"},{"family":"Campo","given":"Gianluca"},{"family":"Henriques","given":"Jose Paulo Simao"},{"family":"Hughes","given":"James M."},{"family":"Dominguez-Rodriguez","given":"Alberto"},{"family":"Aldinucci","given":"Marco"},{"family":"Morbiducci","given":"Umberto"},{"family":"Patti","given":"Giuseppe"},{"family":"Raposeiras-Roubin","given":"Sergio"},{"family":"Abu-Assi","given":"Emad"},{"family":"Ferrari","given":"Gaetano Maria De"},{"family":"Piroli","given":"Francesco"},{"family":"Saglietto","given":"Andrea"},{"family":"Conrotto","given":"Federico"},{"family":"Omedé","given":"Pierluigi"},{"family":"Montefusco","given":"Antonio"},{"family":"Pennone","given":"Mauro"},{"family":"Bruno","given":"Francesco"},{"family":"Bocchino","given":"Pier Paolo"},{"family":"Boccuzzi","given":"Giacomo"},{"family":"Cerrato","given":"Enrico"},{"family":"Varbella","given":"Ferdinando"},{"family":"Sperti","given":"Michela"},{"family":"Wilton","given":"Stephen B."},{"family":"Velicki","given":"Lazar"},{"family":"Xanthopoulou","given":"Ioanna"},{"family":"Cequier","given":"Angel"},{"family":"Iniguez-Romo","given":"Andres"},{"family":"Pousa","given":"Isabel Munoz"},{"family":"Fernandez","given":"Maria Cespon"},{"family":"Queija","given":"Berenice Caneiro"},{"family":"Cobas-Paz","given":"Rafael"},{"family":"Lopez-Cuenca","given":"Angel"},{"family":"Garay","given":"Alberto"},{"family":"Blanco","given":"Pedro Flores"},{"family":"Rognoni","given":"Andrea"},{"family":"Zoccai","given":"Giuseppe Biondi"},{"family":"Biscaglia","given":"Simone"},{"family":"Nunez-Gil","given":"Ivan"},{"family":"Fujii","given":"Toshiharu"},{"family":"Durante","given":"Alessandro"},{"family":"Song","given":"Xiantao"},{"family":"Kawaji","given":"Tetsuma"},{"family":"Alexopoulos","given":"Dimitrios"},{"family":"Huczek","given":"Zenon"},{"family":"Juanatey","given":"Jose Ramon Gonzalez"},{"family":"Nie","given":"Shao-Ping"},{"family":"Kawashiri","given":"Masa-aki"},{"family":"Colonnelli","given":"Iacopo"},{"family":"Cantalupo","given":"Barbara"},{"family":"Esposito","given":"Roberto"},{"family":"Leonardi","given":"Sergio"},{"family":"Marra","given":"Walter Grosso"},{"family":"Chieffo","given":"Alaide"},{"family":"Michelucci","given":"Umberto"},{"family":"Piga","given":"Dario"},{"family":"Malavolta","given":"Marta"},{"family":"Gili","given":"Sebastiano"},{"family":"Mennuni","given":"Marco"},{"family":"Montalto","given":"Claudio"},{"family":"Visconti","given":"Luigi Oltrona"},{"family":"Arfat","given":"Yasir"}],"issued":{"date-parts":[["2021",1,16]]}}}],"schema":"https://github.com/citation-style-language/schema/raw/master/csl-citation.json"}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37</w:t>
      </w:r>
      <w:r w:rsidRPr="002851A6">
        <w:rPr>
          <w:rFonts w:ascii="Times New Roman" w:eastAsia="Times New Roman" w:hAnsi="Times New Roman" w:cs="Times New Roman"/>
          <w:bCs/>
          <w:sz w:val="24"/>
          <w:szCs w:val="24"/>
        </w:rPr>
        <w:fldChar w:fldCharType="end"/>
      </w:r>
      <w:bookmarkEnd w:id="23"/>
      <w:r w:rsidRPr="002851A6">
        <w:rPr>
          <w:rFonts w:ascii="Times New Roman" w:eastAsia="Times New Roman" w:hAnsi="Times New Roman" w:cs="Times New Roman"/>
          <w:bCs/>
          <w:sz w:val="24"/>
          <w:szCs w:val="24"/>
        </w:rPr>
        <w:t>.</w:t>
      </w:r>
    </w:p>
    <w:p w14:paraId="75CEFB89" w14:textId="77777777" w:rsidR="002D3735" w:rsidRPr="002851A6" w:rsidRDefault="002D3735" w:rsidP="002D3735">
      <w:pPr>
        <w:pStyle w:val="Paragrafoelenco"/>
        <w:spacing w:line="480" w:lineRule="auto"/>
        <w:ind w:left="0"/>
        <w:jc w:val="both"/>
        <w:rPr>
          <w:rFonts w:ascii="Times New Roman" w:eastAsia="Times New Roman" w:hAnsi="Times New Roman" w:cs="Times New Roman"/>
          <w:bCs/>
          <w:sz w:val="24"/>
          <w:szCs w:val="24"/>
        </w:rPr>
      </w:pPr>
      <w:r w:rsidRPr="002851A6">
        <w:rPr>
          <w:rFonts w:ascii="Times New Roman" w:eastAsia="Times New Roman" w:hAnsi="Times New Roman" w:cs="Times New Roman"/>
          <w:bCs/>
          <w:sz w:val="24"/>
          <w:szCs w:val="24"/>
        </w:rPr>
        <w:t xml:space="preserve">ML approach could help to uncover additional new potential risk factors of clinical outcomes in addition to those utilized in the classic clinical risk score, derived from </w:t>
      </w:r>
      <w:r w:rsidRPr="002851A6">
        <w:rPr>
          <w:rFonts w:ascii="Times New Roman" w:eastAsia="Times New Roman" w:hAnsi="Times New Roman" w:cs="Times New Roman"/>
          <w:bCs/>
          <w:sz w:val="24"/>
          <w:szCs w:val="24"/>
        </w:rPr>
        <w:lastRenderedPageBreak/>
        <w:t>standard statistical methods. In addition to age and renal function, which are items already considered in CHA</w:t>
      </w:r>
      <w:r w:rsidRPr="002851A6">
        <w:rPr>
          <w:rFonts w:ascii="Times New Roman" w:eastAsia="Times New Roman" w:hAnsi="Times New Roman" w:cs="Times New Roman"/>
          <w:bCs/>
          <w:sz w:val="24"/>
          <w:szCs w:val="24"/>
          <w:vertAlign w:val="subscript"/>
        </w:rPr>
        <w:t>2</w:t>
      </w:r>
      <w:r w:rsidRPr="002851A6">
        <w:rPr>
          <w:rFonts w:ascii="Times New Roman" w:eastAsia="Times New Roman" w:hAnsi="Times New Roman" w:cs="Times New Roman"/>
          <w:bCs/>
          <w:sz w:val="24"/>
          <w:szCs w:val="24"/>
        </w:rPr>
        <w:t>DS</w:t>
      </w:r>
      <w:r w:rsidRPr="002851A6">
        <w:rPr>
          <w:rFonts w:ascii="Times New Roman" w:eastAsia="Times New Roman" w:hAnsi="Times New Roman" w:cs="Times New Roman"/>
          <w:bCs/>
          <w:sz w:val="24"/>
          <w:szCs w:val="24"/>
          <w:vertAlign w:val="subscript"/>
        </w:rPr>
        <w:t>2</w:t>
      </w:r>
      <w:r w:rsidRPr="002851A6">
        <w:rPr>
          <w:rFonts w:ascii="Times New Roman" w:eastAsia="Times New Roman" w:hAnsi="Times New Roman" w:cs="Times New Roman"/>
          <w:bCs/>
          <w:sz w:val="24"/>
          <w:szCs w:val="24"/>
        </w:rPr>
        <w:t xml:space="preserve">VASC and HAS-BLED scores, our study identified other risk factors for worse outcomes in AF patients, such as anemia (represented by hemoglobin level and red blood count), platelet count and BMI. </w:t>
      </w:r>
    </w:p>
    <w:p w14:paraId="20949C26" w14:textId="77777777" w:rsidR="002D3735" w:rsidRPr="002851A6" w:rsidRDefault="002D3735" w:rsidP="002D3735">
      <w:pPr>
        <w:pStyle w:val="Paragrafoelenco"/>
        <w:spacing w:line="480" w:lineRule="auto"/>
        <w:ind w:left="0"/>
        <w:jc w:val="both"/>
        <w:rPr>
          <w:rFonts w:ascii="Times New Roman" w:eastAsia="Times New Roman" w:hAnsi="Times New Roman" w:cs="Times New Roman"/>
          <w:bCs/>
          <w:strike/>
          <w:sz w:val="24"/>
          <w:szCs w:val="24"/>
        </w:rPr>
      </w:pPr>
      <w:r w:rsidRPr="002851A6">
        <w:rPr>
          <w:rFonts w:ascii="Times New Roman" w:eastAsia="Times New Roman" w:hAnsi="Times New Roman" w:cs="Times New Roman"/>
          <w:bCs/>
          <w:sz w:val="24"/>
          <w:szCs w:val="24"/>
        </w:rPr>
        <w:t>Anemia is a common finding in AF patients and a well-known risk factor for bleeding, cardiac events and all-cause mortality</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{"citationID":"pnoLPDhI","properties":{"formattedCitation":"\\super 38\\nosupersub{}","plainCitation":"38","noteIndex":0},"citationItems":[{"id":643,"uris":["http://zotero.org/users/local/51ctrMZy/items/BITLPPTZ"],"itemData":{"id":643,"type":"article-journal","abstract":"To investigate the risk of stroke/thromboembolism (TE) and major bleeding associated with anaemia among patients with atrial fibrillation (AF). Also, to assess the effects of oral anticoagulation (OAC) and time in therapeutic range (TTR) with vitamin K antagonists according to level of haemoglobin (Hb).Through administrative registry databases, we identified all Danish patients diagnosed with AF from 1997 to 2012. We included 18 734 AF patients with recent available data on Hb. Multiple Cox regression analyses were used to estimate hazard ratios and to compute standardized absolute 1-year risks of stroke/TE and major bleeding. Among included patients, 3796 (20%) had mild anaemia (Hb 6.83–7.45 mmol/L for women and Hb 6.83–8.03 mmol/L for men) and 2562 (14%) had moderate/severe anaemia (Hb &amp;lt;6.83 mmol/L). Moderate/severe anaemia was associated with increased risk of major bleeding and 9.1% lower median TTR compared with no anaemia. Use of OAC was associated with reduced risk of stroke/TE among patients without anaemia [standardized absolute 1-year difference −2.5%, 95% confidence interval (CI) −3.8 to −1.7%] or with mild anaemia (−2.3%, 95% CI −2.8 to −1.8%), but not with moderate/severe anaemia, (0.03%, −1.8 to +2.8%, interaction P = 0.01). Oral anticoagulation was associated with a 5.3% (95% CI 2.1–8.7%) increased standardized absolute risk of major bleeding among AF patients with moderate/severe anaemia.Anaemia was common in patients with AF and associated with major bleeding and lower TTR. Oral anticoagulation was associated with more major bleeding, but no reduction in risk of stroke/TE among AF patients with moderate/severe anaemia.","container-title":"European Heart Journal","DOI":"10.1093/eurheartj/ehz155","ISSN":"0195-668X","issue":"46","journalAbbreviation":"European Heart Journal","page":"3782-3790","source":"Silverchair","title":"Oral anticoagulation among atrial fibrillation patients with anaemia: an observational cohort study","title-short":"Oral anticoagulation among atrial fibrillation patients with anaemia","volume":"40","author":[{"family":"Bonde","given":"Anders Nissen"},{"family":"Blanche","given":"Paul"},{"family":"Staerk","given":"Laila"},{"family":"Gerds","given":"Thomas Alexander"},{"family":"Gundlund","given":"Anna"},{"family":"Gislason","given":"Gunnar"},{"family":"Torp-Pedersen","given":"Christian"},{"family":"Lip","given":"Gregory Y H"},{"family":"Hlatky","given":"Mark A"},{"family":"Olesen","given":"Jonas Bjerring"}],"issued":{"date-parts":[["2019",12,7]]}}}],"schema":"https://github.com/citation-style-language/schema/raw/master/csl-citation.json"}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38</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Anemia could contribute to the development of new-onset AF</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{"citationID":"Hpgr1BPf","properties":{"formattedCitation":"\\super 39\\nosupersub{}","plainCitation":"39","noteIndex":0},"citationItems":[{"id":652,"uris":["http://zotero.org/users/local/51ctrMZy/items/LK6TQWCN"],"itemData":{"id":652,"type":"article-journal","abstract":"Background: Each of chronic kidney disease (CKD) and anemia is a potential independent risk factor for cardiovascular disease (CVD); however, reduced kidney function, anemia, and its relationship have not been fully evaluated for the incidence of atrial fibrillation (AF).Objective: We sought to evaluate the impact of kidney function, hemoglobin and their combination on new onset AF in population-based cohort study.Methods: We conducted a 15-year prospective cohort study of 194,333 persons aged 40-79 years who participated in annual health checkups in 1993 to 2008. Estimated glomerular filtration rate (eGFR) was classified as eGFR ≥90 ml/min per 1.73 m2 (normal eGFR group), 60 ≤ eGFR &amp;lt;90 mL/min per 1.73 m2 (mild CKD group), and eGFR &amp;lt;60 mL/min per 1.73 m2 (CKD group), The hemoglobin (Hb) was classified as normal Hb group (15 g/dl ≤ Hb &amp;lt; 18 g/dl in male and 13 g/dl ≤ Hb &amp;lt; 16 g/d in female); borderline Hb group (13 g/d ≤ Hb &amp;lt; 15 g/d in male and 11g/d ≤ Hb &amp;lt; 13 g/d in female) and anemia group (Hb &amp;lt; 13 g/dl in male and for Hb &amp;lt; 11 in female). Kaplan-Meier survival analysis was used to compare free from new onset of AF between groups classified by level of eGFR grade, hemoglobin grade, and their interaction. The Cox-proportional hazard model was used to estimate the hazard ratios (HRs) for new onset AF, after adjusting age, sex and other cardiovascular risk factors.Results: During the mean follow up of 13.8 years, 1,237 new onset of AF (0.93%) were identified. Lower eGFR and lower hemoglobin grades were significantly associated with a higher prevalence of new onset AF. The multivariable HRs and 95% confidence intervals (CIs) of new onset AF was 1.37 (1.21 – 1.55) for mild CKD group, 2.55 (2.08 -3.12) for CKD group; and 1.50 (1.24 – 1.83) for anemia grade. Borderline hemoglobin level was not significantly associated with increased risk for new onset AF (HR = 1.07 CI: 0.91 – 1.25 P = 0.4284). In the model with interaction term between CKD and anemia, the risk was significantly higher (P = 0.0343 for the interaction) than that predicted by both factors independently.Conclusion: Decreased kidney function and lower hemoglobin level are risk factors for new onset AF, especially when both are present.","container-title":"European Heart Journal","DOI":"10.1093/eurheartj/eht309.P4271","ISSN":"0195-668X","issue":"suppl_1","journalAbbreviation":"European Heart Journal","page":"P4271","source":"Silverchair","title":"Reduced kidney function and anemia as risk factors for new onset AF","volume":"34","author":[{"family":"Xu","given":"D.Z."},{"family":"Murakoshi","given":"N."},{"family":"Sairenchi","given":"T."},{"family":"Irie","given":"F."},{"family":"Igarashi","given":"M."},{"family":"Tomizawa","given":"T."},{"family":"Yamaguchi","given":"I."},{"family":"Iso","given":"H."},{"family":"Ota","given":"H."},{"family":"Aonuma","given":"K."}],"issued":{"date-parts":[["2013",8,1]]}}}],"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39</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or to increase the recurrences of paroxysmal AF</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{"citationID":"4IFY7KLo","properties":{"formattedCitation":"\\super 40\\nosupersub{}","plainCitation":"40","noteIndex":0},"citationItems":[{"id":655,"uris":["http://zotero.org/users/local/51ctrMZy/items/UNPVV7W9"],"itemData":{"id":655,"type":"article-journal","abstract":"BACKGROUND: Anemia is a known adverse prognostic factor among patients with cardiovascular diseases. We investigated whether the hemoglobin level was associated with the rhythm outcome after atrial fibrillation (AF) catheter ablation (AFCA).\nMETHODS: We included 2627 patients who underwent AFCA and a guidelines-based rhythm follow-up (age 58 ± 10.9 years, 73% men, 30.6% with persistent AF), and evaluated the association of pre-AFCA anemia (haemoglobin &lt;13 g/dL in men and &lt;12 g/dL in women) and rhythm outcomes. We studied the mechanistic relationship between anemia and AF recurrence using a Mendelian randomization analysis (1775 subjects with genome-wide association study) after reviewing already proven 12 hemoglobin-associated genetic polymorphisms.\nRESULTS: The body mass index, paroxysmal AF, warfarin use, and baseline red cell distribution width were independently associated with anemia in patients with AF. During a 23-month follow-up (interval OR 9-48 months), the clinical AF recurrence rate was significantly higher in patients with than without anemia (log-rank p = 0.001; propensity score-matched log-rank p = 0.004). This pattern was more significant in male patients (Log-rank p &lt; 0.001) or patients with paroxysmal AF (Log-rank p &lt; 0.001). Anemia (hazard ratio [HR] 1.45 [1.17-1.80], p = 0.001), left atrial diameter (HR 1.03 [1.01-1.04], p &lt; 0.001), a female sex (HR 1.17 [1.00-1.36], p = 0.047), and persistent AF (HR 1.58 [1.36-1.84], p &lt; 0.001) were independently associated with post-AFCA clinical recurrence. In the Mendelian randomization, we could not find a significant direct causal relationship between anemia and AF recurrence at the genetic level.\nCONCLUSIONS: Pre-AFCA anemia is an independent predictor of post-AFCA clinical recurrence, especially in male patients, without a genetically direct causal relationship.","container-title":"International Journal of Cardiology. Heart &amp; Vasculature","DOI":"10.1016/j.ijcha.2020.100507","ISSN":"2352-9067","journalAbbreviation":"Int J Cardiol Heart Vasc","language":"eng","note":"PMID: 32258364\nPMCID: PMC7125353","page":"100507","source":"PubMed","title":"Clinical relationship between anemia and atrial fibrillation recurrence after catheter ablation without genetic background","volume":"27","author":[{"family":"Kim","given":"Min"},{"family":"Hong","given":"Myunghee"},{"family":"Kim","given":"Jong-Youn"},{"family":"Kim","given":"In-Soo"},{"family":"Yu","given":"Hee Tae"},{"family":"Kim","given":"Tae-Hoon"},{"family":"Uhm","given":"Jae-Sun"},{"family":"Joung","given":"Boyoung"},{"family":"Lee","given":"Moon-Hyoung"},{"family":"Pak","given":"Hui-Nam"}],"issued":{"date-parts":[["2020",4]]}}}],"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40</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Moreover, anemia could represent a marker of frailty, another known risk factor for a worse outcome in AF patients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{"citationID":"fSZNmwmd","properties":{"formattedCitation":"\\super 41\\nosupersub{}","plainCitation":"41","noteIndex":0},"citationItems":[{"id":661,"uris":["http://zotero.org/users/local/51ctrMZy/items/D78F6IDF"],"itemData":{"id":661,"type":"article-journal","abstract":"Frailty is a clinical syndrome characterized by a reduced physiologic reserve, increased vulnerability to stressors and an increased risk of adverse outcomes. People with atrial fibrillation (AF) are often burdened by frailty due to biological, clinical, and social factors. The prevalence of frailty, its management and association with major outcomes in AF patients are still not well quantified. We systematically searched PubMed and EMBASE, from inception to September 13th, 2021, for studies reporting the prevalence of frailty in AF patients. The study was registered in PROSPERO (CRD42021235854). 33 studies were included in the systematic review (n = 1,187,651 patients). The frailty pooled prevalence was 39.7 % (95 %CI=29.9 %-50.5 %, I2 =100 %), while meta-regression analyses showed it is influenced by age, history of stroke, and geographical location. Meta-regression analyses showed that OAC prescription was influenced by study-level mean age, baseline thromboembolic risk, and study setting. Frail AF patients were associated with a higher risk of all-cause death (OR=5.56, 95 %CI=3.46-8.94), ischemic stroke (OR=1.59, 95 %CI=1.00-2.52), and bleeding (OR=1.64, 95 %CI=1.11-2.41), when compared to robust individuals. In this systematic review and meta-analysis, the prevalence of frailty was high in patients with AF. Frailty may influence the prognosis and management of AF patients, thus requiring person-tailored interventions in a holistic or integrated approach to AF care.","container-title":"Ageing Research Reviews","DOI":"10.1016/j.arr.2022.101652","ISSN":"1872-9649","journalAbbreviation":"Ageing Res Rev","language":"eng","note":"PMID: 35659945","page":"101652","source":"PubMed","title":"Frailty prevalence and impact on outcomes in patients with atrial fibrillation: A systematic review and meta-analysis of 1,187,000 patients","title-short":"Frailty prevalence and impact on outcomes in patients with atrial fibrillation","volume":"79","author":[{"family":"Proietti","given":"Marco"},{"family":"Romiti","given":"Giulio Francesco"},{"family":"Raparelli","given":"Valeria"},{"family":"Diemberger","given":"Igor"},{"family":"Boriani","given":"Giuseppe"},{"family":"Dalla Vecchia","given":"Laura Adelaide"},{"family":"Bellelli","given":"Giuseppe"},{"family":"Marzetti","given":"Emanuele"},{"family":"Lip","given":"Gregory Yh"},{"family":"Cesari","given":"Matteo"}],"issued":{"date-parts":[["2022",8]]}}}],"schema":"https://github.com/citation-style-language/schema/raw/master/csl-citation.json"}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41</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w:t>
      </w:r>
    </w:p>
    <w:p w14:paraId="00372E82" w14:textId="77777777" w:rsidR="002D3735" w:rsidRPr="002851A6" w:rsidRDefault="002D3735" w:rsidP="002D3735">
      <w:pPr>
        <w:pStyle w:val="Paragrafoelenco"/>
        <w:spacing w:line="480" w:lineRule="auto"/>
        <w:ind w:left="0"/>
        <w:jc w:val="both"/>
        <w:rPr>
          <w:rFonts w:ascii="Times New Roman" w:eastAsia="Times New Roman" w:hAnsi="Times New Roman" w:cs="Times New Roman"/>
          <w:bCs/>
          <w:sz w:val="24"/>
          <w:szCs w:val="24"/>
        </w:rPr>
      </w:pPr>
      <w:r w:rsidRPr="002851A6">
        <w:rPr>
          <w:rFonts w:ascii="Times New Roman" w:eastAsia="Times New Roman" w:hAnsi="Times New Roman" w:cs="Times New Roman"/>
          <w:bCs/>
          <w:sz w:val="24"/>
          <w:szCs w:val="24"/>
        </w:rPr>
        <w:t>Thrombocytopenia is also associated with an increased risk of mortality and bleeding in AF patients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{"citationID":"5hDNfc4a","properties":{"formattedCitation":"\\super 42\\nosupersub{}","plainCitation":"42","noteIndex":0},"citationItems":[{"id":670,"uris":["http://zotero.org/users/local/51ctrMZy/items/VA8LGJCH"],"itemData":{"id":670,"type":"article-journal","abstract":"Background Thrombocytopenia is associated with increased mortality in the general population, but few data exist in patients with atrial fibrillation (AF) taking oral anticoagulants. We investigated factor determinants of thrombocytopenia in a large cohort of patients affected by AF and its association with total mortality. Methods and Results Multicenter prospective cohort study, including 5215 patients with AF from the START (Survey on Anticoagulated Patients Register) registry, 3877 (74.3%) and 1338 (25.7%) on vitamin K or non-vitamin K antagonist oral anticoagulants, respectively. Thrombocytopenia was defined by a platelet count &lt;150×109/L. Determinants of thrombocytopenia were investigated, and all-cause mortality was the primary survival end point of the study. Thrombocytopenia was present in 592 patients (11.4%). At multivariable logistic regression analysis, chronic kidney disease (odds ratio [OR], 1.257; P=0.030), active cancer (OR, 2.065; P=0.001), liver cirrhosis (OR, 7.635; P&lt;0.001), and the use of diuretics (OR, 1.234; P=0.046) were positively associated with thrombocytopenia, whereas female sex (OR, 0.387; P&lt;0.001) and the use of calcium channel blockers (OR, 0.787; P=0.032) were negatively associated. During a median follow-up of 19.2 months (9942 patient-years), 391 deaths occurred (rate, 3.93%/year). Mortality rate increased from 3.8%/year to 9.9%/year in patients with normal platelet count and in those with moderate-severe thrombocytopenia, respectively (log-rank test, P=0.009). The association between moderate-severe thrombocytopenia and mortality persisted after adjustment for CHA2DS2 VASc score (hazard ratio, 2.431; 95% CI, 1.254-4.713; P=0.009), but not in the fully adjusted multivariable Cox regression analysis model. Conclusions Thrombocytopenia is common in patients with AF. Despite an increased incidence of mortality, thrombocytopenia was not associated with mortality at multivariable analysis. Thrombocytopenia may reflect the presence of comorbidities associated with poor survival in AF.","container-title":"Journal of the American Heart Association","DOI":"10.1161/JAHA.119.012596","ISSN":"2047-9980","issue":"21","journalAbbreviation":"J Am Heart Assoc","language":"eng","note":"PMID: 31656119\nPMCID: PMC6898797","page":"e012596","source":"PubMed","title":"Thrombocytopenia and Mortality Risk in Patients With Atrial Fibrillation: An Analysis From the START Registry","title-short":"Thrombocytopenia and Mortality Risk in Patients With Atrial Fibrillation","volume":"8","author":[{"family":"Pastori","given":"Daniele"},{"family":"Antonucci","given":"Emilia"},{"family":"Violi","given":"Francesco"},{"family":"Palareti","given":"Gualtiero"},{"family":"Pignatelli","given":"Pasquale"},{"literal":"START2 Registry Investigators ‡"},{"literal":"START2 Registry Investigators&lt;xref ref-type=\"author-note\" rid=\"jah34460-note-1002\"&gt;&lt;sup&gt;‡&lt;/sup&gt;&lt;/xref&gt;"}],"issued":{"date-parts":[["2019",11,5]]}}}],"schema":"https://github.com/citation-style-language/schema/raw/master/csl-citation.json"}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42</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This aspect has to be considered in the case of AF patients who require anticoagulation, as starting anticoagulation increases the number of major bleeding events in patients with low platelet counts compared to patients without thrombocytopenia</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{"citationID":"f6uqqKn4","properties":{"formattedCitation":"\\super 43\\nosupersub{}","plainCitation":"43","noteIndex":0},"citationItems":[{"id":664,"uris":["http://zotero.org/users/local/51ctrMZy/items/CRSEPYWY"],"itemData":{"id":664,"type":"article-journal","container-title":"Blood","DOI":"10.1182/blood-2022-156895","ISSN":"0006-4971","issue":"Supplement 1","journalAbbreviation":"Blood","page":"345-346","source":"Silverchair","title":"Bleeding Risk in Atrial Fibrillation and Thrombocytopenia: A Propensity Matched Cohort Study","title-short":"Bleeding Risk in Atrial Fibrillation and Thrombocytopenia","volume":"140","author":[{"family":"Iyengar","given":"Varun"},{"family":"Patell","given":"Rushad"},{"family":"Ren","given":"Siyang"},{"family":"Ma","given":"Sirui"},{"family":"Pinson","given":"Amanda"},{"family":"Barnett","given":"Amelia"},{"family":"Elavalakanar","given":"Pavania"},{"family":"Neuberg","given":"Donna S."},{"family":"Zwicker","given":"Jeffrey I."}],"issued":{"date-parts":[["2022",11,15]]}}}],"schema":"https://github.com/citation-style-language/schema/raw/master/csl-citation.json"}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43</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Moreover, a low platelet count represents an established risk factor for bleeding in patients with AF undergoing PCI, regardless of clinical presentation</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{"citationID":"8UBKo3JL","properties":{"formattedCitation":"\\super 44\\nosupersub{}","plainCitation":"44","noteIndex":0},"citationItems":[{"id":773,"uris":["http://zotero.org/users/local/51ctrMZy/items/WBA5RCN3"],"itemData":{"id":773,"type":"article-journal","abstract":"BACKGROUND: The identification of bleeding risk factors in patients undergoing percutaneous coronary intervention (PCI) is essential to inform subsequent management. Whether clinical presentation per se affects bleeding risk after PCI remains unclear.\nAIMS: We aimed to assess whether clinical presentation per se predisposes to bleeding in patients undergoing PCI and if the Academic Research Consortium (ARC) High Bleeding Risk (HBR) criteria perform consistently in acute (ACS) and chronic (CCS) coronary syndrome patients.\nMETHODS: Consecutive patients undergoing PCI from the Bern PCI Registry were stratified by clinical presentation. Bleeding events at one year were compared in ACS versus CCS patients, and the originally defined ARC-HBR criteria were assessed.\nRESULTS: Among 16,821 patients, 9,503 (56.5%) presented with ACS. At one year, BARC 3 or 5 bleeding occurred in 4.97% and 3.60% of patients with ACS and CCS, respectively. After adjustment, ACS remained associated with higher BARC 3 or 5 bleeding risk (adjusted HR 1.21, 95% CI: 1.01-1.43; p=0.034), owing to non-access site-related occurrences, which accrued mainly within the first 30 days after PCI. The ARC-HBR score had lower discrimination among ACS compared with CCS patients, and its performance slightly improved when ACS was computed as a minor criterion.\nCONCLUSIONS: ACS presentation per se predicts one-year major bleeding risk after PCI. The ARC-HBR score discrimination appeared lower in ACS than CCS, and its overall performance improved numerically when ACS was computed as an additional minor risk criterion.","container-title":"EuroIntervention: Journal of EuroPCR in Collaboration with the Working Group on Interventional Cardiology of the European Society of Cardiology","DOI":"10.4244/EIJ-D-21-00181","ISSN":"1969-6213","issue":"11","journalAbbreviation":"EuroIntervention","language":"eng","note":"PMID: 34105513\nPMCID: PMC9725019","page":"e898-e909","source":"PubMed","title":"Impact of clinical presentation on bleeding risk after percutaneous coronary intervention and implications for the ARC-HBR definition","volume":"17","author":[{"family":"Gragnano","given":"Felice"},{"family":"Spirito","given":"Alessandro"},{"family":"Corpataux","given":"Noé"},{"family":"Vaisnora","given":"Lukas"},{"family":"Galea","given":"Roberto"},{"family":"Gargiulo","given":"Giuseppe"},{"family":"Siontis","given":"George C. M."},{"family":"Praz","given":"Fabien"},{"family":"Lanz","given":"Jonas"},{"family":"Billinger","given":"Michael"},{"family":"Hunziker","given":"Lukas"},{"family":"Stortecky","given":"Stefan"},{"family":"Pilgrim","given":"Thomas"},{"family":"Bär","given":"Sarah"},{"family":"Ueki","given":"Yasushi"},{"family":"Capodanno","given":"Davide"},{"family":"Urban","given":"Philip"},{"family":"Pocock","given":"Stuart J."},{"family":"Mehran","given":"Roxana"},{"family":"Heg","given":"Dik"},{"family":"Windecker","given":"Stephan"},{"family":"Räber","given":"Lorenz"},{"family":"Valgimigli","given":"Marco"}],"issued":{"date-parts":[["2021",12,3]]}}}],"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44</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The SHAP algorithm (</w:t>
      </w:r>
      <w:r w:rsidRPr="002851A6">
        <w:rPr>
          <w:rFonts w:ascii="Times New Roman" w:eastAsia="Times New Roman" w:hAnsi="Times New Roman" w:cs="Times New Roman"/>
          <w:b/>
          <w:i/>
          <w:iCs/>
          <w:sz w:val="24"/>
          <w:szCs w:val="24"/>
        </w:rPr>
        <w:t>Figure 2B</w:t>
      </w:r>
      <w:r w:rsidRPr="002851A6">
        <w:rPr>
          <w:rFonts w:ascii="Times New Roman" w:eastAsia="Times New Roman" w:hAnsi="Times New Roman" w:cs="Times New Roman"/>
          <w:bCs/>
          <w:sz w:val="24"/>
          <w:szCs w:val="24"/>
        </w:rPr>
        <w:t>) in our study showed a reverse-linear association between the platelet count and the bleeding risk in DOAC patients, with a directional impact of the feature towards the prediction of an increased bleeding risk together with a lowering of the platelet count (as observed for hemoglobin level).</w:t>
      </w:r>
    </w:p>
    <w:p w14:paraId="5FFFD664" w14:textId="77777777" w:rsidR="002D3735" w:rsidRPr="002851A6" w:rsidRDefault="002D3735" w:rsidP="002D3735">
      <w:pPr>
        <w:pStyle w:val="Paragrafoelenco"/>
        <w:spacing w:line="480" w:lineRule="auto"/>
        <w:ind w:left="0"/>
        <w:jc w:val="both"/>
      </w:pPr>
      <w:r w:rsidRPr="002851A6">
        <w:rPr>
          <w:rFonts w:ascii="Times New Roman" w:eastAsia="Times New Roman" w:hAnsi="Times New Roman" w:cs="Times New Roman"/>
          <w:bCs/>
          <w:sz w:val="24"/>
          <w:szCs w:val="24"/>
        </w:rPr>
        <w:t>BMI is the most frequently used anthropometric measure of adiposity. Although obesity has a key role in the incidence and progression of AF, its impact on prognosis is still controversial, with many studies stressing that obesity is not associated with an increase in adverse events, in particular regarding stroke, death, or CV death</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{"citationID":"88DTMsoC","properties":{"formattedCitation":"\\super 45\\nosupersub{}","plainCitation":"45","noteIndex":0},"citationItems":[{"id":677,"uris":["http://zotero.org/users/local/51ctrMZy/items/IEQXFE4L"],"itemData":{"id":677,"type":"article-journal","abstract":"BACKGROUND: Several studies have investigated the impact of body mass index (BMI) on the prognosis of atrial fibrillation, but the results remain controversial. We sought to estimate the association of BMI with atrial fibrillation-related outcomes.\nMETHODS AND RESULTS: We systematically searched the Cochrane Library, PubMed, and Elsevier databases for all studies reporting associations between BMI and atrial fibrillation-related outcomes. Relative risks (RRs) and 95% CIs were extracted and pooled. Nine studies with 49 364 participants were included. Underweight BMI was associated with an increased risk of stroke or systemic embolism (RR 1.67, 95% CI 1.12-2.49), all-cause mortaliity (RR 2.61, 95% CI 2.21-3.09), and cardiovascular death (RR 2.49, 95% CI 1.38-4.50). Nevertheless, the pooled RRs of overweight and obese patients were lower than those of normal-weight patients for stroke or systemic embolism (overweight: RR 0.91, 95% CI 0.80-1.04; obese: RR 0.84, 95% CI 0.72-0.98; grade 1 obesity: RR 0.89, 95% CI 0.71-1.11; grade 2 obesity: RR 0.64, 95% CI 0.45-0.91; grade 3 obesity: RR 0.82, 95% CI 0.54-1.25), all-cause death (overweight: RR 0.78, 95% CI 0.62-0.96; obese: RR 0.84, 95% CI 0.64-1.10; grade 1 obesity: RR 0.64, 95% CI 0.57-0.73; grade 2 obesity: RR 0.70, 95% CI 0.47-1.03; grade 3 obesity: RR 0.72, 95% CI 0.59-0.88), and cardiovascular death (overweight: RR 0.79, 95% CI 0.58-1.08; obese: RR 0.99, 95% CI 0.79-1.24).\nCONCLUSIONS: Underweight BMI is associated with an increased risk of stroke or systemic embolism, cardiovascular death, and all-cause death in Asian patients with atrial fibrillation, whereas in all atrial fibrillation patients, overweight and obese BMI was not associated with increased risks of these outcomes.","container-title":"Journal of the American Heart Association","DOI":"10.1161/JAHA.116.004006","ISSN":"2047-9980","issue":"9","journalAbbreviation":"J Am Heart Assoc","language":"eng","note":"PMID: 27613773\nPMCID: PMC5079045","page":"e004006","source":"PubMed","title":"Relation of Body Mass Index With Adverse Outcomes Among Patients With Atrial Fibrillation: A Meta-Analysis and Systematic Review","title-short":"Relation of Body Mass Index With Adverse Outcomes Among Patients With Atrial Fibrillation","volume":"5","author":[{"family":"Zhu","given":"Wengen"},{"family":"Wan","given":"Rong"},{"family":"Liu","given":"Fuwei"},{"family":"Hu","given":"Jinzhu"},{"family":"Huang","given":"Lin"},{"family":"Li","given":"Juxiang"},{"family":"Hong","given":"Kui"}],"issued":{"date-parts":[["2016",9,9]]}}}],"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45</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providing higher protection in those with established CV disease</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{"citationID":"AhfjriMe","properties":{"formattedCitation":"\\super 46\\nosupersub{}","plainCitation":"46","noteIndex":0},"citationItems":[{"id":675,"uris":["http://zotero.org/users/local/51ctrMZy/items/SXVWWQQ8"],"itemData":{"id":675,"type":"article-journal","abstract":"Obesity continues to be a public health problem in the general population, and also significantly increases the risk for the development of new-onset heart failure (HF). However, in patients with already-established, chronic HF, overweight and mild to moderate obesity is associated with substantially improved survival compared to normal weight patients; this has been termed the \"obesity paradox\". The majority of studies measure obesity by body mass index, but studies utilizing less-frequently used measures of body fat and body composition, including waist circumference, waist-hip ratio, skinfold estimates, and bioelectrical impedance analysis also confirm the obesity paradox in HF. Other areas of investigation such as the relationship of the obesity paradox to cardiorespiratory fitness, gender, and race are also discussed. Finally, this review explores various explanations for the obesity paradox, and summarizes the current evidence for intentional weight loss treatments for HF in context.","container-title":"Progress in Cardiovascular Diseases","DOI":"10.1016/j.pcad.2018.05.005","ISSN":"1873-1740","issue":"2","journalAbbreviation":"Prog Cardiovasc Dis","language":"eng","note":"PMID: 29852198","page":"151-156","source":"PubMed","title":"Obesity and the Obesity Paradox in Heart Failure","volume":"61","author":[{"family":"Horwich","given":"Tamara B."},{"family":"Fonarow","given":"Gregg C."},{"family":"Clark","given":"Adrienne L."}],"issued":{"date-parts":[["2018"]]}}}],"schema":"https://github.com/citation-style-language/schema/raw/master/csl-citation.json"}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46</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xml:space="preserve">. This phenomenon </w:t>
      </w:r>
      <w:r w:rsidRPr="002851A6">
        <w:rPr>
          <w:rFonts w:ascii="Times New Roman" w:eastAsia="Times New Roman" w:hAnsi="Times New Roman" w:cs="Times New Roman"/>
          <w:bCs/>
          <w:sz w:val="24"/>
          <w:szCs w:val="24"/>
        </w:rPr>
        <w:lastRenderedPageBreak/>
        <w:t>is also known as “obesity paradox” and seems to be applicable also to major bleedings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{"citationID":"JPF2A4dZ","properties":{"formattedCitation":"\\super 47\\nosupersub{}","plainCitation":"47","noteIndex":0},"citationItems":[{"id":685,"uris":["http://zotero.org/users/local/51ctrMZy/items/4LR9EQNW"],"itemData":{"id":685,"type":"article-journal","abstract":"BACKGROUND AND PURPOSE: Obesity is a risk factor for all-cause and cardiovascular death but, despite this, an inverse relationship between overweight or obesity and a better cardiovascular prognosis in long-term follow-up studies has been observed; this phenomenon, described as obesity paradox, has also been found evident in atrial fibrillation cohorts.\nMETHODS: We performed a systematic review on the relationship between body mass index and major adverse outcomes in atrial fibrillation patients. Moreover, we provided a meta-analysis of non-vitamin K antagonist oral anticoagulants (NOACs) trials.\nRESULTS: An obesity paradox was found for cardiovascular death and all-cause death in the subgroup analyses of randomized trial cohorts; however, observational studies fail to show this relationship. From the meta-analysis of NOAC trials, a significant obesity paradox was found, with both overweight and obese patients reporting a lower risk for stroke/systemic embolic event (odds ratio [OR], 0.75; 95% confidence interval [CI], 0.66-0.84 and OR, 0.62; 95% CI, 0.54-0.70, respectively). For major bleeding, only obese patients were at lower risk compared with normal weight patients (OR, 0.84; 95% CI, 0.72-0.98). A significant treatment effect of NOACs was found in normal weight patients, both for stroke/systemic embolic event (OR, 0.66; 95% CI, 0.56-0.78) and for major bleeding (OR, 0.72; 95% CI, 0.54-0.95). Major bleeding risk was lower in overweight patients treated with NOACs (OR, 0.84; 95% CI, 0.71-1.00).\nCONCLUSIONS: There may be an obesity paradox in atrial fibrillation patients, particularly for all-cause and cardiovascular death outcomes. An obesity paradox was also evident for stroke/systemic embolic event outcome in NOAC trials, with a treatment effect favoring NOACs over warfarin for both efficacy and safety that was significant only for normal weight patients.","container-title":"Stroke","DOI":"10.1161/STROKEAHA.116.015984","ISSN":"1524-4628","issue":"4","journalAbbreviation":"Stroke","language":"eng","note":"PMID: 28265017","page":"857-866","source":"PubMed","title":"Is There an Obesity Paradox for Outcomes in Atrial Fibrillation? A Systematic Review and Meta-Analysis of Non-Vitamin K Antagonist Oral Anticoagulant Trials","title-short":"Is There an Obesity Paradox for Outcomes in Atrial Fibrillation?","volume":"48","author":[{"family":"Proietti","given":"Marco"},{"family":"Guiducci","given":"Elisa"},{"family":"Cheli","given":"Paola"},{"family":"Lip","given":"Gregory Y. H."}],"issued":{"date-parts":[["2017",4]]}}}],"schema":"https://github.com/citation-style-language/schema/raw/master/csl-citation.json"}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47</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On the other hand, being underweight could be associated with an increased bleeding risk</w:t>
      </w:r>
      <w:r w:rsidRPr="002851A6">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{"citationID":"dezBFzF0","properties":{"formattedCitation":"\\super 48\\nosupersub{}","plainCitation":"48","noteIndex":0},"citationItems":[{"id":680,"uris":["http://zotero.org/users/local/51ctrMZy/items/YFP8GDGS"],"itemData":{"id":680,"type":"article-journal","abstract":"Background Obesity and atrial fibrillation (AF) frequently coexist and independently increase mortality. We sought to assess the association between obesity and adverse events in patients receiving oral anticoagulants for AF. Methods and Results Consecutive AF outpatients receiving anticoagulant agents (both vitamin K antagonists and direct oral anticoagulants) were recruited into the FANTASIIA (Atrial fibrillation: influence of the level and type of anticoagulation on the incidence of ischemic and hemorrhagic stroke) registry. This observational, multicenter, and prospective registry of AF patients analyzes the quality of anticoagulation, incidence of events, and differences between oral anticoagulant therapies. We analyzed baseline patient characteristics according to body mass index, normal: &lt;25 kg/m2, overweight: 25-30 kg/m2, and obese: ≥30 kg/m2), assessing all-cause mortality, stroke, major bleeding and major adverse cardiovascular events (a composite of ischemic stroke, myocardial infarction, and total mortality) at 3 years' follow-up. In this secondary prespecified substudy, the association of weight on prognosis was evaluated. We recruited 1956 patients (56% men, mean age 73.8±9.4 years): 358 (18.3%) had normal body mass index, 871 (44.5%) were overweight, and 727 (37.2%) were obese. Obese patients were younger (P&lt;0.01) and had more comorbidities. Mean time in the therapeutic range was similar across body mass index categories (P=0.42). After a median follow-up of 1070 days, 255 patients died (13%), 45 had a stroke (2.3%), 146 a major bleeding episode (7.5%) and 168 a major adverse cardiovascular event (8.6%). Event rates were similar between groups for total mortality (P=0.29), stroke (P=0.90), major bleeding (P=0.31), and major adverse cardiovascular events (P=0.24). On multivariate Cox analysis, body mass index was not independently associated with all-cause mortality, cardiovascular mortality, stroke, major bleeding, or major adverse cardiovascular events. Conclusions In this prospective cohort of patients anticoagulated for AF, obesity was highly prevalent and was associated with more comorbidities, but not with poor prognosis.","container-title":"Journal of the American Heart Association","DOI":"10.1161/JAHA.119.013789","ISSN":"2047-9980","issue":"1","journalAbbreviation":"J Am Heart Assoc","language":"eng","note":"PMID: 31870235\nPMCID: PMC6988150","page":"e013789","source":"PubMed","title":"Association of Body Mass Index With Clinical Outcomes in Patients With Atrial Fibrillation: A Report From the FANTASIIA Registry","title-short":"Association of Body Mass Index With Clinical Outcomes in Patients With Atrial Fibrillation","volume":"9","author":[{"family":"Bertomeu-Gonzalez","given":"Vicente"},{"family":"Moreno-Arribas","given":"José"},{"family":"Esteve-Pastor","given":"María Asunción"},{"family":"Roldán-Rabadán","given":"Inmaculada"},{"family":"Muñiz","given":"Javier"},{"family":"Raña-Míguez","given":"Paula"},{"family":"Ruiz-Ortiz","given":"Martín"},{"family":"Cequier","given":"Ángel"},{"family":"Bertomeu-Martínez","given":"Vicente"},{"family":"Badimón","given":"Lina"},{"family":"Anguita","given":"Manuel"},{"family":"Lip","given":"Gregory Y. H."},{"family":"Marín","given":"Francisco"},{"literal":"FANTASIIA Study Investigators"}],"issued":{"date-parts":[["2020",1,7]]}},"label":"page"}],"schema":"https://github.com/citation-style-language/schema/raw/master/csl-citation.json"}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A35CA1">
        <w:rPr>
          <w:rFonts w:ascii="Times New Roman" w:hAnsi="Times New Roman" w:cs="Times New Roman"/>
          <w:sz w:val="24"/>
          <w:szCs w:val="24"/>
          <w:vertAlign w:val="superscript"/>
        </w:rPr>
        <w:t>48</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systemic embolism, cardiovascular death and all-cause death</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{"citationID":"TEBJRGzp","properties":{"formattedCitation":"\\super 45\\nosupersub{}","plainCitation":"45","noteIndex":0},"citationItems":[{"id":677,"uris":["http://zotero.org/users/local/51ctrMZy/items/IEQXFE4L"],"itemData":{"id":677,"type":"article-journal","abstract":"BACKGROUND: Several studies have investigated the impact of body mass index (BMI) on the prognosis of atrial fibrillation, but the results remain controversial. We sought to estimate the association of BMI with atrial fibrillation-related outcomes.\nMETHODS AND RESULTS: We systematically searched the Cochrane Library, PubMed, and Elsevier databases for all studies reporting associations between BMI and atrial fibrillation-related outcomes. Relative risks (RRs) and 95% CIs were extracted and pooled. Nine studies with 49 364 participants were included. Underweight BMI was associated with an increased risk of stroke or systemic embolism (RR 1.67, 95% CI 1.12-2.49), all-cause mortaliity (RR 2.61, 95% CI 2.21-3.09), and cardiovascular death (RR 2.49, 95% CI 1.38-4.50). Nevertheless, the pooled RRs of overweight and obese patients were lower than those of normal-weight patients for stroke or systemic embolism (overweight: RR 0.91, 95% CI 0.80-1.04; obese: RR 0.84, 95% CI 0.72-0.98; grade 1 obesity: RR 0.89, 95% CI 0.71-1.11; grade 2 obesity: RR 0.64, 95% CI 0.45-0.91; grade 3 obesity: RR 0.82, 95% CI 0.54-1.25), all-cause death (overweight: RR 0.78, 95% CI 0.62-0.96; obese: RR 0.84, 95% CI 0.64-1.10; grade 1 obesity: RR 0.64, 95% CI 0.57-0.73; grade 2 obesity: RR 0.70, 95% CI 0.47-1.03; grade 3 obesity: RR 0.72, 95% CI 0.59-0.88), and cardiovascular death (overweight: RR 0.79, 95% CI 0.58-1.08; obese: RR 0.99, 95% CI 0.79-1.24).\nCONCLUSIONS: Underweight BMI is associated with an increased risk of stroke or systemic embolism, cardiovascular death, and all-cause death in Asian patients with atrial fibrillation, whereas in all atrial fibrillation patients, overweight and obese BMI was not associated with increased risks of these outcomes.","container-title":"Journal of the American Heart Association","DOI":"10.1161/JAHA.116.004006","ISSN":"2047-9980","issue":"9","journalAbbreviation":"J Am Heart Assoc","language":"eng","note":"PMID: 27613773\nPMCID: PMC5079045","page":"e004006","source":"PubMed","title":"Relation of Body Mass Index With Adverse Outcomes Among Patients With Atrial Fibrillation: A Meta-Analysis and Systematic Review","title-short":"Relation of Body Mass Index With Adverse Outcomes Among Patients With Atrial Fibrillation","volume":"5","author":[{"family":"Zhu","given":"Wengen"},{"family":"Wan","given":"Rong"},{"family":"Liu","given":"Fuwei"},{"family":"Hu","given":"Jinzhu"},{"family":"Huang","given":"Lin"},{"family":"Li","given":"Juxiang"},{"family":"Hong","given":"Kui"}],"issued":{"date-parts":[["2016",9,9]]}}}],"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45</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A recent paper from the START registry found that DOACs seem to be safe for treatment in extremely overweight or underweight AF patients</w:t>
      </w:r>
      <w:r w:rsidRPr="002851A6">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{"citationID":"n1wP280r","properties":{"formattedCitation":"\\super 49\\nosupersub{}","plainCitation":"49","noteIndex":0},"citationItems":[{"id":718,"uris":["http://zotero.org/users/local/51ctrMZy/items/GWHMZRLC"],"itemData":{"id":718,"type":"article-journal","abstract":"BACKGROUND: Direct oral anticoagulants (DOACs) are widely used for the treatment of venous thromboembolism (VTE) and for stroke prevention in atrial fibrillation (AF). However, evidence in obese and underweight patients is limited. We assessed the safety and effectiveness of DOACs and vitamin K antagonists (VKAs) in patients  ≥ 120 kg or ≤ 50 kg enrolled in an observational prospective cohort study, the START-Register.\nMETHODS: Adult patients started on anticoagulant therapy were followed up for a median of 1.5 years (IQR 0.6-2.8). Primary efficacy outcome was the occurrence of VTE recurrence, stroke and systemic embolism. Primary safety outcome was major bleeding (MB).\nRESULTS: 10,080 AF and VTE patients were enrolled between March 2011 and June 2021, 295 patients weighted  ≤ 50 kg and 82 patients ≥ 120 kg. Obese patients were significantly younger than underweight patients. Rates of thrombotic events were low and similar between DOACs and VKAs in underweight patients (1 event on DOACs therapy [0.9% 95% CI 0.11-5.39] and 2 on VKAs [1.1% 95% CI 0.01-47.68]) and in overweight patients (0 events on DOACs, 1 on VKAs [1.6%, 95% CI 0.11-5.79]. Two MB events occurred on DOACs (1.9%, 95% CI 0.38-6.00) and 3 on VKAs (1.6%, 95% CI 0.04-22.06) in the underweight group; 1 MB on DOACs (5.3% 95% CI 0.33-16.68) and 2 on VKAs (3.3%, 95% CI 0.02-130.77) in the overweight group.\nCONCLUSIONS: DOACs seem to be effective and safe also for the treatment of patients with extreme body weights, both underweight and overweight. Further prospective studies are needed to support these findings.","container-title":"Internal and Emergency Medicine","DOI":"10.1007/s11739-023-03334-4","ISSN":"1970-9366","journalAbbreviation":"Intern Emerg Med","language":"eng","note":"PMID: 37301770","source":"PubMed","title":"DOACs use in extreme body-weighted patients: results from the prospective START-register","title-short":"DOACs use in extreme body-weighted patients","author":[{"family":"Guarascio","given":"Matteo"},{"family":"Bertù","given":"Lorenza"},{"family":"Donadini","given":"Marco Paolo"},{"family":"Antonucci","given":"Emilia"},{"family":"Palareti","given":"Gualtiero"},{"family":"Ageno","given":"Walter"}],"issued":{"date-parts":[["2023",6,10]]}}}],"schema":"https://github.com/citation-style-language/schema/raw/master/csl-citation.json"}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A35CA1">
        <w:rPr>
          <w:rFonts w:ascii="Times New Roman" w:hAnsi="Times New Roman" w:cs="Times New Roman"/>
          <w:sz w:val="24"/>
          <w:szCs w:val="24"/>
          <w:vertAlign w:val="superscript"/>
        </w:rPr>
        <w:t>49</w:t>
      </w:r>
      <w:r w:rsidRPr="002851A6">
        <w:rPr>
          <w:rFonts w:ascii="Times New Roman" w:eastAsia="Times New Roman" w:hAnsi="Times New Roman" w:cs="Times New Roman"/>
          <w:bCs/>
          <w:sz w:val="24"/>
          <w:szCs w:val="24"/>
        </w:rPr>
        <w:fldChar w:fldCharType="end"/>
      </w:r>
      <w:bookmarkStart w:id="24" w:name="_Hlk145255624"/>
      <w:r w:rsidRPr="002851A6">
        <w:rPr>
          <w:rFonts w:ascii="Times New Roman" w:eastAsia="Times New Roman" w:hAnsi="Times New Roman" w:cs="Times New Roman"/>
          <w:bCs/>
          <w:sz w:val="24"/>
          <w:szCs w:val="24"/>
        </w:rPr>
        <w:t>, however this study included an heterogeneous cohort of AF and venous thromboembolism patients, younger than those included in our study</w:t>
      </w:r>
      <w:bookmarkEnd w:id="24"/>
      <w:r w:rsidRPr="002851A6">
        <w:rPr>
          <w:rFonts w:ascii="Times New Roman" w:eastAsia="Times New Roman" w:hAnsi="Times New Roman" w:cs="Times New Roman"/>
          <w:bCs/>
          <w:sz w:val="24"/>
          <w:szCs w:val="24"/>
        </w:rPr>
        <w:t>, moreover considering only the extreme sides of the BMI in the population.  Our ML analysis demonstrates that BMI is one of the most important variables for feature importance in all populations, with a trend for an increase in the risk of major bleeding associated with a decrease in BMI, in particular in the DOAC population</w:t>
      </w:r>
      <w:r w:rsidRPr="002851A6">
        <w:t>.</w:t>
      </w:r>
    </w:p>
    <w:p w14:paraId="74D097C3" w14:textId="77777777" w:rsidR="002D3735" w:rsidRPr="002851A6" w:rsidRDefault="002D3735" w:rsidP="002D3735">
      <w:pPr>
        <w:pStyle w:val="Paragrafoelenco"/>
        <w:spacing w:line="480" w:lineRule="auto"/>
        <w:ind w:left="0"/>
        <w:jc w:val="both"/>
        <w:rPr>
          <w:rFonts w:ascii="Times New Roman" w:eastAsia="Times New Roman" w:hAnsi="Times New Roman" w:cs="Times New Roman"/>
          <w:bCs/>
          <w:sz w:val="24"/>
          <w:szCs w:val="24"/>
        </w:rPr>
      </w:pPr>
      <w:r w:rsidRPr="002851A6">
        <w:rPr>
          <w:rFonts w:ascii="Times New Roman" w:eastAsia="Times New Roman" w:hAnsi="Times New Roman" w:cs="Times New Roman"/>
          <w:bCs/>
          <w:sz w:val="24"/>
          <w:szCs w:val="24"/>
        </w:rPr>
        <w:t xml:space="preserve">Therefore, our analysis suggests that adjunctive risk factors, which are currently not used for the prediction of death, bleeding and thromboembolic risk in AF, should be taken into account in the management of these AF patients. Actual clinical scores </w:t>
      </w:r>
      <w:r w:rsidRPr="002851A6">
        <w:rPr>
          <w:rFonts w:ascii="Times New Roman" w:eastAsia="Times New Roman" w:hAnsi="Times New Roman" w:cs="Times New Roman"/>
          <w:sz w:val="24"/>
          <w:szCs w:val="24"/>
        </w:rPr>
        <w:t>may not have captured all relevant risk predictors: a</w:t>
      </w:r>
      <w:r w:rsidRPr="002851A6">
        <w:rPr>
          <w:rFonts w:ascii="Times New Roman" w:eastAsia="Times New Roman" w:hAnsi="Times New Roman" w:cs="Times New Roman"/>
          <w:bCs/>
          <w:sz w:val="24"/>
          <w:szCs w:val="24"/>
        </w:rPr>
        <w:t>dding different variables beyond the overlapping items of the currently available scores could improve prediction accuracy. When applied to semi-structured data, machine learning techniques have produced remarkable predictive performance</w:t>
      </w:r>
      <w:r w:rsidRPr="002851A6">
        <w:rPr>
          <w:rFonts w:ascii="Times New Roman" w:eastAsia="Times New Roman" w:hAnsi="Times New Roman" w:cs="Times New Roman"/>
          <w:bCs/>
          <w:sz w:val="24"/>
          <w:szCs w:val="24"/>
        </w:rPr>
        <w:fldChar w:fldCharType="begin"/>
      </w:r>
      <w:r>
        <w:rPr>
          <w:rFonts w:ascii="Times New Roman" w:eastAsia="Times New Roman" w:hAnsi="Times New Roman" w:cs="Times New Roman"/>
          <w:bCs/>
          <w:sz w:val="24"/>
          <w:szCs w:val="24"/>
        </w:rPr>
        <w:instrText xml:space="preserve"> ADDIN ZOTERO_ITEM CSL_CITATION {"citationID":"MEHx3TTn","properties":{"formattedCitation":"\\super 50\\nosupersub{}","plainCitation":"50","noteIndex":0},"citationItems":[{"id":712,"uris":["http://zotero.org/users/local/51ctrMZy/items/8U4ARI3D"],"itemData":{"id":712,"type":"article-journal","container-title":"New England Journal of Medicine","DOI":"10.1056/NEJMra2301725","ISSN":"0028-4793","issue":"21","note":"publisher: Massachusetts Medical Society\n_eprint: https://doi.org/10.1056/NEJMra2301725\nPMID: 37224199","page":"1981-1990","source":"Taylor and Francis+NEJM","title":"The Current and Future State of AI Interpretation of Medical Images","volume":"388","author":[{"family":"Rajpurkar","given":"Pranav"},{"family":"Lungren","given":"Matthew P."}],"issued":{"date-parts":[["2023",5,25]]}}}],"schema":"https://github.com/citation-style-language/schema/raw/master/csl-citation.json"}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A35CA1">
        <w:rPr>
          <w:rFonts w:ascii="Times New Roman" w:hAnsi="Times New Roman" w:cs="Times New Roman"/>
          <w:sz w:val="24"/>
          <w:szCs w:val="24"/>
          <w:vertAlign w:val="superscript"/>
        </w:rPr>
        <w:t>50</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 The incorporation of unstructured data into existing data repositories, allowing ML to reveal some additional non-linear relationships, would enhance the predictive accuracy of future models</w:t>
      </w:r>
      <w:r w:rsidRPr="002851A6">
        <w:rPr>
          <w:rFonts w:ascii="Times New Roman" w:eastAsia="Times New Roman" w:hAnsi="Times New Roman" w:cs="Times New Roman"/>
          <w:bCs/>
          <w:sz w:val="24"/>
          <w:szCs w:val="24"/>
        </w:rPr>
        <w:fldChar w:fldCharType="begin"/>
      </w:r>
      <w:r w:rsidRPr="002851A6">
        <w:rPr>
          <w:rFonts w:ascii="Times New Roman" w:eastAsia="Times New Roman" w:hAnsi="Times New Roman" w:cs="Times New Roman"/>
          <w:bCs/>
          <w:sz w:val="24"/>
          <w:szCs w:val="24"/>
        </w:rPr>
        <w:instrText xml:space="preserve"> ADDIN ZOTERO_ITEM CSL_CITATION {"citationID":"zjT9zmBe","properties":{"formattedCitation":"\\super 7\\nosupersub{}","plainCitation":"7","noteIndex":0},"citationItems":[{"id":287,"uris":["http://zotero.org/users/local/51ctrMZy/items/5RQRXVBD"],"itemData":{"id":287,"type":"article-journal","abstract":"Prediction models for outcomes in atrial fibrillation (AF) are used to guide treatment. While regression models have been the analytic standard for prediction modelling, machine learning (ML) has been promoted as a potentially superior methodology. We compared the performance of ML and regression models in predicting outcomes in AF patients.The Outcomes Registry for Better Informed Treatment of Atrial Fibrillation (ORBIT-AF) and Global Anticoagulant Registry in the FIELD (GARFIELD-AF) are population-based registries that include 74 792 AF patients. Models were generated from potential predictors using stepwise logistic regression (STEP), random forests (RF), gradient boosting (GB), and two neural networks (NNs). Discriminatory power was highest for death [STEP area under the curve (AUC) = 0.80 in ORBIT-AF, 0.75 in GARFIELD-AF] and lowest for stroke in all models (STEP AUC = 0.67 in ORBIT-AF, 0.66 in GARFIELD-AF). The discriminatory power of the ML models was similar or lower than the STEP models for most outcomes. The GB model had a higher AUC than STEP for death in GARFIELD-AF (0.76 vs. 0.75), but only nominally, and both performed similarly in ORBIT-AF. The multilayer NN had the lowest discriminatory power for all outcomes. The calibration of the STEP modelswere more aligned with the observed events for all outcomes. In the cross-registry models, the discriminatory power of the ML models was similar or lower than the STEP for most cases.When developed from two large, community-based AF registries, ML techniques did not improve prediction modelling of death, major bleeding, or stroke.","container-title":"EP Europace","DOI":"10.1093/europace/euaa172","ISSN":"1099-5129","issue":"11","journalAbbreviation":"EP Europace","page":"1635-1644","source":"Silverchair","title":"Machine learning does not improve upon traditional regression in predicting outcomes in atrial fibrillation: an analysis of the ORBIT-AF and GARFIELD-AF registries","title-short":"Machine learning does not improve upon traditional regression in predicting outcomes in atrial fibrillation","volume":"22","author":[{"family":"Loring","given":"Zak"},{"family":"Mehrotra","given":"Suchit"},{"family":"Piccini","given":"Jonathan P"},{"family":"Camm","given":"John"},{"family":"Carlson","given":"David"},{"family":"Fonarow","given":"Gregg C"},{"family":"Fox","given":"Keith A A"},{"family":"Peterson","given":"Eric D"},{"family":"Pieper","given":"Karen"},{"family":"Kakkar","given":"Ajay K"}],"issued":{"date-parts":[["2020",11,1]]}}}],"schema":"https://github.com/citation-style-language/schema/raw/master/csl-citation.json"} </w:instrText>
      </w:r>
      <w:r w:rsidRPr="002851A6">
        <w:rPr>
          <w:rFonts w:ascii="Times New Roman" w:eastAsia="Times New Roman" w:hAnsi="Times New Roman" w:cs="Times New Roman"/>
          <w:bCs/>
          <w:sz w:val="24"/>
          <w:szCs w:val="24"/>
        </w:rPr>
        <w:fldChar w:fldCharType="separate"/>
      </w:r>
      <w:r w:rsidRPr="002851A6">
        <w:rPr>
          <w:rFonts w:ascii="Times New Roman" w:hAnsi="Times New Roman" w:cs="Times New Roman"/>
          <w:sz w:val="24"/>
          <w:szCs w:val="24"/>
          <w:vertAlign w:val="superscript"/>
        </w:rPr>
        <w:t>7</w:t>
      </w:r>
      <w:r w:rsidRPr="002851A6">
        <w:rPr>
          <w:rFonts w:ascii="Times New Roman" w:eastAsia="Times New Roman" w:hAnsi="Times New Roman" w:cs="Times New Roman"/>
          <w:bCs/>
          <w:sz w:val="24"/>
          <w:szCs w:val="24"/>
        </w:rPr>
        <w:fldChar w:fldCharType="end"/>
      </w:r>
      <w:r w:rsidRPr="002851A6">
        <w:rPr>
          <w:rFonts w:ascii="Times New Roman" w:eastAsia="Times New Roman" w:hAnsi="Times New Roman" w:cs="Times New Roman"/>
          <w:bCs/>
          <w:sz w:val="24"/>
          <w:szCs w:val="24"/>
        </w:rPr>
        <w:t>.</w:t>
      </w:r>
    </w:p>
    <w:p w14:paraId="015B0F7A" w14:textId="77777777" w:rsidR="002D3735" w:rsidRPr="002851A6" w:rsidRDefault="002D3735" w:rsidP="002D3735">
      <w:pPr>
        <w:pStyle w:val="Paragrafoelenco"/>
        <w:spacing w:line="480" w:lineRule="auto"/>
        <w:ind w:left="0"/>
        <w:jc w:val="both"/>
        <w:rPr>
          <w:rFonts w:ascii="Times New Roman" w:eastAsia="Times New Roman" w:hAnsi="Times New Roman" w:cs="Times New Roman"/>
          <w:bCs/>
          <w:sz w:val="24"/>
          <w:szCs w:val="24"/>
        </w:rPr>
      </w:pPr>
    </w:p>
    <w:p w14:paraId="1D6D63B6" w14:textId="77777777" w:rsidR="002D3735" w:rsidRPr="002851A6" w:rsidRDefault="002D3735" w:rsidP="002D3735">
      <w:pPr>
        <w:spacing w:line="480" w:lineRule="auto"/>
        <w:jc w:val="both"/>
        <w:rPr>
          <w:rFonts w:ascii="Times New Roman" w:eastAsia="Times New Roman" w:hAnsi="Times New Roman" w:cs="Times New Roman"/>
          <w:b/>
          <w:i/>
          <w:sz w:val="24"/>
          <w:szCs w:val="24"/>
          <w:u w:val="single"/>
        </w:rPr>
      </w:pPr>
      <w:r w:rsidRPr="002851A6">
        <w:rPr>
          <w:rFonts w:ascii="Times New Roman" w:eastAsia="Times New Roman" w:hAnsi="Times New Roman" w:cs="Times New Roman"/>
          <w:b/>
          <w:i/>
          <w:sz w:val="24"/>
          <w:szCs w:val="24"/>
          <w:u w:val="single"/>
        </w:rPr>
        <w:t>Limitations</w:t>
      </w:r>
    </w:p>
    <w:p w14:paraId="0896ECED" w14:textId="77777777" w:rsidR="002D3735" w:rsidRPr="00586554" w:rsidRDefault="002D3735" w:rsidP="002D3735">
      <w:pPr>
        <w:spacing w:line="480" w:lineRule="auto"/>
        <w:jc w:val="both"/>
        <w:rPr>
          <w:rFonts w:ascii="Times New Roman" w:eastAsia="Times New Roman" w:hAnsi="Times New Roman" w:cs="Times New Roman"/>
          <w:color w:val="000000" w:themeColor="text1"/>
          <w:sz w:val="24"/>
          <w:szCs w:val="24"/>
        </w:rPr>
      </w:pPr>
      <w:r w:rsidRPr="002851A6">
        <w:rPr>
          <w:rFonts w:ascii="Times New Roman" w:eastAsia="Times New Roman" w:hAnsi="Times New Roman" w:cs="Times New Roman"/>
          <w:sz w:val="24"/>
          <w:szCs w:val="24"/>
        </w:rPr>
        <w:t>We acknowledge that the study has some limitations. O</w:t>
      </w:r>
      <w:r w:rsidRPr="002851A6">
        <w:rPr>
          <w:rFonts w:ascii="Times New Roman" w:eastAsia="Times New Roman" w:hAnsi="Times New Roman" w:cs="Times New Roman"/>
          <w:bCs/>
          <w:sz w:val="24"/>
          <w:szCs w:val="24"/>
        </w:rPr>
        <w:t>utcome events were adjudicated by the local investigators</w:t>
      </w:r>
      <w:r w:rsidRPr="002851A6">
        <w:rPr>
          <w:rFonts w:ascii="Times New Roman" w:eastAsia="Times New Roman" w:hAnsi="Times New Roman" w:cs="Times New Roman"/>
          <w:sz w:val="24"/>
          <w:szCs w:val="24"/>
        </w:rPr>
        <w:t>.</w:t>
      </w:r>
      <w:r w:rsidRPr="002851A6">
        <w:rPr>
          <w:rFonts w:ascii="Times New Roman" w:eastAsia="Times New Roman" w:hAnsi="Times New Roman" w:cs="Times New Roman"/>
          <w:bCs/>
          <w:sz w:val="24"/>
          <w:szCs w:val="24"/>
        </w:rPr>
        <w:t xml:space="preserve"> Despite being a large, multicenter registry, all </w:t>
      </w:r>
      <w:r w:rsidRPr="002851A6">
        <w:rPr>
          <w:rFonts w:ascii="Times New Roman" w:eastAsia="Times New Roman" w:hAnsi="Times New Roman" w:cs="Times New Roman"/>
          <w:bCs/>
          <w:sz w:val="24"/>
          <w:szCs w:val="24"/>
        </w:rPr>
        <w:lastRenderedPageBreak/>
        <w:t xml:space="preserve">centers of </w:t>
      </w:r>
      <w:r w:rsidRPr="002851A6">
        <w:rPr>
          <w:rFonts w:ascii="Times New Roman" w:hAnsi="Times New Roman" w:cs="Times New Roman"/>
          <w:sz w:val="24"/>
          <w:szCs w:val="24"/>
        </w:rPr>
        <w:t xml:space="preserve">AF </w:t>
      </w:r>
      <w:r w:rsidRPr="002851A6">
        <w:rPr>
          <w:rFonts w:ascii="Times New Roman" w:eastAsia="Times New Roman" w:hAnsi="Times New Roman" w:cs="Times New Roman"/>
          <w:bCs/>
          <w:sz w:val="24"/>
          <w:szCs w:val="24"/>
        </w:rPr>
        <w:t xml:space="preserve">START-2 are </w:t>
      </w:r>
      <w:r>
        <w:rPr>
          <w:rFonts w:ascii="Times New Roman" w:eastAsia="Times New Roman" w:hAnsi="Times New Roman" w:cs="Times New Roman"/>
          <w:bCs/>
          <w:color w:val="000000" w:themeColor="text1"/>
          <w:sz w:val="24"/>
          <w:szCs w:val="24"/>
        </w:rPr>
        <w:t xml:space="preserve">from a single European country; therefore, our results </w:t>
      </w:r>
      <w:r>
        <w:rPr>
          <w:rFonts w:ascii="Times New Roman" w:eastAsia="Times New Roman" w:hAnsi="Times New Roman" w:cs="Times New Roman"/>
          <w:color w:val="000000" w:themeColor="text1"/>
          <w:sz w:val="24"/>
          <w:szCs w:val="24"/>
        </w:rPr>
        <w:t xml:space="preserve">should </w:t>
      </w:r>
      <w:r w:rsidRPr="00C95EA2">
        <w:rPr>
          <w:rFonts w:ascii="Times New Roman" w:eastAsia="Times New Roman" w:hAnsi="Times New Roman" w:cs="Times New Roman"/>
          <w:color w:val="000000" w:themeColor="text1"/>
          <w:sz w:val="24"/>
          <w:szCs w:val="24"/>
        </w:rPr>
        <w:t>be confirmed in other populations.</w:t>
      </w:r>
      <w:r w:rsidRPr="00C95EA2">
        <w:rPr>
          <w:rFonts w:ascii="Times New Roman" w:eastAsia="Times New Roman" w:hAnsi="Times New Roman" w:cs="Times New Roman"/>
          <w:bCs/>
          <w:color w:val="000000" w:themeColor="text1"/>
          <w:sz w:val="24"/>
          <w:szCs w:val="24"/>
        </w:rPr>
        <w:t xml:space="preserve"> Our results lack for an</w:t>
      </w:r>
      <w:r w:rsidRPr="00C95EA2">
        <w:rPr>
          <w:rFonts w:ascii="Times New Roman" w:eastAsia="Times New Roman" w:hAnsi="Times New Roman" w:cs="Times New Roman"/>
          <w:color w:val="000000" w:themeColor="text1"/>
          <w:sz w:val="24"/>
          <w:szCs w:val="24"/>
        </w:rPr>
        <w:t xml:space="preserve"> external validation cohort, so </w:t>
      </w:r>
      <w:r w:rsidRPr="00C95EA2">
        <w:rPr>
          <w:rFonts w:ascii="Times New Roman" w:eastAsia="Times New Roman" w:hAnsi="Times New Roman" w:cs="Times New Roman"/>
          <w:bCs/>
          <w:color w:val="000000" w:themeColor="text1"/>
          <w:sz w:val="24"/>
          <w:szCs w:val="24"/>
        </w:rPr>
        <w:t>extrapolation to general practice should be done cautiously</w:t>
      </w:r>
      <w:r w:rsidRPr="00C95EA2">
        <w:rPr>
          <w:rFonts w:ascii="Times New Roman" w:eastAsia="Times New Roman" w:hAnsi="Times New Roman" w:cs="Times New Roman"/>
          <w:bCs/>
          <w:i/>
          <w:iCs/>
          <w:color w:val="000000" w:themeColor="text1"/>
          <w:sz w:val="24"/>
          <w:szCs w:val="24"/>
        </w:rPr>
        <w:t>.</w:t>
      </w:r>
      <w:r w:rsidRPr="00C95EA2">
        <w:rPr>
          <w:rFonts w:ascii="Times New Roman" w:eastAsia="Times New Roman" w:hAnsi="Times New Roman" w:cs="Times New Roman"/>
          <w:bCs/>
          <w:color w:val="000000" w:themeColor="text1"/>
          <w:sz w:val="24"/>
          <w:szCs w:val="24"/>
        </w:rPr>
        <w:t xml:space="preserve"> However, the </w:t>
      </w:r>
      <w:r w:rsidRPr="002851A6">
        <w:rPr>
          <w:rFonts w:ascii="Times New Roman" w:eastAsia="Times New Roman" w:hAnsi="Times New Roman" w:cs="Times New Roman"/>
          <w:bCs/>
          <w:sz w:val="24"/>
          <w:szCs w:val="24"/>
        </w:rPr>
        <w:t>consistency of our results with other recent ML studies could indirectly confirm their validity</w:t>
      </w:r>
      <w:r w:rsidRPr="002851A6">
        <w:rPr>
          <w:rFonts w:ascii="Times New Roman" w:eastAsia="Times New Roman" w:hAnsi="Times New Roman" w:cs="Times New Roman"/>
          <w:bCs/>
          <w:i/>
          <w:iCs/>
          <w:sz w:val="24"/>
          <w:szCs w:val="24"/>
        </w:rPr>
        <w:t xml:space="preserve">. </w:t>
      </w:r>
      <w:r w:rsidRPr="002851A6">
        <w:rPr>
          <w:rFonts w:ascii="Times New Roman" w:eastAsia="Times New Roman" w:hAnsi="Times New Roman" w:cs="Times New Roman"/>
          <w:bCs/>
          <w:sz w:val="24"/>
          <w:szCs w:val="24"/>
        </w:rPr>
        <w:t>Although it has numerous items, t</w:t>
      </w:r>
      <w:r w:rsidRPr="002851A6">
        <w:rPr>
          <w:rFonts w:ascii="Times New Roman" w:eastAsia="Times New Roman" w:hAnsi="Times New Roman" w:cs="Times New Roman"/>
          <w:sz w:val="24"/>
          <w:szCs w:val="24"/>
        </w:rPr>
        <w:t>he database may not have captured all relevant risk predictors: t</w:t>
      </w:r>
      <w:r w:rsidRPr="002851A6">
        <w:rPr>
          <w:rFonts w:ascii="Times New Roman" w:eastAsia="Times New Roman" w:hAnsi="Times New Roman" w:cs="Times New Roman"/>
          <w:bCs/>
          <w:sz w:val="24"/>
          <w:szCs w:val="24"/>
        </w:rPr>
        <w:t xml:space="preserve">he dataset is in prevalence composed of categorical features and did not include more information regarding other biomarkers (such as Troponin level, B natriuretic peptide) or imaging features. </w:t>
      </w:r>
      <w:bookmarkStart w:id="25" w:name="_Hlk153191218"/>
      <w:r w:rsidRPr="002851A6">
        <w:rPr>
          <w:rFonts w:ascii="Times New Roman" w:eastAsia="Times New Roman" w:hAnsi="Times New Roman" w:cs="Times New Roman"/>
          <w:bCs/>
          <w:sz w:val="24"/>
          <w:szCs w:val="24"/>
        </w:rPr>
        <w:t>Nevertheless, if on one hand the increased number of more unstructured data could improve algorithm performance</w:t>
      </w:r>
      <w:bookmarkEnd w:id="25"/>
      <w:r w:rsidRPr="002851A6">
        <w:rPr>
          <w:rFonts w:ascii="Times New Roman" w:eastAsia="Times New Roman" w:hAnsi="Times New Roman" w:cs="Times New Roman"/>
          <w:bCs/>
          <w:sz w:val="24"/>
          <w:szCs w:val="24"/>
        </w:rPr>
        <w:t xml:space="preserve">, on the other hands the addition of not routinely performed exams could limit algorithm’s reproducibility and increase its complexity. The study provided a long follow-up of patients (up to 9.4 years): the prediction of future clinical events based on a </w:t>
      </w:r>
      <w:r w:rsidRPr="002851A6">
        <w:rPr>
          <w:rFonts w:ascii="Times New Roman" w:eastAsia="Times New Roman" w:hAnsi="Times New Roman" w:cs="Times New Roman"/>
          <w:sz w:val="24"/>
          <w:szCs w:val="24"/>
        </w:rPr>
        <w:t xml:space="preserve">single </w:t>
      </w:r>
      <w:r w:rsidRPr="00C95EA2">
        <w:rPr>
          <w:rFonts w:ascii="Times New Roman" w:eastAsia="Times New Roman" w:hAnsi="Times New Roman" w:cs="Times New Roman"/>
          <w:color w:val="000000" w:themeColor="text1"/>
          <w:sz w:val="24"/>
          <w:szCs w:val="24"/>
        </w:rPr>
        <w:t xml:space="preserve">time point remains challenging.  </w:t>
      </w:r>
    </w:p>
    <w:p w14:paraId="78111280" w14:textId="77777777" w:rsidR="00D87005" w:rsidRDefault="00D87005" w:rsidP="002713F4">
      <w:pPr>
        <w:pStyle w:val="TITOLOTNR"/>
        <w:rPr>
          <w:sz w:val="24"/>
          <w:szCs w:val="24"/>
        </w:rPr>
      </w:pPr>
    </w:p>
    <w:p w14:paraId="08A0171D" w14:textId="77777777" w:rsidR="00D87005" w:rsidRDefault="00D87005" w:rsidP="002713F4">
      <w:pPr>
        <w:pStyle w:val="TITOLOTNR"/>
        <w:rPr>
          <w:sz w:val="24"/>
          <w:szCs w:val="24"/>
        </w:rPr>
      </w:pPr>
    </w:p>
    <w:p w14:paraId="159FE7B1" w14:textId="77777777" w:rsidR="00D87005" w:rsidRDefault="00D87005" w:rsidP="002713F4">
      <w:pPr>
        <w:pStyle w:val="TITOLOTNR"/>
        <w:rPr>
          <w:sz w:val="24"/>
          <w:szCs w:val="24"/>
        </w:rPr>
      </w:pPr>
    </w:p>
    <w:p w14:paraId="2B2BACA6" w14:textId="77777777" w:rsidR="00D87005" w:rsidRDefault="00D87005" w:rsidP="002713F4">
      <w:pPr>
        <w:pStyle w:val="TITOLOTNR"/>
        <w:rPr>
          <w:sz w:val="24"/>
          <w:szCs w:val="24"/>
        </w:rPr>
      </w:pPr>
    </w:p>
    <w:p w14:paraId="02330501" w14:textId="77777777" w:rsidR="00D87005" w:rsidRDefault="00D87005" w:rsidP="002713F4">
      <w:pPr>
        <w:pStyle w:val="TITOLOTNR"/>
        <w:rPr>
          <w:sz w:val="24"/>
          <w:szCs w:val="24"/>
        </w:rPr>
      </w:pPr>
    </w:p>
    <w:p w14:paraId="688A4449" w14:textId="77777777" w:rsidR="004263C8" w:rsidRDefault="004263C8" w:rsidP="002713F4">
      <w:pPr>
        <w:pStyle w:val="TITOLOTNR"/>
        <w:rPr>
          <w:sz w:val="24"/>
          <w:szCs w:val="24"/>
        </w:rPr>
      </w:pPr>
    </w:p>
    <w:p w14:paraId="6183C9D0" w14:textId="77777777" w:rsidR="004263C8" w:rsidRDefault="004263C8" w:rsidP="002713F4">
      <w:pPr>
        <w:pStyle w:val="TITOLOTNR"/>
        <w:rPr>
          <w:sz w:val="24"/>
          <w:szCs w:val="24"/>
        </w:rPr>
      </w:pPr>
    </w:p>
    <w:p w14:paraId="772CA782" w14:textId="77777777" w:rsidR="00D87005" w:rsidRDefault="00D87005" w:rsidP="002713F4">
      <w:pPr>
        <w:pStyle w:val="TITOLOTNR"/>
        <w:rPr>
          <w:sz w:val="24"/>
          <w:szCs w:val="24"/>
        </w:rPr>
      </w:pPr>
    </w:p>
    <w:p w14:paraId="68A8CDAD" w14:textId="77777777" w:rsidR="00D87005" w:rsidRDefault="00D87005" w:rsidP="002713F4">
      <w:pPr>
        <w:pStyle w:val="TITOLOTNR"/>
        <w:rPr>
          <w:sz w:val="24"/>
          <w:szCs w:val="24"/>
        </w:rPr>
      </w:pPr>
    </w:p>
    <w:p w14:paraId="57FBD2D9" w14:textId="154DE84E" w:rsidR="002D3735" w:rsidRDefault="002D3735" w:rsidP="002713F4">
      <w:pPr>
        <w:pStyle w:val="TITOLOTNR"/>
        <w:rPr>
          <w:sz w:val="24"/>
          <w:szCs w:val="24"/>
        </w:rPr>
      </w:pPr>
      <w:bookmarkStart w:id="26" w:name="_Toc193649589"/>
      <w:r w:rsidRPr="002713F4">
        <w:rPr>
          <w:sz w:val="24"/>
          <w:szCs w:val="24"/>
        </w:rPr>
        <w:t>CONCLUSIONS</w:t>
      </w:r>
      <w:bookmarkEnd w:id="26"/>
    </w:p>
    <w:p w14:paraId="743C2F16" w14:textId="77777777" w:rsidR="002713F4" w:rsidRPr="002713F4" w:rsidRDefault="002713F4" w:rsidP="002713F4">
      <w:pPr>
        <w:pStyle w:val="TITOLOTNR"/>
        <w:rPr>
          <w:sz w:val="24"/>
          <w:szCs w:val="24"/>
        </w:rPr>
      </w:pPr>
    </w:p>
    <w:p w14:paraId="72D4C0DF" w14:textId="77777777" w:rsidR="002D3735" w:rsidRPr="002851A6" w:rsidRDefault="002D3735" w:rsidP="002D3735">
      <w:pPr>
        <w:spacing w:line="480" w:lineRule="auto"/>
        <w:jc w:val="both"/>
        <w:rPr>
          <w:rFonts w:ascii="Times New Roman" w:eastAsia="Times New Roman" w:hAnsi="Times New Roman" w:cs="Times New Roman"/>
          <w:bCs/>
          <w:sz w:val="24"/>
          <w:szCs w:val="24"/>
        </w:rPr>
      </w:pPr>
      <w:bookmarkStart w:id="27" w:name="_Hlk145691527"/>
      <w:bookmarkStart w:id="28" w:name="_Hlk144206991"/>
      <w:r w:rsidRPr="002851A6">
        <w:rPr>
          <w:rFonts w:ascii="Times New Roman" w:eastAsia="Times New Roman" w:hAnsi="Times New Roman" w:cs="Times New Roman"/>
          <w:bCs/>
          <w:sz w:val="24"/>
          <w:szCs w:val="24"/>
        </w:rPr>
        <w:t>In a large cohort of patients with AF treated with oral anticoagulation, ML models demonstrated good discriminative ability to predict all-cause death and CV death in the overall population, and major bleeding in DOAC patients, outperforming the CHA</w:t>
      </w:r>
      <w:r w:rsidRPr="002851A6">
        <w:rPr>
          <w:rFonts w:ascii="Times New Roman" w:eastAsia="Times New Roman" w:hAnsi="Times New Roman" w:cs="Times New Roman"/>
          <w:bCs/>
          <w:sz w:val="24"/>
          <w:szCs w:val="24"/>
          <w:vertAlign w:val="subscript"/>
        </w:rPr>
        <w:t>2</w:t>
      </w:r>
      <w:r w:rsidRPr="002851A6">
        <w:rPr>
          <w:rFonts w:ascii="Times New Roman" w:eastAsia="Times New Roman" w:hAnsi="Times New Roman" w:cs="Times New Roman"/>
          <w:bCs/>
          <w:sz w:val="24"/>
          <w:szCs w:val="24"/>
        </w:rPr>
        <w:t>DS</w:t>
      </w:r>
      <w:r w:rsidRPr="002851A6">
        <w:rPr>
          <w:rFonts w:ascii="Times New Roman" w:eastAsia="Times New Roman" w:hAnsi="Times New Roman" w:cs="Times New Roman"/>
          <w:bCs/>
          <w:sz w:val="24"/>
          <w:szCs w:val="24"/>
          <w:vertAlign w:val="subscript"/>
        </w:rPr>
        <w:t>2</w:t>
      </w:r>
      <w:r w:rsidRPr="002851A6">
        <w:rPr>
          <w:rFonts w:ascii="Times New Roman" w:eastAsia="Times New Roman" w:hAnsi="Times New Roman" w:cs="Times New Roman"/>
          <w:bCs/>
          <w:sz w:val="24"/>
          <w:szCs w:val="24"/>
        </w:rPr>
        <w:t>VASC and HAS-BLED scores. Hemoglobin values, platelet count, and BMI emerged as new potential risk predictors in anticoagulated AF patients. The applications of ML prediction models in clinical practice could improve the risk assessment and subsequent management of anticoagulated patients with AF.</w:t>
      </w:r>
    </w:p>
    <w:bookmarkEnd w:id="27"/>
    <w:bookmarkEnd w:id="28"/>
    <w:p w14:paraId="07877E47" w14:textId="4F603F89" w:rsidR="005059E8" w:rsidRPr="002D3735" w:rsidRDefault="005059E8" w:rsidP="009A341C">
      <w:pPr>
        <w:spacing w:line="480" w:lineRule="auto"/>
        <w:jc w:val="both"/>
        <w:rPr>
          <w:rFonts w:ascii="Times New Roman" w:eastAsia="Times New Roman" w:hAnsi="Times New Roman" w:cs="Times New Roman"/>
        </w:rPr>
      </w:pPr>
    </w:p>
    <w:p w14:paraId="74041972" w14:textId="77777777" w:rsidR="005059E8" w:rsidRPr="002D3735" w:rsidRDefault="005059E8" w:rsidP="009A341C">
      <w:pPr>
        <w:spacing w:line="480" w:lineRule="auto"/>
        <w:jc w:val="both"/>
        <w:rPr>
          <w:rFonts w:ascii="Times New Roman" w:eastAsia="Times New Roman" w:hAnsi="Times New Roman" w:cs="Times New Roman"/>
          <w:lang w:val="en-US"/>
        </w:rPr>
      </w:pPr>
    </w:p>
    <w:p w14:paraId="5C511855" w14:textId="77777777" w:rsidR="005059E8" w:rsidRPr="002D3735" w:rsidRDefault="005059E8" w:rsidP="009A341C">
      <w:pPr>
        <w:spacing w:line="480" w:lineRule="auto"/>
        <w:jc w:val="both"/>
        <w:rPr>
          <w:rFonts w:ascii="Times New Roman" w:eastAsia="Times New Roman" w:hAnsi="Times New Roman" w:cs="Times New Roman"/>
          <w:lang w:val="en-US"/>
        </w:rPr>
      </w:pPr>
    </w:p>
    <w:p w14:paraId="2E1F60B4" w14:textId="77777777" w:rsidR="005059E8" w:rsidRPr="002D3735" w:rsidRDefault="005059E8" w:rsidP="009A341C">
      <w:pPr>
        <w:spacing w:line="480" w:lineRule="auto"/>
        <w:jc w:val="both"/>
        <w:rPr>
          <w:rFonts w:ascii="Times New Roman" w:eastAsia="Times New Roman" w:hAnsi="Times New Roman" w:cs="Times New Roman"/>
          <w:lang w:val="en-US"/>
        </w:rPr>
      </w:pPr>
    </w:p>
    <w:p w14:paraId="04CD9B7B" w14:textId="77777777" w:rsidR="005059E8" w:rsidRPr="002D3735" w:rsidRDefault="005059E8" w:rsidP="009A341C">
      <w:pPr>
        <w:spacing w:line="480" w:lineRule="auto"/>
        <w:jc w:val="both"/>
        <w:rPr>
          <w:rFonts w:ascii="Times New Roman" w:eastAsia="Times New Roman" w:hAnsi="Times New Roman" w:cs="Times New Roman"/>
          <w:lang w:val="en-US"/>
        </w:rPr>
      </w:pPr>
    </w:p>
    <w:p w14:paraId="2715AEE5" w14:textId="77777777" w:rsidR="005059E8" w:rsidRPr="002D3735" w:rsidRDefault="005059E8" w:rsidP="009A341C">
      <w:pPr>
        <w:spacing w:line="480" w:lineRule="auto"/>
        <w:jc w:val="both"/>
        <w:rPr>
          <w:rFonts w:ascii="Times New Roman" w:eastAsia="Times New Roman" w:hAnsi="Times New Roman" w:cs="Times New Roman"/>
          <w:lang w:val="en-US"/>
        </w:rPr>
      </w:pPr>
    </w:p>
    <w:p w14:paraId="5B4783D0" w14:textId="77777777" w:rsidR="002D3735" w:rsidRPr="002713F4" w:rsidRDefault="002D3735" w:rsidP="002713F4">
      <w:pPr>
        <w:pStyle w:val="TITOLOTNR"/>
        <w:rPr>
          <w:sz w:val="24"/>
          <w:szCs w:val="24"/>
        </w:rPr>
      </w:pPr>
      <w:bookmarkStart w:id="29" w:name="_Toc193649590"/>
      <w:r w:rsidRPr="002713F4">
        <w:rPr>
          <w:sz w:val="24"/>
          <w:szCs w:val="24"/>
        </w:rPr>
        <w:lastRenderedPageBreak/>
        <w:t>REFERENCES</w:t>
      </w:r>
      <w:bookmarkEnd w:id="29"/>
    </w:p>
    <w:p w14:paraId="6198B5BA" w14:textId="77777777" w:rsidR="002D3735" w:rsidRPr="002D3735" w:rsidRDefault="002D3735" w:rsidP="002D3735">
      <w:pPr>
        <w:spacing w:afterLines="60" w:after="144" w:line="276" w:lineRule="auto"/>
        <w:jc w:val="both"/>
        <w:rPr>
          <w:rFonts w:ascii="Times New Roman" w:hAnsi="Times New Roman" w:cs="Times New Roman"/>
          <w:b/>
        </w:rPr>
      </w:pPr>
    </w:p>
    <w:p w14:paraId="3A808161" w14:textId="77777777" w:rsidR="002D3735" w:rsidRPr="002D3735" w:rsidRDefault="002D3735" w:rsidP="002D3735">
      <w:pPr>
        <w:pStyle w:val="Bibliografia"/>
        <w:spacing w:line="276" w:lineRule="auto"/>
        <w:rPr>
          <w:rFonts w:ascii="Times New Roman" w:hAnsi="Times New Roman" w:cs="Times New Roman"/>
        </w:rPr>
      </w:pPr>
      <w:r w:rsidRPr="002D3735">
        <w:rPr>
          <w:rFonts w:ascii="Calibri" w:hAnsi="Calibri" w:cs="Calibri"/>
          <w:b/>
        </w:rPr>
        <w:fldChar w:fldCharType="begin"/>
      </w:r>
      <w:r w:rsidRPr="002D3735">
        <w:rPr>
          <w:b/>
        </w:rPr>
        <w:instrText xml:space="preserve"> ADDIN ZOTERO_BIBL {"uncited":[],"omitted":[],"custom":[]} CSL_BIBLIOGRAPHY </w:instrText>
      </w:r>
      <w:r w:rsidRPr="002D3735">
        <w:rPr>
          <w:rFonts w:ascii="Calibri" w:hAnsi="Calibri" w:cs="Calibri"/>
          <w:b/>
        </w:rPr>
        <w:fldChar w:fldCharType="separate"/>
      </w:r>
      <w:r w:rsidRPr="002D3735">
        <w:rPr>
          <w:rFonts w:ascii="Times New Roman" w:hAnsi="Times New Roman" w:cs="Times New Roman"/>
        </w:rPr>
        <w:t>1.</w:t>
      </w:r>
      <w:r w:rsidRPr="002D3735">
        <w:rPr>
          <w:rFonts w:ascii="Times New Roman" w:hAnsi="Times New Roman" w:cs="Times New Roman"/>
        </w:rPr>
        <w:tab/>
        <w:t xml:space="preserve">Hindricks, G. </w:t>
      </w:r>
      <w:r w:rsidRPr="002D3735">
        <w:rPr>
          <w:rFonts w:ascii="Times New Roman" w:hAnsi="Times New Roman" w:cs="Times New Roman"/>
          <w:i/>
          <w:iCs/>
        </w:rPr>
        <w:t>et al.</w:t>
      </w:r>
      <w:r w:rsidRPr="002D3735">
        <w:rPr>
          <w:rFonts w:ascii="Times New Roman" w:hAnsi="Times New Roman" w:cs="Times New Roman"/>
        </w:rPr>
        <w:t xml:space="preserve"> 2020 ESC Guidelines for the diagnosis and management of atrial fibrillation developed in collaboration with the European Association for Cardio-Thoracic Surgery (EACTS). </w:t>
      </w:r>
      <w:r w:rsidRPr="002D3735">
        <w:rPr>
          <w:rFonts w:ascii="Times New Roman" w:hAnsi="Times New Roman" w:cs="Times New Roman"/>
          <w:i/>
          <w:iCs/>
        </w:rPr>
        <w:t>Eur. Heart J.</w:t>
      </w:r>
      <w:r w:rsidRPr="002D3735">
        <w:rPr>
          <w:rFonts w:ascii="Times New Roman" w:hAnsi="Times New Roman" w:cs="Times New Roman"/>
        </w:rPr>
        <w:t xml:space="preserve"> </w:t>
      </w:r>
      <w:r w:rsidRPr="002D3735">
        <w:rPr>
          <w:rFonts w:ascii="Times New Roman" w:hAnsi="Times New Roman" w:cs="Times New Roman"/>
          <w:b/>
          <w:bCs/>
        </w:rPr>
        <w:t>42</w:t>
      </w:r>
      <w:r w:rsidRPr="002D3735">
        <w:rPr>
          <w:rFonts w:ascii="Times New Roman" w:hAnsi="Times New Roman" w:cs="Times New Roman"/>
        </w:rPr>
        <w:t>, 373–498 (2021).</w:t>
      </w:r>
    </w:p>
    <w:p w14:paraId="6EF033C9"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w:t>
      </w:r>
      <w:r w:rsidRPr="002D3735">
        <w:rPr>
          <w:rFonts w:ascii="Times New Roman" w:hAnsi="Times New Roman" w:cs="Times New Roman"/>
        </w:rPr>
        <w:tab/>
        <w:t xml:space="preserve">Benjamin, E. J. </w:t>
      </w:r>
      <w:r w:rsidRPr="002D3735">
        <w:rPr>
          <w:rFonts w:ascii="Times New Roman" w:hAnsi="Times New Roman" w:cs="Times New Roman"/>
          <w:i/>
          <w:iCs/>
        </w:rPr>
        <w:t>et al.</w:t>
      </w:r>
      <w:r w:rsidRPr="002D3735">
        <w:rPr>
          <w:rFonts w:ascii="Times New Roman" w:hAnsi="Times New Roman" w:cs="Times New Roman"/>
        </w:rPr>
        <w:t xml:space="preserve"> Heart Disease and Stroke Statistics-2019 Update: A Report From the American Heart Association. </w:t>
      </w:r>
      <w:r w:rsidRPr="002D3735">
        <w:rPr>
          <w:rFonts w:ascii="Times New Roman" w:hAnsi="Times New Roman" w:cs="Times New Roman"/>
          <w:i/>
          <w:iCs/>
        </w:rPr>
        <w:t>Circulation</w:t>
      </w:r>
      <w:r w:rsidRPr="002D3735">
        <w:rPr>
          <w:rFonts w:ascii="Times New Roman" w:hAnsi="Times New Roman" w:cs="Times New Roman"/>
        </w:rPr>
        <w:t xml:space="preserve"> </w:t>
      </w:r>
      <w:r w:rsidRPr="002D3735">
        <w:rPr>
          <w:rFonts w:ascii="Times New Roman" w:hAnsi="Times New Roman" w:cs="Times New Roman"/>
          <w:b/>
          <w:bCs/>
        </w:rPr>
        <w:t>139</w:t>
      </w:r>
      <w:r w:rsidRPr="002D3735">
        <w:rPr>
          <w:rFonts w:ascii="Times New Roman" w:hAnsi="Times New Roman" w:cs="Times New Roman"/>
        </w:rPr>
        <w:t>, e56–e528 (2019).</w:t>
      </w:r>
    </w:p>
    <w:p w14:paraId="0FFFA626"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w:t>
      </w:r>
      <w:r w:rsidRPr="002D3735">
        <w:rPr>
          <w:rFonts w:ascii="Times New Roman" w:hAnsi="Times New Roman" w:cs="Times New Roman"/>
        </w:rPr>
        <w:tab/>
        <w:t xml:space="preserve">Ageno, W. &amp; Donadini, M. Breadth of complications of long-term oral anticoagulant care. </w:t>
      </w:r>
      <w:r w:rsidRPr="002D3735">
        <w:rPr>
          <w:rFonts w:ascii="Times New Roman" w:hAnsi="Times New Roman" w:cs="Times New Roman"/>
          <w:i/>
          <w:iCs/>
        </w:rPr>
        <w:t>Hematol. Am. Soc. Hematol. Educ. Program</w:t>
      </w:r>
      <w:r w:rsidRPr="002D3735">
        <w:rPr>
          <w:rFonts w:ascii="Times New Roman" w:hAnsi="Times New Roman" w:cs="Times New Roman"/>
        </w:rPr>
        <w:t xml:space="preserve"> </w:t>
      </w:r>
      <w:r w:rsidRPr="002D3735">
        <w:rPr>
          <w:rFonts w:ascii="Times New Roman" w:hAnsi="Times New Roman" w:cs="Times New Roman"/>
          <w:b/>
          <w:bCs/>
        </w:rPr>
        <w:t>2018</w:t>
      </w:r>
      <w:r w:rsidRPr="002D3735">
        <w:rPr>
          <w:rFonts w:ascii="Times New Roman" w:hAnsi="Times New Roman" w:cs="Times New Roman"/>
        </w:rPr>
        <w:t>, 432–438 (2018).</w:t>
      </w:r>
    </w:p>
    <w:p w14:paraId="5D95CAA8"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w:t>
      </w:r>
      <w:r w:rsidRPr="002D3735">
        <w:rPr>
          <w:rFonts w:ascii="Times New Roman" w:hAnsi="Times New Roman" w:cs="Times New Roman"/>
        </w:rPr>
        <w:tab/>
        <w:t xml:space="preserve">Borre, E. D. </w:t>
      </w:r>
      <w:r w:rsidRPr="002D3735">
        <w:rPr>
          <w:rFonts w:ascii="Times New Roman" w:hAnsi="Times New Roman" w:cs="Times New Roman"/>
          <w:i/>
          <w:iCs/>
        </w:rPr>
        <w:t>et al.</w:t>
      </w:r>
      <w:r w:rsidRPr="002D3735">
        <w:rPr>
          <w:rFonts w:ascii="Times New Roman" w:hAnsi="Times New Roman" w:cs="Times New Roman"/>
        </w:rPr>
        <w:t xml:space="preserve"> Predicting Thromboembolic and Bleeding Event Risk in Patients with Non-Valvular Atrial Fibrillation: A Systematic Review. </w:t>
      </w:r>
      <w:r w:rsidRPr="002D3735">
        <w:rPr>
          <w:rFonts w:ascii="Times New Roman" w:hAnsi="Times New Roman" w:cs="Times New Roman"/>
          <w:i/>
          <w:iCs/>
        </w:rPr>
        <w:t>Thromb. Haemost.</w:t>
      </w:r>
      <w:r w:rsidRPr="002D3735">
        <w:rPr>
          <w:rFonts w:ascii="Times New Roman" w:hAnsi="Times New Roman" w:cs="Times New Roman"/>
        </w:rPr>
        <w:t xml:space="preserve"> </w:t>
      </w:r>
      <w:r w:rsidRPr="002D3735">
        <w:rPr>
          <w:rFonts w:ascii="Times New Roman" w:hAnsi="Times New Roman" w:cs="Times New Roman"/>
          <w:b/>
          <w:bCs/>
        </w:rPr>
        <w:t>118</w:t>
      </w:r>
      <w:r w:rsidRPr="002D3735">
        <w:rPr>
          <w:rFonts w:ascii="Times New Roman" w:hAnsi="Times New Roman" w:cs="Times New Roman"/>
        </w:rPr>
        <w:t>, 2171–2187 (2018).</w:t>
      </w:r>
    </w:p>
    <w:p w14:paraId="568C7A7A"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5.</w:t>
      </w:r>
      <w:r w:rsidRPr="002D3735">
        <w:rPr>
          <w:rFonts w:ascii="Times New Roman" w:hAnsi="Times New Roman" w:cs="Times New Roman"/>
        </w:rPr>
        <w:tab/>
        <w:t xml:space="preserve">Garcia, C. </w:t>
      </w:r>
      <w:r w:rsidRPr="002D3735">
        <w:rPr>
          <w:rFonts w:ascii="Times New Roman" w:hAnsi="Times New Roman" w:cs="Times New Roman"/>
          <w:i/>
          <w:iCs/>
        </w:rPr>
        <w:t>et al.</w:t>
      </w:r>
      <w:r w:rsidRPr="002D3735">
        <w:rPr>
          <w:rFonts w:ascii="Times New Roman" w:hAnsi="Times New Roman" w:cs="Times New Roman"/>
        </w:rPr>
        <w:t xml:space="preserve"> Admission Severity of Atrial-Fibrillation-Related Acute Ischemic Stroke in Patients under Anticoagulation Treatment: A Systematic Review and Meta-Analysis. </w:t>
      </w:r>
      <w:r w:rsidRPr="002D3735">
        <w:rPr>
          <w:rFonts w:ascii="Times New Roman" w:hAnsi="Times New Roman" w:cs="Times New Roman"/>
          <w:i/>
          <w:iCs/>
        </w:rPr>
        <w:t>J. Clin. Med.</w:t>
      </w:r>
      <w:r w:rsidRPr="002D3735">
        <w:rPr>
          <w:rFonts w:ascii="Times New Roman" w:hAnsi="Times New Roman" w:cs="Times New Roman"/>
        </w:rPr>
        <w:t xml:space="preserve"> </w:t>
      </w:r>
      <w:r w:rsidRPr="002D3735">
        <w:rPr>
          <w:rFonts w:ascii="Times New Roman" w:hAnsi="Times New Roman" w:cs="Times New Roman"/>
          <w:b/>
          <w:bCs/>
        </w:rPr>
        <w:t>11</w:t>
      </w:r>
      <w:r w:rsidRPr="002D3735">
        <w:rPr>
          <w:rFonts w:ascii="Times New Roman" w:hAnsi="Times New Roman" w:cs="Times New Roman"/>
        </w:rPr>
        <w:t>, 3563 (2022).</w:t>
      </w:r>
    </w:p>
    <w:p w14:paraId="6643864A"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6.</w:t>
      </w:r>
      <w:r w:rsidRPr="002D3735">
        <w:rPr>
          <w:rFonts w:ascii="Times New Roman" w:hAnsi="Times New Roman" w:cs="Times New Roman"/>
        </w:rPr>
        <w:tab/>
        <w:t xml:space="preserve">Hart, R. G., Pearce, L. A. &amp; Aguilar, M. I. Meta-analysis: Antithrombotic Therapy to Prevent Stroke in Patients Who Have Nonvalvular Atrial Fibrillation. </w:t>
      </w:r>
      <w:r w:rsidRPr="002D3735">
        <w:rPr>
          <w:rFonts w:ascii="Times New Roman" w:hAnsi="Times New Roman" w:cs="Times New Roman"/>
          <w:i/>
          <w:iCs/>
        </w:rPr>
        <w:t>Ann. Intern. Med.</w:t>
      </w:r>
      <w:r w:rsidRPr="002D3735">
        <w:rPr>
          <w:rFonts w:ascii="Times New Roman" w:hAnsi="Times New Roman" w:cs="Times New Roman"/>
        </w:rPr>
        <w:t xml:space="preserve"> </w:t>
      </w:r>
      <w:r w:rsidRPr="002D3735">
        <w:rPr>
          <w:rFonts w:ascii="Times New Roman" w:hAnsi="Times New Roman" w:cs="Times New Roman"/>
          <w:b/>
          <w:bCs/>
        </w:rPr>
        <w:t>146</w:t>
      </w:r>
      <w:r w:rsidRPr="002D3735">
        <w:rPr>
          <w:rFonts w:ascii="Times New Roman" w:hAnsi="Times New Roman" w:cs="Times New Roman"/>
        </w:rPr>
        <w:t>, 857–867 (2007).</w:t>
      </w:r>
    </w:p>
    <w:p w14:paraId="4783BB45"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7.</w:t>
      </w:r>
      <w:r w:rsidRPr="002D3735">
        <w:rPr>
          <w:rFonts w:ascii="Times New Roman" w:hAnsi="Times New Roman" w:cs="Times New Roman"/>
        </w:rPr>
        <w:tab/>
        <w:t xml:space="preserve">Loring, Z. </w:t>
      </w:r>
      <w:r w:rsidRPr="002D3735">
        <w:rPr>
          <w:rFonts w:ascii="Times New Roman" w:hAnsi="Times New Roman" w:cs="Times New Roman"/>
          <w:i/>
          <w:iCs/>
        </w:rPr>
        <w:t>et al.</w:t>
      </w:r>
      <w:r w:rsidRPr="002D3735">
        <w:rPr>
          <w:rFonts w:ascii="Times New Roman" w:hAnsi="Times New Roman" w:cs="Times New Roman"/>
        </w:rPr>
        <w:t xml:space="preserve"> Machine learning does not improve upon traditional regression in predicting outcomes in atrial fibrillation: an analysis of the ORBIT-AF and GARFIELD-AF registries. </w:t>
      </w:r>
      <w:r w:rsidRPr="002D3735">
        <w:rPr>
          <w:rFonts w:ascii="Times New Roman" w:hAnsi="Times New Roman" w:cs="Times New Roman"/>
          <w:i/>
          <w:iCs/>
        </w:rPr>
        <w:t>EP Eur.</w:t>
      </w:r>
      <w:r w:rsidRPr="002D3735">
        <w:rPr>
          <w:rFonts w:ascii="Times New Roman" w:hAnsi="Times New Roman" w:cs="Times New Roman"/>
        </w:rPr>
        <w:t xml:space="preserve"> </w:t>
      </w:r>
      <w:r w:rsidRPr="002D3735">
        <w:rPr>
          <w:rFonts w:ascii="Times New Roman" w:hAnsi="Times New Roman" w:cs="Times New Roman"/>
          <w:b/>
          <w:bCs/>
        </w:rPr>
        <w:t>22</w:t>
      </w:r>
      <w:r w:rsidRPr="002D3735">
        <w:rPr>
          <w:rFonts w:ascii="Times New Roman" w:hAnsi="Times New Roman" w:cs="Times New Roman"/>
        </w:rPr>
        <w:t>, 1635–1644 (2020).</w:t>
      </w:r>
    </w:p>
    <w:p w14:paraId="23B41F9C"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8.</w:t>
      </w:r>
      <w:r w:rsidRPr="002D3735">
        <w:rPr>
          <w:rFonts w:ascii="Times New Roman" w:hAnsi="Times New Roman" w:cs="Times New Roman"/>
        </w:rPr>
        <w:tab/>
        <w:t xml:space="preserve">Olier, I., Ortega-Martorell, S., Pieroni, M. &amp; Lip, G. Y. H. How machine learning is impacting research in atrial fibrillation: implications for risk prediction and future management. </w:t>
      </w:r>
      <w:r w:rsidRPr="002D3735">
        <w:rPr>
          <w:rFonts w:ascii="Times New Roman" w:hAnsi="Times New Roman" w:cs="Times New Roman"/>
          <w:i/>
          <w:iCs/>
        </w:rPr>
        <w:t>Cardiovasc. Res.</w:t>
      </w:r>
      <w:r w:rsidRPr="002D3735">
        <w:rPr>
          <w:rFonts w:ascii="Times New Roman" w:hAnsi="Times New Roman" w:cs="Times New Roman"/>
        </w:rPr>
        <w:t xml:space="preserve"> </w:t>
      </w:r>
      <w:r w:rsidRPr="002D3735">
        <w:rPr>
          <w:rFonts w:ascii="Times New Roman" w:hAnsi="Times New Roman" w:cs="Times New Roman"/>
          <w:b/>
          <w:bCs/>
        </w:rPr>
        <w:t>117</w:t>
      </w:r>
      <w:r w:rsidRPr="002D3735">
        <w:rPr>
          <w:rFonts w:ascii="Times New Roman" w:hAnsi="Times New Roman" w:cs="Times New Roman"/>
        </w:rPr>
        <w:t>, 1700–1717 (2021).</w:t>
      </w:r>
    </w:p>
    <w:p w14:paraId="502D5978"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9.</w:t>
      </w:r>
      <w:r w:rsidRPr="002D3735">
        <w:rPr>
          <w:rFonts w:ascii="Times New Roman" w:hAnsi="Times New Roman" w:cs="Times New Roman"/>
        </w:rPr>
        <w:tab/>
        <w:t xml:space="preserve">Lu, J. </w:t>
      </w:r>
      <w:r w:rsidRPr="002D3735">
        <w:rPr>
          <w:rFonts w:ascii="Times New Roman" w:hAnsi="Times New Roman" w:cs="Times New Roman"/>
          <w:i/>
          <w:iCs/>
        </w:rPr>
        <w:t>et al.</w:t>
      </w:r>
      <w:r w:rsidRPr="002D3735">
        <w:rPr>
          <w:rFonts w:ascii="Times New Roman" w:hAnsi="Times New Roman" w:cs="Times New Roman"/>
        </w:rPr>
        <w:t xml:space="preserve"> Performance of multilabel machine learning models and risk stratification schemas for predicting stroke and bleeding risk in patients with non-valvular atrial fibrillation. </w:t>
      </w:r>
      <w:r w:rsidRPr="002D3735">
        <w:rPr>
          <w:rFonts w:ascii="Times New Roman" w:hAnsi="Times New Roman" w:cs="Times New Roman"/>
          <w:i/>
          <w:iCs/>
        </w:rPr>
        <w:t>Comput. Biol. Med.</w:t>
      </w:r>
      <w:r w:rsidRPr="002D3735">
        <w:rPr>
          <w:rFonts w:ascii="Times New Roman" w:hAnsi="Times New Roman" w:cs="Times New Roman"/>
        </w:rPr>
        <w:t xml:space="preserve"> </w:t>
      </w:r>
      <w:r w:rsidRPr="002D3735">
        <w:rPr>
          <w:rFonts w:ascii="Times New Roman" w:hAnsi="Times New Roman" w:cs="Times New Roman"/>
          <w:b/>
          <w:bCs/>
        </w:rPr>
        <w:t>150</w:t>
      </w:r>
      <w:r w:rsidRPr="002D3735">
        <w:rPr>
          <w:rFonts w:ascii="Times New Roman" w:hAnsi="Times New Roman" w:cs="Times New Roman"/>
        </w:rPr>
        <w:t>, 106126 (2022).</w:t>
      </w:r>
    </w:p>
    <w:p w14:paraId="76CE3A77"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10.</w:t>
      </w:r>
      <w:r w:rsidRPr="002D3735">
        <w:rPr>
          <w:rFonts w:ascii="Times New Roman" w:hAnsi="Times New Roman" w:cs="Times New Roman"/>
        </w:rPr>
        <w:tab/>
        <w:t xml:space="preserve">Lip, G. Y. H. </w:t>
      </w:r>
      <w:r w:rsidRPr="002D3735">
        <w:rPr>
          <w:rFonts w:ascii="Times New Roman" w:hAnsi="Times New Roman" w:cs="Times New Roman"/>
          <w:i/>
          <w:iCs/>
        </w:rPr>
        <w:t>et al.</w:t>
      </w:r>
      <w:r w:rsidRPr="002D3735">
        <w:rPr>
          <w:rFonts w:ascii="Times New Roman" w:hAnsi="Times New Roman" w:cs="Times New Roman"/>
        </w:rPr>
        <w:t xml:space="preserve"> Improving dynamic stroke risk prediction in non-anticoagulated patients with and without atrial fibrillation: comparing common clinical risk scores and machine learning algorithms. </w:t>
      </w:r>
      <w:r w:rsidRPr="002D3735">
        <w:rPr>
          <w:rFonts w:ascii="Times New Roman" w:hAnsi="Times New Roman" w:cs="Times New Roman"/>
          <w:i/>
          <w:iCs/>
        </w:rPr>
        <w:t>Eur. Heart J. Qual. Care Clin. Outcomes</w:t>
      </w:r>
      <w:r w:rsidRPr="002D3735">
        <w:rPr>
          <w:rFonts w:ascii="Times New Roman" w:hAnsi="Times New Roman" w:cs="Times New Roman"/>
        </w:rPr>
        <w:t xml:space="preserve"> </w:t>
      </w:r>
      <w:r w:rsidRPr="002D3735">
        <w:rPr>
          <w:rFonts w:ascii="Times New Roman" w:hAnsi="Times New Roman" w:cs="Times New Roman"/>
          <w:b/>
          <w:bCs/>
        </w:rPr>
        <w:t>8</w:t>
      </w:r>
      <w:r w:rsidRPr="002D3735">
        <w:rPr>
          <w:rFonts w:ascii="Times New Roman" w:hAnsi="Times New Roman" w:cs="Times New Roman"/>
        </w:rPr>
        <w:t>, 548–556 (2022).</w:t>
      </w:r>
    </w:p>
    <w:p w14:paraId="60A5DA52"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11.</w:t>
      </w:r>
      <w:r w:rsidRPr="002D3735">
        <w:rPr>
          <w:rFonts w:ascii="Times New Roman" w:hAnsi="Times New Roman" w:cs="Times New Roman"/>
        </w:rPr>
        <w:tab/>
        <w:t xml:space="preserve">Li, X. </w:t>
      </w:r>
      <w:r w:rsidRPr="002D3735">
        <w:rPr>
          <w:rFonts w:ascii="Times New Roman" w:hAnsi="Times New Roman" w:cs="Times New Roman"/>
          <w:i/>
          <w:iCs/>
        </w:rPr>
        <w:t>et al.</w:t>
      </w:r>
      <w:r w:rsidRPr="002D3735">
        <w:rPr>
          <w:rFonts w:ascii="Times New Roman" w:hAnsi="Times New Roman" w:cs="Times New Roman"/>
        </w:rPr>
        <w:t xml:space="preserve"> Integrated Machine Learning Approaches for Predicting Ischemic Stroke and Thromboembolism in Atrial Fibrillation. </w:t>
      </w:r>
      <w:r w:rsidRPr="002D3735">
        <w:rPr>
          <w:rFonts w:ascii="Times New Roman" w:hAnsi="Times New Roman" w:cs="Times New Roman"/>
          <w:i/>
          <w:iCs/>
        </w:rPr>
        <w:t>AMIA Annu. Symp. Proc. AMIA Symp.</w:t>
      </w:r>
      <w:r w:rsidRPr="002D3735">
        <w:rPr>
          <w:rFonts w:ascii="Times New Roman" w:hAnsi="Times New Roman" w:cs="Times New Roman"/>
        </w:rPr>
        <w:t xml:space="preserve"> </w:t>
      </w:r>
      <w:r w:rsidRPr="002D3735">
        <w:rPr>
          <w:rFonts w:ascii="Times New Roman" w:hAnsi="Times New Roman" w:cs="Times New Roman"/>
          <w:b/>
          <w:bCs/>
        </w:rPr>
        <w:t>2016</w:t>
      </w:r>
      <w:r w:rsidRPr="002D3735">
        <w:rPr>
          <w:rFonts w:ascii="Times New Roman" w:hAnsi="Times New Roman" w:cs="Times New Roman"/>
        </w:rPr>
        <w:t>, 799–807 (2016).</w:t>
      </w:r>
    </w:p>
    <w:p w14:paraId="55B555A1"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12.</w:t>
      </w:r>
      <w:r w:rsidRPr="002D3735">
        <w:rPr>
          <w:rFonts w:ascii="Times New Roman" w:hAnsi="Times New Roman" w:cs="Times New Roman"/>
        </w:rPr>
        <w:tab/>
        <w:t xml:space="preserve">Steinberg, B. A. </w:t>
      </w:r>
      <w:r w:rsidRPr="002D3735">
        <w:rPr>
          <w:rFonts w:ascii="Times New Roman" w:hAnsi="Times New Roman" w:cs="Times New Roman"/>
          <w:i/>
          <w:iCs/>
        </w:rPr>
        <w:t>et al.</w:t>
      </w:r>
      <w:r w:rsidRPr="002D3735">
        <w:rPr>
          <w:rFonts w:ascii="Times New Roman" w:hAnsi="Times New Roman" w:cs="Times New Roman"/>
        </w:rPr>
        <w:t xml:space="preserve"> International trends in clinical characteristics and oral anticoagulation treatment for patients with atrial fibrillation: Results from the </w:t>
      </w:r>
      <w:r w:rsidRPr="002D3735">
        <w:rPr>
          <w:rFonts w:ascii="Times New Roman" w:hAnsi="Times New Roman" w:cs="Times New Roman"/>
        </w:rPr>
        <w:lastRenderedPageBreak/>
        <w:t xml:space="preserve">GARFIELD-AF, ORBIT-AF I, and ORBIT-AF II registries. </w:t>
      </w:r>
      <w:r w:rsidRPr="002D3735">
        <w:rPr>
          <w:rFonts w:ascii="Times New Roman" w:hAnsi="Times New Roman" w:cs="Times New Roman"/>
          <w:i/>
          <w:iCs/>
        </w:rPr>
        <w:t>Am. Heart J.</w:t>
      </w:r>
      <w:r w:rsidRPr="002D3735">
        <w:rPr>
          <w:rFonts w:ascii="Times New Roman" w:hAnsi="Times New Roman" w:cs="Times New Roman"/>
        </w:rPr>
        <w:t xml:space="preserve"> </w:t>
      </w:r>
      <w:r w:rsidRPr="002D3735">
        <w:rPr>
          <w:rFonts w:ascii="Times New Roman" w:hAnsi="Times New Roman" w:cs="Times New Roman"/>
          <w:b/>
          <w:bCs/>
        </w:rPr>
        <w:t>194</w:t>
      </w:r>
      <w:r w:rsidRPr="002D3735">
        <w:rPr>
          <w:rFonts w:ascii="Times New Roman" w:hAnsi="Times New Roman" w:cs="Times New Roman"/>
        </w:rPr>
        <w:t>, 132–140 (2017).</w:t>
      </w:r>
    </w:p>
    <w:p w14:paraId="28A2D329"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13.</w:t>
      </w:r>
      <w:r w:rsidRPr="002D3735">
        <w:rPr>
          <w:rFonts w:ascii="Times New Roman" w:hAnsi="Times New Roman" w:cs="Times New Roman"/>
        </w:rPr>
        <w:tab/>
        <w:t xml:space="preserve">Goto, S. </w:t>
      </w:r>
      <w:r w:rsidRPr="002D3735">
        <w:rPr>
          <w:rFonts w:ascii="Times New Roman" w:hAnsi="Times New Roman" w:cs="Times New Roman"/>
          <w:i/>
          <w:iCs/>
        </w:rPr>
        <w:t>et al.</w:t>
      </w:r>
      <w:r w:rsidRPr="002D3735">
        <w:rPr>
          <w:rFonts w:ascii="Times New Roman" w:hAnsi="Times New Roman" w:cs="Times New Roman"/>
        </w:rPr>
        <w:t xml:space="preserve"> New artificial intelligence prediction model using serial prothrombin time international normalized ratio measurements in atrial fibrillation patients on vitamin K antagonists: GARFIELD-AF. </w:t>
      </w:r>
      <w:r w:rsidRPr="002D3735">
        <w:rPr>
          <w:rFonts w:ascii="Times New Roman" w:hAnsi="Times New Roman" w:cs="Times New Roman"/>
          <w:i/>
          <w:iCs/>
        </w:rPr>
        <w:t>Eur. Heart J. - Cardiovasc. Pharmacother.</w:t>
      </w:r>
      <w:r w:rsidRPr="002D3735">
        <w:rPr>
          <w:rFonts w:ascii="Times New Roman" w:hAnsi="Times New Roman" w:cs="Times New Roman"/>
        </w:rPr>
        <w:t xml:space="preserve"> </w:t>
      </w:r>
      <w:r w:rsidRPr="002D3735">
        <w:rPr>
          <w:rFonts w:ascii="Times New Roman" w:hAnsi="Times New Roman" w:cs="Times New Roman"/>
          <w:b/>
          <w:bCs/>
        </w:rPr>
        <w:t>6</w:t>
      </w:r>
      <w:r w:rsidRPr="002D3735">
        <w:rPr>
          <w:rFonts w:ascii="Times New Roman" w:hAnsi="Times New Roman" w:cs="Times New Roman"/>
        </w:rPr>
        <w:t>, 301–309 (2020).</w:t>
      </w:r>
    </w:p>
    <w:p w14:paraId="098BA54A"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14.</w:t>
      </w:r>
      <w:r w:rsidRPr="002D3735">
        <w:rPr>
          <w:rFonts w:ascii="Times New Roman" w:hAnsi="Times New Roman" w:cs="Times New Roman"/>
        </w:rPr>
        <w:tab/>
        <w:t xml:space="preserve">Navar, A. M. </w:t>
      </w:r>
      <w:r w:rsidRPr="002D3735">
        <w:rPr>
          <w:rFonts w:ascii="Times New Roman" w:hAnsi="Times New Roman" w:cs="Times New Roman"/>
          <w:i/>
          <w:iCs/>
        </w:rPr>
        <w:t>et al.</w:t>
      </w:r>
      <w:r w:rsidRPr="002D3735">
        <w:rPr>
          <w:rFonts w:ascii="Times New Roman" w:hAnsi="Times New Roman" w:cs="Times New Roman"/>
        </w:rPr>
        <w:t xml:space="preserve"> Trends in Oral Anticoagulant Use Among 436 864 Patients With Atrial Fibrillation in Community Practice, 2011 to 2020. </w:t>
      </w:r>
      <w:r w:rsidRPr="002D3735">
        <w:rPr>
          <w:rFonts w:ascii="Times New Roman" w:hAnsi="Times New Roman" w:cs="Times New Roman"/>
          <w:i/>
          <w:iCs/>
        </w:rPr>
        <w:t>J. Am. Heart Assoc.</w:t>
      </w:r>
      <w:r w:rsidRPr="002D3735">
        <w:rPr>
          <w:rFonts w:ascii="Times New Roman" w:hAnsi="Times New Roman" w:cs="Times New Roman"/>
        </w:rPr>
        <w:t xml:space="preserve"> </w:t>
      </w:r>
      <w:r w:rsidRPr="002D3735">
        <w:rPr>
          <w:rFonts w:ascii="Times New Roman" w:hAnsi="Times New Roman" w:cs="Times New Roman"/>
          <w:b/>
          <w:bCs/>
        </w:rPr>
        <w:t>11</w:t>
      </w:r>
      <w:r w:rsidRPr="002D3735">
        <w:rPr>
          <w:rFonts w:ascii="Times New Roman" w:hAnsi="Times New Roman" w:cs="Times New Roman"/>
        </w:rPr>
        <w:t>, e026723 (2022).</w:t>
      </w:r>
    </w:p>
    <w:p w14:paraId="4D50AFBF"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15.</w:t>
      </w:r>
      <w:r w:rsidRPr="002D3735">
        <w:rPr>
          <w:rFonts w:ascii="Times New Roman" w:hAnsi="Times New Roman" w:cs="Times New Roman"/>
        </w:rPr>
        <w:tab/>
        <w:t xml:space="preserve">Antonucci, E. </w:t>
      </w:r>
      <w:r w:rsidRPr="002D3735">
        <w:rPr>
          <w:rFonts w:ascii="Times New Roman" w:hAnsi="Times New Roman" w:cs="Times New Roman"/>
          <w:i/>
          <w:iCs/>
        </w:rPr>
        <w:t>et al.</w:t>
      </w:r>
      <w:r w:rsidRPr="002D3735">
        <w:rPr>
          <w:rFonts w:ascii="Times New Roman" w:hAnsi="Times New Roman" w:cs="Times New Roman"/>
        </w:rPr>
        <w:t xml:space="preserve"> The Italian START-Register on Anticoagulation with Focus on Atrial Fibrillation. </w:t>
      </w:r>
      <w:r w:rsidRPr="002D3735">
        <w:rPr>
          <w:rFonts w:ascii="Times New Roman" w:hAnsi="Times New Roman" w:cs="Times New Roman"/>
          <w:i/>
          <w:iCs/>
        </w:rPr>
        <w:t>PloS One</w:t>
      </w:r>
      <w:r w:rsidRPr="002D3735">
        <w:rPr>
          <w:rFonts w:ascii="Times New Roman" w:hAnsi="Times New Roman" w:cs="Times New Roman"/>
        </w:rPr>
        <w:t xml:space="preserve"> </w:t>
      </w:r>
      <w:r w:rsidRPr="002D3735">
        <w:rPr>
          <w:rFonts w:ascii="Times New Roman" w:hAnsi="Times New Roman" w:cs="Times New Roman"/>
          <w:b/>
          <w:bCs/>
        </w:rPr>
        <w:t>10</w:t>
      </w:r>
      <w:r w:rsidRPr="002D3735">
        <w:rPr>
          <w:rFonts w:ascii="Times New Roman" w:hAnsi="Times New Roman" w:cs="Times New Roman"/>
        </w:rPr>
        <w:t>, e0124719 (2015).</w:t>
      </w:r>
    </w:p>
    <w:p w14:paraId="2B72FE24"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16.</w:t>
      </w:r>
      <w:r w:rsidRPr="002D3735">
        <w:rPr>
          <w:rFonts w:ascii="Times New Roman" w:hAnsi="Times New Roman" w:cs="Times New Roman"/>
        </w:rPr>
        <w:tab/>
        <w:t xml:space="preserve">Poli, D. </w:t>
      </w:r>
      <w:r w:rsidRPr="002D3735">
        <w:rPr>
          <w:rFonts w:ascii="Times New Roman" w:hAnsi="Times New Roman" w:cs="Times New Roman"/>
          <w:i/>
          <w:iCs/>
        </w:rPr>
        <w:t>et al.</w:t>
      </w:r>
      <w:r w:rsidRPr="002D3735">
        <w:rPr>
          <w:rFonts w:ascii="Times New Roman" w:hAnsi="Times New Roman" w:cs="Times New Roman"/>
        </w:rPr>
        <w:t xml:space="preserve"> Management of anticoagulation in atrial fibrillation patients in Italy: insight from the </w:t>
      </w:r>
      <w:r w:rsidRPr="002D3735">
        <w:rPr>
          <w:rFonts w:ascii="Times New Roman" w:hAnsi="Times New Roman" w:cs="Times New Roman"/>
          <w:i/>
          <w:iCs/>
        </w:rPr>
        <w:t>Atrial Fibrillation-Survey on Anticoagulated Patients Register</w:t>
      </w:r>
      <w:r w:rsidRPr="002D3735">
        <w:rPr>
          <w:rFonts w:ascii="Times New Roman" w:hAnsi="Times New Roman" w:cs="Times New Roman"/>
        </w:rPr>
        <w:t xml:space="preserve"> (AF-START). </w:t>
      </w:r>
      <w:r w:rsidRPr="002D3735">
        <w:rPr>
          <w:rFonts w:ascii="Times New Roman" w:hAnsi="Times New Roman" w:cs="Times New Roman"/>
          <w:i/>
          <w:iCs/>
        </w:rPr>
        <w:t>Bleeding Thromb. Vasc. Biol.</w:t>
      </w:r>
      <w:r w:rsidRPr="002D3735">
        <w:rPr>
          <w:rFonts w:ascii="Times New Roman" w:hAnsi="Times New Roman" w:cs="Times New Roman"/>
        </w:rPr>
        <w:t xml:space="preserve"> </w:t>
      </w:r>
      <w:r w:rsidRPr="002D3735">
        <w:rPr>
          <w:rFonts w:ascii="Times New Roman" w:hAnsi="Times New Roman" w:cs="Times New Roman"/>
          <w:b/>
          <w:bCs/>
        </w:rPr>
        <w:t>2</w:t>
      </w:r>
      <w:r w:rsidRPr="002D3735">
        <w:rPr>
          <w:rFonts w:ascii="Times New Roman" w:hAnsi="Times New Roman" w:cs="Times New Roman"/>
        </w:rPr>
        <w:t>, (2023).</w:t>
      </w:r>
    </w:p>
    <w:p w14:paraId="758C770D"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17.</w:t>
      </w:r>
      <w:r w:rsidRPr="002D3735">
        <w:rPr>
          <w:rFonts w:ascii="Times New Roman" w:hAnsi="Times New Roman" w:cs="Times New Roman"/>
        </w:rPr>
        <w:tab/>
        <w:t xml:space="preserve">Lip, G. Y. H., Nieuwlaat, R., Pisters, R., Lane, D. A. &amp; Crijns, H. J. G. M. Refining clinical risk stratification for predicting stroke and thromboembolism in atrial fibrillation using a novel risk factor-based approach: the euro heart survey on atrial fibrillation. </w:t>
      </w:r>
      <w:r w:rsidRPr="002D3735">
        <w:rPr>
          <w:rFonts w:ascii="Times New Roman" w:hAnsi="Times New Roman" w:cs="Times New Roman"/>
          <w:i/>
          <w:iCs/>
        </w:rPr>
        <w:t>Chest</w:t>
      </w:r>
      <w:r w:rsidRPr="002D3735">
        <w:rPr>
          <w:rFonts w:ascii="Times New Roman" w:hAnsi="Times New Roman" w:cs="Times New Roman"/>
        </w:rPr>
        <w:t xml:space="preserve"> </w:t>
      </w:r>
      <w:r w:rsidRPr="002D3735">
        <w:rPr>
          <w:rFonts w:ascii="Times New Roman" w:hAnsi="Times New Roman" w:cs="Times New Roman"/>
          <w:b/>
          <w:bCs/>
        </w:rPr>
        <w:t>137</w:t>
      </w:r>
      <w:r w:rsidRPr="002D3735">
        <w:rPr>
          <w:rFonts w:ascii="Times New Roman" w:hAnsi="Times New Roman" w:cs="Times New Roman"/>
        </w:rPr>
        <w:t>, 263–272 (2010).</w:t>
      </w:r>
    </w:p>
    <w:p w14:paraId="28C034F8"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18.</w:t>
      </w:r>
      <w:r w:rsidRPr="002D3735">
        <w:rPr>
          <w:rFonts w:ascii="Times New Roman" w:hAnsi="Times New Roman" w:cs="Times New Roman"/>
        </w:rPr>
        <w:tab/>
        <w:t xml:space="preserve">Pisters, R. </w:t>
      </w:r>
      <w:r w:rsidRPr="002D3735">
        <w:rPr>
          <w:rFonts w:ascii="Times New Roman" w:hAnsi="Times New Roman" w:cs="Times New Roman"/>
          <w:i/>
          <w:iCs/>
        </w:rPr>
        <w:t>et al.</w:t>
      </w:r>
      <w:r w:rsidRPr="002D3735">
        <w:rPr>
          <w:rFonts w:ascii="Times New Roman" w:hAnsi="Times New Roman" w:cs="Times New Roman"/>
        </w:rPr>
        <w:t xml:space="preserve"> A novel user-friendly score (HAS-BLED) to assess 1-year risk of major bleeding in patients with atrial fibrillation: the Euro Heart Survey. </w:t>
      </w:r>
      <w:r w:rsidRPr="002D3735">
        <w:rPr>
          <w:rFonts w:ascii="Times New Roman" w:hAnsi="Times New Roman" w:cs="Times New Roman"/>
          <w:i/>
          <w:iCs/>
        </w:rPr>
        <w:t>Chest</w:t>
      </w:r>
      <w:r w:rsidRPr="002D3735">
        <w:rPr>
          <w:rFonts w:ascii="Times New Roman" w:hAnsi="Times New Roman" w:cs="Times New Roman"/>
        </w:rPr>
        <w:t xml:space="preserve"> </w:t>
      </w:r>
      <w:r w:rsidRPr="002D3735">
        <w:rPr>
          <w:rFonts w:ascii="Times New Roman" w:hAnsi="Times New Roman" w:cs="Times New Roman"/>
          <w:b/>
          <w:bCs/>
        </w:rPr>
        <w:t>138</w:t>
      </w:r>
      <w:r w:rsidRPr="002D3735">
        <w:rPr>
          <w:rFonts w:ascii="Times New Roman" w:hAnsi="Times New Roman" w:cs="Times New Roman"/>
        </w:rPr>
        <w:t>, 1093–1100 (2010).</w:t>
      </w:r>
    </w:p>
    <w:p w14:paraId="70BCE2AF"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19.</w:t>
      </w:r>
      <w:r w:rsidRPr="002D3735">
        <w:rPr>
          <w:rFonts w:ascii="Times New Roman" w:hAnsi="Times New Roman" w:cs="Times New Roman"/>
        </w:rPr>
        <w:tab/>
        <w:t xml:space="preserve">Kaatz, S., Ahmad, D., Spyropoulos, A. C., Schulman, S., &amp; Subcommittee on Control of Anticoagulation. Definition of clinically relevant non-major bleeding in studies of anticoagulants in atrial fibrillation and venous thromboembolic disease in non-surgical patients: communication from the SSC of the ISTH. </w:t>
      </w:r>
      <w:r w:rsidRPr="002D3735">
        <w:rPr>
          <w:rFonts w:ascii="Times New Roman" w:hAnsi="Times New Roman" w:cs="Times New Roman"/>
          <w:i/>
          <w:iCs/>
        </w:rPr>
        <w:t>J. Thromb. Haemost. JTH</w:t>
      </w:r>
      <w:r w:rsidRPr="002D3735">
        <w:rPr>
          <w:rFonts w:ascii="Times New Roman" w:hAnsi="Times New Roman" w:cs="Times New Roman"/>
        </w:rPr>
        <w:t xml:space="preserve"> </w:t>
      </w:r>
      <w:r w:rsidRPr="002D3735">
        <w:rPr>
          <w:rFonts w:ascii="Times New Roman" w:hAnsi="Times New Roman" w:cs="Times New Roman"/>
          <w:b/>
          <w:bCs/>
        </w:rPr>
        <w:t>13</w:t>
      </w:r>
      <w:r w:rsidRPr="002D3735">
        <w:rPr>
          <w:rFonts w:ascii="Times New Roman" w:hAnsi="Times New Roman" w:cs="Times New Roman"/>
        </w:rPr>
        <w:t>, 2119–2126 (2015).</w:t>
      </w:r>
    </w:p>
    <w:p w14:paraId="1951568D"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20.</w:t>
      </w:r>
      <w:r w:rsidRPr="002D3735">
        <w:rPr>
          <w:rFonts w:ascii="Times New Roman" w:hAnsi="Times New Roman" w:cs="Times New Roman"/>
        </w:rPr>
        <w:tab/>
        <w:t xml:space="preserve">Hicks, K. A. </w:t>
      </w:r>
      <w:r w:rsidRPr="002D3735">
        <w:rPr>
          <w:rFonts w:ascii="Times New Roman" w:hAnsi="Times New Roman" w:cs="Times New Roman"/>
          <w:i/>
          <w:iCs/>
        </w:rPr>
        <w:t>et al.</w:t>
      </w:r>
      <w:r w:rsidRPr="002D3735">
        <w:rPr>
          <w:rFonts w:ascii="Times New Roman" w:hAnsi="Times New Roman" w:cs="Times New Roman"/>
        </w:rPr>
        <w:t xml:space="preserve"> 2017 Cardiovascular and Stroke Endpoint Definitions for Clinical Trials. </w:t>
      </w:r>
      <w:r w:rsidRPr="002D3735">
        <w:rPr>
          <w:rFonts w:ascii="Times New Roman" w:hAnsi="Times New Roman" w:cs="Times New Roman"/>
          <w:i/>
          <w:iCs/>
        </w:rPr>
        <w:t>Circulation</w:t>
      </w:r>
      <w:r w:rsidRPr="002D3735">
        <w:rPr>
          <w:rFonts w:ascii="Times New Roman" w:hAnsi="Times New Roman" w:cs="Times New Roman"/>
        </w:rPr>
        <w:t xml:space="preserve"> </w:t>
      </w:r>
      <w:r w:rsidRPr="002D3735">
        <w:rPr>
          <w:rFonts w:ascii="Times New Roman" w:hAnsi="Times New Roman" w:cs="Times New Roman"/>
          <w:b/>
          <w:bCs/>
        </w:rPr>
        <w:t>137</w:t>
      </w:r>
      <w:r w:rsidRPr="002D3735">
        <w:rPr>
          <w:rFonts w:ascii="Times New Roman" w:hAnsi="Times New Roman" w:cs="Times New Roman"/>
        </w:rPr>
        <w:t>, 961–972 (2018).</w:t>
      </w:r>
    </w:p>
    <w:p w14:paraId="6072262E"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21.</w:t>
      </w:r>
      <w:r w:rsidRPr="002D3735">
        <w:rPr>
          <w:rFonts w:ascii="Times New Roman" w:hAnsi="Times New Roman" w:cs="Times New Roman"/>
        </w:rPr>
        <w:tab/>
        <w:t xml:space="preserve">Sudden cardiac death. Report of a WHO Scientific Group. </w:t>
      </w:r>
      <w:r w:rsidRPr="002D3735">
        <w:rPr>
          <w:rFonts w:ascii="Times New Roman" w:hAnsi="Times New Roman" w:cs="Times New Roman"/>
          <w:i/>
          <w:iCs/>
        </w:rPr>
        <w:t>World Health Organ. Tech. Rep. Ser.</w:t>
      </w:r>
      <w:r w:rsidRPr="002D3735">
        <w:rPr>
          <w:rFonts w:ascii="Times New Roman" w:hAnsi="Times New Roman" w:cs="Times New Roman"/>
        </w:rPr>
        <w:t xml:space="preserve"> </w:t>
      </w:r>
      <w:r w:rsidRPr="002D3735">
        <w:rPr>
          <w:rFonts w:ascii="Times New Roman" w:hAnsi="Times New Roman" w:cs="Times New Roman"/>
          <w:b/>
          <w:bCs/>
        </w:rPr>
        <w:t>726</w:t>
      </w:r>
      <w:r w:rsidRPr="002D3735">
        <w:rPr>
          <w:rFonts w:ascii="Times New Roman" w:hAnsi="Times New Roman" w:cs="Times New Roman"/>
        </w:rPr>
        <w:t>, 5–25 (1985).</w:t>
      </w:r>
    </w:p>
    <w:p w14:paraId="162F8D14"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22.</w:t>
      </w:r>
      <w:r w:rsidRPr="002D3735">
        <w:rPr>
          <w:rFonts w:ascii="Times New Roman" w:hAnsi="Times New Roman" w:cs="Times New Roman"/>
        </w:rPr>
        <w:tab/>
        <w:t xml:space="preserve">Ke, G. </w:t>
      </w:r>
      <w:r w:rsidRPr="002D3735">
        <w:rPr>
          <w:rFonts w:ascii="Times New Roman" w:hAnsi="Times New Roman" w:cs="Times New Roman"/>
          <w:i/>
          <w:iCs/>
        </w:rPr>
        <w:t>et al.</w:t>
      </w:r>
      <w:r w:rsidRPr="002D3735">
        <w:rPr>
          <w:rFonts w:ascii="Times New Roman" w:hAnsi="Times New Roman" w:cs="Times New Roman"/>
        </w:rPr>
        <w:t xml:space="preserve"> LightGBM: A Highly Efficient Gradient Boosting Decision Tree. in (2017).</w:t>
      </w:r>
    </w:p>
    <w:p w14:paraId="3943EDFD"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23.</w:t>
      </w:r>
      <w:r w:rsidRPr="002D3735">
        <w:rPr>
          <w:rFonts w:ascii="Times New Roman" w:hAnsi="Times New Roman" w:cs="Times New Roman"/>
        </w:rPr>
        <w:tab/>
        <w:t xml:space="preserve">Lundberg, S. M. &amp; Lee, S.-I. A Unified Approach to Interpreting Model Predictions. in </w:t>
      </w:r>
      <w:r w:rsidRPr="002D3735">
        <w:rPr>
          <w:rFonts w:ascii="Times New Roman" w:hAnsi="Times New Roman" w:cs="Times New Roman"/>
          <w:i/>
          <w:iCs/>
        </w:rPr>
        <w:t>Advances in Neural Information Processing Systems</w:t>
      </w:r>
      <w:r w:rsidRPr="002D3735">
        <w:rPr>
          <w:rFonts w:ascii="Times New Roman" w:hAnsi="Times New Roman" w:cs="Times New Roman"/>
        </w:rPr>
        <w:t xml:space="preserve"> vol. 30 (Curran Associates, Inc., 2017).</w:t>
      </w:r>
    </w:p>
    <w:p w14:paraId="7E0DE5D0"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lastRenderedPageBreak/>
        <w:t>24.</w:t>
      </w:r>
      <w:r w:rsidRPr="002D3735">
        <w:rPr>
          <w:rFonts w:ascii="Times New Roman" w:hAnsi="Times New Roman" w:cs="Times New Roman"/>
        </w:rPr>
        <w:tab/>
        <w:t xml:space="preserve">Caruana, R. Learning Many Related Tasks at the Same Time with Backpropagation. in </w:t>
      </w:r>
      <w:r w:rsidRPr="002D3735">
        <w:rPr>
          <w:rFonts w:ascii="Times New Roman" w:hAnsi="Times New Roman" w:cs="Times New Roman"/>
          <w:i/>
          <w:iCs/>
        </w:rPr>
        <w:t>Advances in Neural Information Processing Systems</w:t>
      </w:r>
      <w:r w:rsidRPr="002D3735">
        <w:rPr>
          <w:rFonts w:ascii="Times New Roman" w:hAnsi="Times New Roman" w:cs="Times New Roman"/>
        </w:rPr>
        <w:t xml:space="preserve"> vol. 7 (MIT Press, 1994).</w:t>
      </w:r>
    </w:p>
    <w:p w14:paraId="763653C5"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25.</w:t>
      </w:r>
      <w:r w:rsidRPr="002D3735">
        <w:rPr>
          <w:rFonts w:ascii="Times New Roman" w:hAnsi="Times New Roman" w:cs="Times New Roman"/>
        </w:rPr>
        <w:tab/>
        <w:t xml:space="preserve">Ma, J. </w:t>
      </w:r>
      <w:r w:rsidRPr="002D3735">
        <w:rPr>
          <w:rFonts w:ascii="Times New Roman" w:hAnsi="Times New Roman" w:cs="Times New Roman"/>
          <w:i/>
          <w:iCs/>
        </w:rPr>
        <w:t>et al.</w:t>
      </w:r>
      <w:r w:rsidRPr="002D3735">
        <w:rPr>
          <w:rFonts w:ascii="Times New Roman" w:hAnsi="Times New Roman" w:cs="Times New Roman"/>
        </w:rPr>
        <w:t xml:space="preserve"> Modeling Task Relationships in Multi-task Learning with Multi-gate Mixture-of-Experts. in </w:t>
      </w:r>
      <w:r w:rsidRPr="002D3735">
        <w:rPr>
          <w:rFonts w:ascii="Times New Roman" w:hAnsi="Times New Roman" w:cs="Times New Roman"/>
          <w:i/>
          <w:iCs/>
        </w:rPr>
        <w:t>Proceedings of the 24th ACM SIGKDD International Conference on Knowledge Discovery &amp; Data Mining</w:t>
      </w:r>
      <w:r w:rsidRPr="002D3735">
        <w:rPr>
          <w:rFonts w:ascii="Times New Roman" w:hAnsi="Times New Roman" w:cs="Times New Roman"/>
        </w:rPr>
        <w:t xml:space="preserve"> 1930–1939 (Association for Computing Machinery, New York, NY, USA, 2018). doi:10.1145/3219819.3220007.</w:t>
      </w:r>
    </w:p>
    <w:p w14:paraId="1D38AC79"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26.</w:t>
      </w:r>
      <w:r w:rsidRPr="002D3735">
        <w:rPr>
          <w:rFonts w:ascii="Times New Roman" w:hAnsi="Times New Roman" w:cs="Times New Roman"/>
        </w:rPr>
        <w:tab/>
        <w:t>Kingma, D. P. &amp; Ba, J. Adam: A Method for Stochastic Optimization. Preprint at https://doi.org/10.48550/arXiv.1412.6980 (2017).</w:t>
      </w:r>
    </w:p>
    <w:p w14:paraId="223D53D5"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27.</w:t>
      </w:r>
      <w:r w:rsidRPr="002D3735">
        <w:rPr>
          <w:rFonts w:ascii="Times New Roman" w:hAnsi="Times New Roman" w:cs="Times New Roman"/>
        </w:rPr>
        <w:tab/>
        <w:t xml:space="preserve">Sechidis, K., Tsoumakas, G. &amp; Vlahavas, I. On the Stratification of Multi-label Data. in </w:t>
      </w:r>
      <w:r w:rsidRPr="002D3735">
        <w:rPr>
          <w:rFonts w:ascii="Times New Roman" w:hAnsi="Times New Roman" w:cs="Times New Roman"/>
          <w:i/>
          <w:iCs/>
        </w:rPr>
        <w:t>Machine Learning and Knowledge Discovery in Databases</w:t>
      </w:r>
      <w:r w:rsidRPr="002D3735">
        <w:rPr>
          <w:rFonts w:ascii="Times New Roman" w:hAnsi="Times New Roman" w:cs="Times New Roman"/>
        </w:rPr>
        <w:t xml:space="preserve"> (eds. Gunopulos, D., Hofmann, T., Malerba, D. &amp; Vazirgiannis, M.) vol. 6913 145–158 (Springer Berlin Heidelberg, Berlin, Heidelberg, 2011).</w:t>
      </w:r>
    </w:p>
    <w:p w14:paraId="25C5DCDC"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28.</w:t>
      </w:r>
      <w:r w:rsidRPr="002D3735">
        <w:rPr>
          <w:rFonts w:ascii="Times New Roman" w:hAnsi="Times New Roman" w:cs="Times New Roman"/>
        </w:rPr>
        <w:tab/>
        <w:t xml:space="preserve">Hogan, J. &amp; Adams, N. M. On Averaging ROC Curves. </w:t>
      </w:r>
      <w:r w:rsidRPr="002D3735">
        <w:rPr>
          <w:rFonts w:ascii="Times New Roman" w:hAnsi="Times New Roman" w:cs="Times New Roman"/>
          <w:i/>
          <w:iCs/>
        </w:rPr>
        <w:t>Trans. Mach. Learn. Res.</w:t>
      </w:r>
      <w:r w:rsidRPr="002D3735">
        <w:rPr>
          <w:rFonts w:ascii="Times New Roman" w:hAnsi="Times New Roman" w:cs="Times New Roman"/>
        </w:rPr>
        <w:t xml:space="preserve"> (2023).</w:t>
      </w:r>
    </w:p>
    <w:p w14:paraId="32B6AC87"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29.</w:t>
      </w:r>
      <w:r w:rsidRPr="002D3735">
        <w:rPr>
          <w:rFonts w:ascii="Times New Roman" w:hAnsi="Times New Roman" w:cs="Times New Roman"/>
        </w:rPr>
        <w:tab/>
        <w:t xml:space="preserve">DeLong, E. R., DeLong, D. M. &amp; Clarke-Pearson, D. L. Comparing the areas under two or more correlated receiver operating characteristic curves: a nonparametric approach. </w:t>
      </w:r>
      <w:r w:rsidRPr="002D3735">
        <w:rPr>
          <w:rFonts w:ascii="Times New Roman" w:hAnsi="Times New Roman" w:cs="Times New Roman"/>
          <w:i/>
          <w:iCs/>
        </w:rPr>
        <w:t>Biometrics</w:t>
      </w:r>
      <w:r w:rsidRPr="002D3735">
        <w:rPr>
          <w:rFonts w:ascii="Times New Roman" w:hAnsi="Times New Roman" w:cs="Times New Roman"/>
        </w:rPr>
        <w:t xml:space="preserve"> </w:t>
      </w:r>
      <w:r w:rsidRPr="002D3735">
        <w:rPr>
          <w:rFonts w:ascii="Times New Roman" w:hAnsi="Times New Roman" w:cs="Times New Roman"/>
          <w:b/>
          <w:bCs/>
        </w:rPr>
        <w:t>44</w:t>
      </w:r>
      <w:r w:rsidRPr="002D3735">
        <w:rPr>
          <w:rFonts w:ascii="Times New Roman" w:hAnsi="Times New Roman" w:cs="Times New Roman"/>
        </w:rPr>
        <w:t>, 837–845 (1988).</w:t>
      </w:r>
    </w:p>
    <w:p w14:paraId="25059142"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30.</w:t>
      </w:r>
      <w:r w:rsidRPr="002D3735">
        <w:rPr>
          <w:rFonts w:ascii="Times New Roman" w:hAnsi="Times New Roman" w:cs="Times New Roman"/>
        </w:rPr>
        <w:tab/>
        <w:t xml:space="preserve">Odutayo, A. </w:t>
      </w:r>
      <w:r w:rsidRPr="002D3735">
        <w:rPr>
          <w:rFonts w:ascii="Times New Roman" w:hAnsi="Times New Roman" w:cs="Times New Roman"/>
          <w:i/>
          <w:iCs/>
        </w:rPr>
        <w:t>et al.</w:t>
      </w:r>
      <w:r w:rsidRPr="002D3735">
        <w:rPr>
          <w:rFonts w:ascii="Times New Roman" w:hAnsi="Times New Roman" w:cs="Times New Roman"/>
        </w:rPr>
        <w:t xml:space="preserve"> Atrial fibrillation and risks of cardiovascular disease, renal disease, and death: systematic review and meta-analysis. </w:t>
      </w:r>
      <w:r w:rsidRPr="002D3735">
        <w:rPr>
          <w:rFonts w:ascii="Times New Roman" w:hAnsi="Times New Roman" w:cs="Times New Roman"/>
          <w:i/>
          <w:iCs/>
        </w:rPr>
        <w:t>BMJ</w:t>
      </w:r>
      <w:r w:rsidRPr="002D3735">
        <w:rPr>
          <w:rFonts w:ascii="Times New Roman" w:hAnsi="Times New Roman" w:cs="Times New Roman"/>
        </w:rPr>
        <w:t xml:space="preserve"> </w:t>
      </w:r>
      <w:r w:rsidRPr="002D3735">
        <w:rPr>
          <w:rFonts w:ascii="Times New Roman" w:hAnsi="Times New Roman" w:cs="Times New Roman"/>
          <w:b/>
          <w:bCs/>
        </w:rPr>
        <w:t>354</w:t>
      </w:r>
      <w:r w:rsidRPr="002D3735">
        <w:rPr>
          <w:rFonts w:ascii="Times New Roman" w:hAnsi="Times New Roman" w:cs="Times New Roman"/>
        </w:rPr>
        <w:t>, i4482 (2016).</w:t>
      </w:r>
    </w:p>
    <w:p w14:paraId="61A25F20"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31.</w:t>
      </w:r>
      <w:r w:rsidRPr="002D3735">
        <w:rPr>
          <w:rFonts w:ascii="Times New Roman" w:hAnsi="Times New Roman" w:cs="Times New Roman"/>
        </w:rPr>
        <w:tab/>
        <w:t xml:space="preserve">Bisson, A. </w:t>
      </w:r>
      <w:r w:rsidRPr="002D3735">
        <w:rPr>
          <w:rFonts w:ascii="Times New Roman" w:hAnsi="Times New Roman" w:cs="Times New Roman"/>
          <w:i/>
          <w:iCs/>
        </w:rPr>
        <w:t>et al.</w:t>
      </w:r>
      <w:r w:rsidRPr="002D3735">
        <w:rPr>
          <w:rFonts w:ascii="Times New Roman" w:hAnsi="Times New Roman" w:cs="Times New Roman"/>
        </w:rPr>
        <w:t xml:space="preserve"> Prediction of early death after atrial fibrillation diagnosis using a machine learning approach: A French nationwide cohort study. </w:t>
      </w:r>
      <w:r w:rsidRPr="002D3735">
        <w:rPr>
          <w:rFonts w:ascii="Times New Roman" w:hAnsi="Times New Roman" w:cs="Times New Roman"/>
          <w:i/>
          <w:iCs/>
        </w:rPr>
        <w:t>Am. Heart J.</w:t>
      </w:r>
      <w:r w:rsidRPr="002D3735">
        <w:rPr>
          <w:rFonts w:ascii="Times New Roman" w:hAnsi="Times New Roman" w:cs="Times New Roman"/>
        </w:rPr>
        <w:t xml:space="preserve"> S0002-8703(23)00203-X (2023) doi:10.1016/j.ahj.2023.08.006.</w:t>
      </w:r>
    </w:p>
    <w:p w14:paraId="2D2839C6"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32.</w:t>
      </w:r>
      <w:r w:rsidRPr="002D3735">
        <w:rPr>
          <w:rFonts w:ascii="Times New Roman" w:hAnsi="Times New Roman" w:cs="Times New Roman"/>
        </w:rPr>
        <w:tab/>
        <w:t xml:space="preserve">Gómez-Outes, A. </w:t>
      </w:r>
      <w:r w:rsidRPr="002D3735">
        <w:rPr>
          <w:rFonts w:ascii="Times New Roman" w:hAnsi="Times New Roman" w:cs="Times New Roman"/>
          <w:i/>
          <w:iCs/>
        </w:rPr>
        <w:t>et al.</w:t>
      </w:r>
      <w:r w:rsidRPr="002D3735">
        <w:rPr>
          <w:rFonts w:ascii="Times New Roman" w:hAnsi="Times New Roman" w:cs="Times New Roman"/>
        </w:rPr>
        <w:t xml:space="preserve"> Causes of Death in Anticoagulated Patients With Atrial Fibrillation. </w:t>
      </w:r>
      <w:r w:rsidRPr="002D3735">
        <w:rPr>
          <w:rFonts w:ascii="Times New Roman" w:hAnsi="Times New Roman" w:cs="Times New Roman"/>
          <w:i/>
          <w:iCs/>
        </w:rPr>
        <w:t>J. Am. Coll. Cardiol.</w:t>
      </w:r>
      <w:r w:rsidRPr="002D3735">
        <w:rPr>
          <w:rFonts w:ascii="Times New Roman" w:hAnsi="Times New Roman" w:cs="Times New Roman"/>
        </w:rPr>
        <w:t xml:space="preserve"> </w:t>
      </w:r>
      <w:r w:rsidRPr="002D3735">
        <w:rPr>
          <w:rFonts w:ascii="Times New Roman" w:hAnsi="Times New Roman" w:cs="Times New Roman"/>
          <w:b/>
          <w:bCs/>
        </w:rPr>
        <w:t>68</w:t>
      </w:r>
      <w:r w:rsidRPr="002D3735">
        <w:rPr>
          <w:rFonts w:ascii="Times New Roman" w:hAnsi="Times New Roman" w:cs="Times New Roman"/>
        </w:rPr>
        <w:t>, 2508–2521 (2016).</w:t>
      </w:r>
    </w:p>
    <w:p w14:paraId="7B3D3106"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33.</w:t>
      </w:r>
      <w:r w:rsidRPr="002D3735">
        <w:rPr>
          <w:rFonts w:ascii="Times New Roman" w:hAnsi="Times New Roman" w:cs="Times New Roman"/>
        </w:rPr>
        <w:tab/>
        <w:t xml:space="preserve">Romiti, G. F. </w:t>
      </w:r>
      <w:r w:rsidRPr="002D3735">
        <w:rPr>
          <w:rFonts w:ascii="Times New Roman" w:hAnsi="Times New Roman" w:cs="Times New Roman"/>
          <w:i/>
          <w:iCs/>
        </w:rPr>
        <w:t>et al.</w:t>
      </w:r>
      <w:r w:rsidRPr="002D3735">
        <w:rPr>
          <w:rFonts w:ascii="Times New Roman" w:hAnsi="Times New Roman" w:cs="Times New Roman"/>
        </w:rPr>
        <w:t xml:space="preserve"> Clinical Complexity Domains, Anticoagulation, and Outcomes in Patients with Atrial Fibrillation: A Report from the GLORIA-AF Registry Phase II and III. </w:t>
      </w:r>
      <w:r w:rsidRPr="002D3735">
        <w:rPr>
          <w:rFonts w:ascii="Times New Roman" w:hAnsi="Times New Roman" w:cs="Times New Roman"/>
          <w:i/>
          <w:iCs/>
        </w:rPr>
        <w:t>Thromb. Haemost.</w:t>
      </w:r>
      <w:r w:rsidRPr="002D3735">
        <w:rPr>
          <w:rFonts w:ascii="Times New Roman" w:hAnsi="Times New Roman" w:cs="Times New Roman"/>
        </w:rPr>
        <w:t xml:space="preserve"> </w:t>
      </w:r>
      <w:r w:rsidRPr="002D3735">
        <w:rPr>
          <w:rFonts w:ascii="Times New Roman" w:hAnsi="Times New Roman" w:cs="Times New Roman"/>
          <w:b/>
          <w:bCs/>
        </w:rPr>
        <w:t>122</w:t>
      </w:r>
      <w:r w:rsidRPr="002D3735">
        <w:rPr>
          <w:rFonts w:ascii="Times New Roman" w:hAnsi="Times New Roman" w:cs="Times New Roman"/>
        </w:rPr>
        <w:t>, 2030–2041 (2022).</w:t>
      </w:r>
    </w:p>
    <w:p w14:paraId="758EBA0C"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34.</w:t>
      </w:r>
      <w:r w:rsidRPr="002D3735">
        <w:rPr>
          <w:rFonts w:ascii="Times New Roman" w:hAnsi="Times New Roman" w:cs="Times New Roman"/>
        </w:rPr>
        <w:tab/>
        <w:t xml:space="preserve">Melgaard, L. </w:t>
      </w:r>
      <w:r w:rsidRPr="002D3735">
        <w:rPr>
          <w:rFonts w:ascii="Times New Roman" w:hAnsi="Times New Roman" w:cs="Times New Roman"/>
          <w:i/>
          <w:iCs/>
        </w:rPr>
        <w:t>et al.</w:t>
      </w:r>
      <w:r w:rsidRPr="002D3735">
        <w:rPr>
          <w:rFonts w:ascii="Times New Roman" w:hAnsi="Times New Roman" w:cs="Times New Roman"/>
        </w:rPr>
        <w:t xml:space="preserve"> Assessment of the CHA2DS2-VASc Score in Predicting Ischemic Stroke, Thromboembolism, and Death in Patients With Heart Failure With and Without Atrial Fibrillation. </w:t>
      </w:r>
      <w:r w:rsidRPr="002D3735">
        <w:rPr>
          <w:rFonts w:ascii="Times New Roman" w:hAnsi="Times New Roman" w:cs="Times New Roman"/>
          <w:i/>
          <w:iCs/>
        </w:rPr>
        <w:t>JAMA</w:t>
      </w:r>
      <w:r w:rsidRPr="002D3735">
        <w:rPr>
          <w:rFonts w:ascii="Times New Roman" w:hAnsi="Times New Roman" w:cs="Times New Roman"/>
        </w:rPr>
        <w:t xml:space="preserve"> </w:t>
      </w:r>
      <w:r w:rsidRPr="002D3735">
        <w:rPr>
          <w:rFonts w:ascii="Times New Roman" w:hAnsi="Times New Roman" w:cs="Times New Roman"/>
          <w:b/>
          <w:bCs/>
        </w:rPr>
        <w:t>314</w:t>
      </w:r>
      <w:r w:rsidRPr="002D3735">
        <w:rPr>
          <w:rFonts w:ascii="Times New Roman" w:hAnsi="Times New Roman" w:cs="Times New Roman"/>
        </w:rPr>
        <w:t>, 1030–1038 (2015).</w:t>
      </w:r>
    </w:p>
    <w:p w14:paraId="7F845CC3"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35.</w:t>
      </w:r>
      <w:r w:rsidRPr="002D3735">
        <w:rPr>
          <w:rFonts w:ascii="Times New Roman" w:hAnsi="Times New Roman" w:cs="Times New Roman"/>
        </w:rPr>
        <w:tab/>
        <w:t xml:space="preserve">Poli, D., Antonucci, E., Pengo, V., Testa, S. &amp; Palareti, G. Comparison of HAS-BLED and HAS-BED Versus CHADS2 and CHA2DS2VASC Stroke and Bleeding Scores in Patients With Atrial Fibrillation. </w:t>
      </w:r>
      <w:r w:rsidRPr="002D3735">
        <w:rPr>
          <w:rFonts w:ascii="Times New Roman" w:hAnsi="Times New Roman" w:cs="Times New Roman"/>
          <w:i/>
          <w:iCs/>
        </w:rPr>
        <w:t>Am. J. Cardiol.</w:t>
      </w:r>
      <w:r w:rsidRPr="002D3735">
        <w:rPr>
          <w:rFonts w:ascii="Times New Roman" w:hAnsi="Times New Roman" w:cs="Times New Roman"/>
        </w:rPr>
        <w:t xml:space="preserve"> </w:t>
      </w:r>
      <w:r w:rsidRPr="002D3735">
        <w:rPr>
          <w:rFonts w:ascii="Times New Roman" w:hAnsi="Times New Roman" w:cs="Times New Roman"/>
          <w:b/>
          <w:bCs/>
        </w:rPr>
        <w:t>119</w:t>
      </w:r>
      <w:r w:rsidRPr="002D3735">
        <w:rPr>
          <w:rFonts w:ascii="Times New Roman" w:hAnsi="Times New Roman" w:cs="Times New Roman"/>
        </w:rPr>
        <w:t>, 1012–1016 (2017).</w:t>
      </w:r>
    </w:p>
    <w:p w14:paraId="13E78F2B"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36.</w:t>
      </w:r>
      <w:r w:rsidRPr="002D3735">
        <w:rPr>
          <w:rFonts w:ascii="Times New Roman" w:hAnsi="Times New Roman" w:cs="Times New Roman"/>
        </w:rPr>
        <w:tab/>
        <w:t xml:space="preserve">Proietti, M. </w:t>
      </w:r>
      <w:r w:rsidRPr="002D3735">
        <w:rPr>
          <w:rFonts w:ascii="Times New Roman" w:hAnsi="Times New Roman" w:cs="Times New Roman"/>
          <w:i/>
          <w:iCs/>
        </w:rPr>
        <w:t>et al.</w:t>
      </w:r>
      <w:r w:rsidRPr="002D3735">
        <w:rPr>
          <w:rFonts w:ascii="Times New Roman" w:hAnsi="Times New Roman" w:cs="Times New Roman"/>
        </w:rPr>
        <w:t xml:space="preserve"> Association between clinical risk scores and mortality in atrial fibrillation: Systematic review and network meta-regression of 669,000 patients. </w:t>
      </w:r>
      <w:r w:rsidRPr="002D3735">
        <w:rPr>
          <w:rFonts w:ascii="Times New Roman" w:hAnsi="Times New Roman" w:cs="Times New Roman"/>
          <w:i/>
          <w:iCs/>
        </w:rPr>
        <w:t>Eur. J. Prev. Cardiol.</w:t>
      </w:r>
      <w:r w:rsidRPr="002D3735">
        <w:rPr>
          <w:rFonts w:ascii="Times New Roman" w:hAnsi="Times New Roman" w:cs="Times New Roman"/>
        </w:rPr>
        <w:t xml:space="preserve"> </w:t>
      </w:r>
      <w:r w:rsidRPr="002D3735">
        <w:rPr>
          <w:rFonts w:ascii="Times New Roman" w:hAnsi="Times New Roman" w:cs="Times New Roman"/>
          <w:b/>
          <w:bCs/>
        </w:rPr>
        <w:t>27</w:t>
      </w:r>
      <w:r w:rsidRPr="002D3735">
        <w:rPr>
          <w:rFonts w:ascii="Times New Roman" w:hAnsi="Times New Roman" w:cs="Times New Roman"/>
        </w:rPr>
        <w:t>, 633–644 (2020).</w:t>
      </w:r>
    </w:p>
    <w:p w14:paraId="356C0E82"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lastRenderedPageBreak/>
        <w:t>37.</w:t>
      </w:r>
      <w:r w:rsidRPr="002D3735">
        <w:rPr>
          <w:rFonts w:ascii="Times New Roman" w:hAnsi="Times New Roman" w:cs="Times New Roman"/>
        </w:rPr>
        <w:tab/>
        <w:t xml:space="preserve">D’Ascenzo, F. </w:t>
      </w:r>
      <w:r w:rsidRPr="002D3735">
        <w:rPr>
          <w:rFonts w:ascii="Times New Roman" w:hAnsi="Times New Roman" w:cs="Times New Roman"/>
          <w:i/>
          <w:iCs/>
        </w:rPr>
        <w:t>et al.</w:t>
      </w:r>
      <w:r w:rsidRPr="002D3735">
        <w:rPr>
          <w:rFonts w:ascii="Times New Roman" w:hAnsi="Times New Roman" w:cs="Times New Roman"/>
        </w:rPr>
        <w:t xml:space="preserve"> Machine learning-based prediction of adverse events following an acute coronary syndrome (PRAISE): a modelling study of pooled datasets. </w:t>
      </w:r>
      <w:r w:rsidRPr="002D3735">
        <w:rPr>
          <w:rFonts w:ascii="Times New Roman" w:hAnsi="Times New Roman" w:cs="Times New Roman"/>
          <w:i/>
          <w:iCs/>
        </w:rPr>
        <w:t>The Lancet</w:t>
      </w:r>
      <w:r w:rsidRPr="002D3735">
        <w:rPr>
          <w:rFonts w:ascii="Times New Roman" w:hAnsi="Times New Roman" w:cs="Times New Roman"/>
        </w:rPr>
        <w:t xml:space="preserve"> </w:t>
      </w:r>
      <w:r w:rsidRPr="002D3735">
        <w:rPr>
          <w:rFonts w:ascii="Times New Roman" w:hAnsi="Times New Roman" w:cs="Times New Roman"/>
          <w:b/>
          <w:bCs/>
        </w:rPr>
        <w:t>397</w:t>
      </w:r>
      <w:r w:rsidRPr="002D3735">
        <w:rPr>
          <w:rFonts w:ascii="Times New Roman" w:hAnsi="Times New Roman" w:cs="Times New Roman"/>
        </w:rPr>
        <w:t>, 199–207 (2021).</w:t>
      </w:r>
    </w:p>
    <w:p w14:paraId="0D755950"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38.</w:t>
      </w:r>
      <w:r w:rsidRPr="002D3735">
        <w:rPr>
          <w:rFonts w:ascii="Times New Roman" w:hAnsi="Times New Roman" w:cs="Times New Roman"/>
        </w:rPr>
        <w:tab/>
        <w:t xml:space="preserve">Bonde, A. N. </w:t>
      </w:r>
      <w:r w:rsidRPr="002D3735">
        <w:rPr>
          <w:rFonts w:ascii="Times New Roman" w:hAnsi="Times New Roman" w:cs="Times New Roman"/>
          <w:i/>
          <w:iCs/>
        </w:rPr>
        <w:t>et al.</w:t>
      </w:r>
      <w:r w:rsidRPr="002D3735">
        <w:rPr>
          <w:rFonts w:ascii="Times New Roman" w:hAnsi="Times New Roman" w:cs="Times New Roman"/>
        </w:rPr>
        <w:t xml:space="preserve"> Oral anticoagulation among atrial fibrillation patients with anaemia: an observational cohort study. </w:t>
      </w:r>
      <w:r w:rsidRPr="002D3735">
        <w:rPr>
          <w:rFonts w:ascii="Times New Roman" w:hAnsi="Times New Roman" w:cs="Times New Roman"/>
          <w:i/>
          <w:iCs/>
        </w:rPr>
        <w:t>Eur. Heart J.</w:t>
      </w:r>
      <w:r w:rsidRPr="002D3735">
        <w:rPr>
          <w:rFonts w:ascii="Times New Roman" w:hAnsi="Times New Roman" w:cs="Times New Roman"/>
        </w:rPr>
        <w:t xml:space="preserve"> </w:t>
      </w:r>
      <w:r w:rsidRPr="002D3735">
        <w:rPr>
          <w:rFonts w:ascii="Times New Roman" w:hAnsi="Times New Roman" w:cs="Times New Roman"/>
          <w:b/>
          <w:bCs/>
        </w:rPr>
        <w:t>40</w:t>
      </w:r>
      <w:r w:rsidRPr="002D3735">
        <w:rPr>
          <w:rFonts w:ascii="Times New Roman" w:hAnsi="Times New Roman" w:cs="Times New Roman"/>
        </w:rPr>
        <w:t>, 3782–3790 (2019).</w:t>
      </w:r>
    </w:p>
    <w:p w14:paraId="69EFFB7F"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39.</w:t>
      </w:r>
      <w:r w:rsidRPr="002D3735">
        <w:rPr>
          <w:rFonts w:ascii="Times New Roman" w:hAnsi="Times New Roman" w:cs="Times New Roman"/>
        </w:rPr>
        <w:tab/>
        <w:t xml:space="preserve">Xu, D. Z. </w:t>
      </w:r>
      <w:r w:rsidRPr="002D3735">
        <w:rPr>
          <w:rFonts w:ascii="Times New Roman" w:hAnsi="Times New Roman" w:cs="Times New Roman"/>
          <w:i/>
          <w:iCs/>
        </w:rPr>
        <w:t>et al.</w:t>
      </w:r>
      <w:r w:rsidRPr="002D3735">
        <w:rPr>
          <w:rFonts w:ascii="Times New Roman" w:hAnsi="Times New Roman" w:cs="Times New Roman"/>
        </w:rPr>
        <w:t xml:space="preserve"> Reduced kidney function and anemia as risk factors for new onset AF. </w:t>
      </w:r>
      <w:r w:rsidRPr="002D3735">
        <w:rPr>
          <w:rFonts w:ascii="Times New Roman" w:hAnsi="Times New Roman" w:cs="Times New Roman"/>
          <w:i/>
          <w:iCs/>
        </w:rPr>
        <w:t>Eur. Heart J.</w:t>
      </w:r>
      <w:r w:rsidRPr="002D3735">
        <w:rPr>
          <w:rFonts w:ascii="Times New Roman" w:hAnsi="Times New Roman" w:cs="Times New Roman"/>
        </w:rPr>
        <w:t xml:space="preserve"> </w:t>
      </w:r>
      <w:r w:rsidRPr="002D3735">
        <w:rPr>
          <w:rFonts w:ascii="Times New Roman" w:hAnsi="Times New Roman" w:cs="Times New Roman"/>
          <w:b/>
          <w:bCs/>
        </w:rPr>
        <w:t>34</w:t>
      </w:r>
      <w:r w:rsidRPr="002D3735">
        <w:rPr>
          <w:rFonts w:ascii="Times New Roman" w:hAnsi="Times New Roman" w:cs="Times New Roman"/>
        </w:rPr>
        <w:t>, P4271 (2013).</w:t>
      </w:r>
    </w:p>
    <w:p w14:paraId="36902223"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40.</w:t>
      </w:r>
      <w:r w:rsidRPr="002D3735">
        <w:rPr>
          <w:rFonts w:ascii="Times New Roman" w:hAnsi="Times New Roman" w:cs="Times New Roman"/>
        </w:rPr>
        <w:tab/>
        <w:t xml:space="preserve">Kim, M. </w:t>
      </w:r>
      <w:r w:rsidRPr="002D3735">
        <w:rPr>
          <w:rFonts w:ascii="Times New Roman" w:hAnsi="Times New Roman" w:cs="Times New Roman"/>
          <w:i/>
          <w:iCs/>
        </w:rPr>
        <w:t>et al.</w:t>
      </w:r>
      <w:r w:rsidRPr="002D3735">
        <w:rPr>
          <w:rFonts w:ascii="Times New Roman" w:hAnsi="Times New Roman" w:cs="Times New Roman"/>
        </w:rPr>
        <w:t xml:space="preserve"> Clinical relationship between anemia and atrial fibrillation recurrence after catheter ablation without genetic background. </w:t>
      </w:r>
      <w:r w:rsidRPr="002D3735">
        <w:rPr>
          <w:rFonts w:ascii="Times New Roman" w:hAnsi="Times New Roman" w:cs="Times New Roman"/>
          <w:i/>
          <w:iCs/>
        </w:rPr>
        <w:t>Int. J. Cardiol. Heart Vasc.</w:t>
      </w:r>
      <w:r w:rsidRPr="002D3735">
        <w:rPr>
          <w:rFonts w:ascii="Times New Roman" w:hAnsi="Times New Roman" w:cs="Times New Roman"/>
        </w:rPr>
        <w:t xml:space="preserve"> </w:t>
      </w:r>
      <w:r w:rsidRPr="002D3735">
        <w:rPr>
          <w:rFonts w:ascii="Times New Roman" w:hAnsi="Times New Roman" w:cs="Times New Roman"/>
          <w:b/>
          <w:bCs/>
        </w:rPr>
        <w:t>27</w:t>
      </w:r>
      <w:r w:rsidRPr="002D3735">
        <w:rPr>
          <w:rFonts w:ascii="Times New Roman" w:hAnsi="Times New Roman" w:cs="Times New Roman"/>
        </w:rPr>
        <w:t>, 100507 (2020).</w:t>
      </w:r>
    </w:p>
    <w:p w14:paraId="527A5AE0"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41.</w:t>
      </w:r>
      <w:r w:rsidRPr="002D3735">
        <w:rPr>
          <w:rFonts w:ascii="Times New Roman" w:hAnsi="Times New Roman" w:cs="Times New Roman"/>
        </w:rPr>
        <w:tab/>
        <w:t xml:space="preserve">Proietti, M. </w:t>
      </w:r>
      <w:r w:rsidRPr="002D3735">
        <w:rPr>
          <w:rFonts w:ascii="Times New Roman" w:hAnsi="Times New Roman" w:cs="Times New Roman"/>
          <w:i/>
          <w:iCs/>
        </w:rPr>
        <w:t>et al.</w:t>
      </w:r>
      <w:r w:rsidRPr="002D3735">
        <w:rPr>
          <w:rFonts w:ascii="Times New Roman" w:hAnsi="Times New Roman" w:cs="Times New Roman"/>
        </w:rPr>
        <w:t xml:space="preserve"> Frailty prevalence and impact on outcomes in patients with atrial fibrillation: A systematic review and meta-analysis of 1,187,000 patients. </w:t>
      </w:r>
      <w:r w:rsidRPr="002D3735">
        <w:rPr>
          <w:rFonts w:ascii="Times New Roman" w:hAnsi="Times New Roman" w:cs="Times New Roman"/>
          <w:i/>
          <w:iCs/>
        </w:rPr>
        <w:t>Ageing Res. Rev.</w:t>
      </w:r>
      <w:r w:rsidRPr="002D3735">
        <w:rPr>
          <w:rFonts w:ascii="Times New Roman" w:hAnsi="Times New Roman" w:cs="Times New Roman"/>
        </w:rPr>
        <w:t xml:space="preserve"> </w:t>
      </w:r>
      <w:r w:rsidRPr="002D3735">
        <w:rPr>
          <w:rFonts w:ascii="Times New Roman" w:hAnsi="Times New Roman" w:cs="Times New Roman"/>
          <w:b/>
          <w:bCs/>
        </w:rPr>
        <w:t>79</w:t>
      </w:r>
      <w:r w:rsidRPr="002D3735">
        <w:rPr>
          <w:rFonts w:ascii="Times New Roman" w:hAnsi="Times New Roman" w:cs="Times New Roman"/>
        </w:rPr>
        <w:t>, 101652 (2022).</w:t>
      </w:r>
    </w:p>
    <w:p w14:paraId="3AFD2C20"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42.</w:t>
      </w:r>
      <w:r w:rsidRPr="002D3735">
        <w:rPr>
          <w:rFonts w:ascii="Times New Roman" w:hAnsi="Times New Roman" w:cs="Times New Roman"/>
        </w:rPr>
        <w:tab/>
        <w:t xml:space="preserve">Pastori, D. </w:t>
      </w:r>
      <w:r w:rsidRPr="002D3735">
        <w:rPr>
          <w:rFonts w:ascii="Times New Roman" w:hAnsi="Times New Roman" w:cs="Times New Roman"/>
          <w:i/>
          <w:iCs/>
        </w:rPr>
        <w:t>et al.</w:t>
      </w:r>
      <w:r w:rsidRPr="002D3735">
        <w:rPr>
          <w:rFonts w:ascii="Times New Roman" w:hAnsi="Times New Roman" w:cs="Times New Roman"/>
        </w:rPr>
        <w:t xml:space="preserve"> Thrombocytopenia and Mortality Risk in Patients With Atrial Fibrillation: An Analysis From the START Registry. </w:t>
      </w:r>
      <w:r w:rsidRPr="002D3735">
        <w:rPr>
          <w:rFonts w:ascii="Times New Roman" w:hAnsi="Times New Roman" w:cs="Times New Roman"/>
          <w:i/>
          <w:iCs/>
        </w:rPr>
        <w:t>J. Am. Heart Assoc.</w:t>
      </w:r>
      <w:r w:rsidRPr="002D3735">
        <w:rPr>
          <w:rFonts w:ascii="Times New Roman" w:hAnsi="Times New Roman" w:cs="Times New Roman"/>
        </w:rPr>
        <w:t xml:space="preserve"> </w:t>
      </w:r>
      <w:r w:rsidRPr="002D3735">
        <w:rPr>
          <w:rFonts w:ascii="Times New Roman" w:hAnsi="Times New Roman" w:cs="Times New Roman"/>
          <w:b/>
          <w:bCs/>
        </w:rPr>
        <w:t>8</w:t>
      </w:r>
      <w:r w:rsidRPr="002D3735">
        <w:rPr>
          <w:rFonts w:ascii="Times New Roman" w:hAnsi="Times New Roman" w:cs="Times New Roman"/>
        </w:rPr>
        <w:t>, e012596 (2019).</w:t>
      </w:r>
    </w:p>
    <w:p w14:paraId="1D929EEB"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43.</w:t>
      </w:r>
      <w:r w:rsidRPr="002D3735">
        <w:rPr>
          <w:rFonts w:ascii="Times New Roman" w:hAnsi="Times New Roman" w:cs="Times New Roman"/>
        </w:rPr>
        <w:tab/>
        <w:t xml:space="preserve">Iyengar, V. </w:t>
      </w:r>
      <w:r w:rsidRPr="002D3735">
        <w:rPr>
          <w:rFonts w:ascii="Times New Roman" w:hAnsi="Times New Roman" w:cs="Times New Roman"/>
          <w:i/>
          <w:iCs/>
        </w:rPr>
        <w:t>et al.</w:t>
      </w:r>
      <w:r w:rsidRPr="002D3735">
        <w:rPr>
          <w:rFonts w:ascii="Times New Roman" w:hAnsi="Times New Roman" w:cs="Times New Roman"/>
        </w:rPr>
        <w:t xml:space="preserve"> Bleeding Risk in Atrial Fibrillation and Thrombocytopenia: A Propensity Matched Cohort Study. </w:t>
      </w:r>
      <w:r w:rsidRPr="002D3735">
        <w:rPr>
          <w:rFonts w:ascii="Times New Roman" w:hAnsi="Times New Roman" w:cs="Times New Roman"/>
          <w:i/>
          <w:iCs/>
        </w:rPr>
        <w:t>Blood</w:t>
      </w:r>
      <w:r w:rsidRPr="002D3735">
        <w:rPr>
          <w:rFonts w:ascii="Times New Roman" w:hAnsi="Times New Roman" w:cs="Times New Roman"/>
        </w:rPr>
        <w:t xml:space="preserve"> </w:t>
      </w:r>
      <w:r w:rsidRPr="002D3735">
        <w:rPr>
          <w:rFonts w:ascii="Times New Roman" w:hAnsi="Times New Roman" w:cs="Times New Roman"/>
          <w:b/>
          <w:bCs/>
        </w:rPr>
        <w:t>140</w:t>
      </w:r>
      <w:r w:rsidRPr="002D3735">
        <w:rPr>
          <w:rFonts w:ascii="Times New Roman" w:hAnsi="Times New Roman" w:cs="Times New Roman"/>
        </w:rPr>
        <w:t>, 345–346 (2022).</w:t>
      </w:r>
    </w:p>
    <w:p w14:paraId="1CE7684D"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44.</w:t>
      </w:r>
      <w:r w:rsidRPr="002D3735">
        <w:rPr>
          <w:rFonts w:ascii="Times New Roman" w:hAnsi="Times New Roman" w:cs="Times New Roman"/>
        </w:rPr>
        <w:tab/>
        <w:t xml:space="preserve">Gragnano, F. </w:t>
      </w:r>
      <w:r w:rsidRPr="002D3735">
        <w:rPr>
          <w:rFonts w:ascii="Times New Roman" w:hAnsi="Times New Roman" w:cs="Times New Roman"/>
          <w:i/>
          <w:iCs/>
        </w:rPr>
        <w:t>et al.</w:t>
      </w:r>
      <w:r w:rsidRPr="002D3735">
        <w:rPr>
          <w:rFonts w:ascii="Times New Roman" w:hAnsi="Times New Roman" w:cs="Times New Roman"/>
        </w:rPr>
        <w:t xml:space="preserve"> Impact of clinical presentation on bleeding risk after percutaneous coronary intervention and implications for the ARC-HBR definition. </w:t>
      </w:r>
      <w:r w:rsidRPr="002D3735">
        <w:rPr>
          <w:rFonts w:ascii="Times New Roman" w:hAnsi="Times New Roman" w:cs="Times New Roman"/>
          <w:i/>
          <w:iCs/>
        </w:rPr>
        <w:t>EuroIntervention J. Eur. Collab. Work. Group Interv. Cardiol. Eur. Soc. Cardiol.</w:t>
      </w:r>
      <w:r w:rsidRPr="002D3735">
        <w:rPr>
          <w:rFonts w:ascii="Times New Roman" w:hAnsi="Times New Roman" w:cs="Times New Roman"/>
        </w:rPr>
        <w:t xml:space="preserve"> </w:t>
      </w:r>
      <w:r w:rsidRPr="002D3735">
        <w:rPr>
          <w:rFonts w:ascii="Times New Roman" w:hAnsi="Times New Roman" w:cs="Times New Roman"/>
          <w:b/>
          <w:bCs/>
        </w:rPr>
        <w:t>17</w:t>
      </w:r>
      <w:r w:rsidRPr="002D3735">
        <w:rPr>
          <w:rFonts w:ascii="Times New Roman" w:hAnsi="Times New Roman" w:cs="Times New Roman"/>
        </w:rPr>
        <w:t>, e898–e909 (2021).</w:t>
      </w:r>
    </w:p>
    <w:p w14:paraId="74991E06"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45.</w:t>
      </w:r>
      <w:r w:rsidRPr="002D3735">
        <w:rPr>
          <w:rFonts w:ascii="Times New Roman" w:hAnsi="Times New Roman" w:cs="Times New Roman"/>
        </w:rPr>
        <w:tab/>
        <w:t xml:space="preserve">Zhu, W. </w:t>
      </w:r>
      <w:r w:rsidRPr="002D3735">
        <w:rPr>
          <w:rFonts w:ascii="Times New Roman" w:hAnsi="Times New Roman" w:cs="Times New Roman"/>
          <w:i/>
          <w:iCs/>
        </w:rPr>
        <w:t>et al.</w:t>
      </w:r>
      <w:r w:rsidRPr="002D3735">
        <w:rPr>
          <w:rFonts w:ascii="Times New Roman" w:hAnsi="Times New Roman" w:cs="Times New Roman"/>
        </w:rPr>
        <w:t xml:space="preserve"> Relation of Body Mass Index With Adverse Outcomes Among Patients With Atrial Fibrillation: A Meta-Analysis and Systematic Review. </w:t>
      </w:r>
      <w:r w:rsidRPr="002D3735">
        <w:rPr>
          <w:rFonts w:ascii="Times New Roman" w:hAnsi="Times New Roman" w:cs="Times New Roman"/>
          <w:i/>
          <w:iCs/>
        </w:rPr>
        <w:t>J. Am. Heart Assoc.</w:t>
      </w:r>
      <w:r w:rsidRPr="002D3735">
        <w:rPr>
          <w:rFonts w:ascii="Times New Roman" w:hAnsi="Times New Roman" w:cs="Times New Roman"/>
        </w:rPr>
        <w:t xml:space="preserve"> </w:t>
      </w:r>
      <w:r w:rsidRPr="002D3735">
        <w:rPr>
          <w:rFonts w:ascii="Times New Roman" w:hAnsi="Times New Roman" w:cs="Times New Roman"/>
          <w:b/>
          <w:bCs/>
        </w:rPr>
        <w:t>5</w:t>
      </w:r>
      <w:r w:rsidRPr="002D3735">
        <w:rPr>
          <w:rFonts w:ascii="Times New Roman" w:hAnsi="Times New Roman" w:cs="Times New Roman"/>
        </w:rPr>
        <w:t>, e004006 (2016).</w:t>
      </w:r>
    </w:p>
    <w:p w14:paraId="3121B408"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46.</w:t>
      </w:r>
      <w:r w:rsidRPr="002D3735">
        <w:rPr>
          <w:rFonts w:ascii="Times New Roman" w:hAnsi="Times New Roman" w:cs="Times New Roman"/>
        </w:rPr>
        <w:tab/>
        <w:t xml:space="preserve">Horwich, T. B., Fonarow, G. C. &amp; Clark, A. L. Obesity and the Obesity Paradox in Heart Failure. </w:t>
      </w:r>
      <w:r w:rsidRPr="002D3735">
        <w:rPr>
          <w:rFonts w:ascii="Times New Roman" w:hAnsi="Times New Roman" w:cs="Times New Roman"/>
          <w:i/>
          <w:iCs/>
        </w:rPr>
        <w:t>Prog. Cardiovasc. Dis.</w:t>
      </w:r>
      <w:r w:rsidRPr="002D3735">
        <w:rPr>
          <w:rFonts w:ascii="Times New Roman" w:hAnsi="Times New Roman" w:cs="Times New Roman"/>
        </w:rPr>
        <w:t xml:space="preserve"> </w:t>
      </w:r>
      <w:r w:rsidRPr="002D3735">
        <w:rPr>
          <w:rFonts w:ascii="Times New Roman" w:hAnsi="Times New Roman" w:cs="Times New Roman"/>
          <w:b/>
          <w:bCs/>
        </w:rPr>
        <w:t>61</w:t>
      </w:r>
      <w:r w:rsidRPr="002D3735">
        <w:rPr>
          <w:rFonts w:ascii="Times New Roman" w:hAnsi="Times New Roman" w:cs="Times New Roman"/>
        </w:rPr>
        <w:t>, 151–156 (2018).</w:t>
      </w:r>
    </w:p>
    <w:p w14:paraId="75046774"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47.</w:t>
      </w:r>
      <w:r w:rsidRPr="002D3735">
        <w:rPr>
          <w:rFonts w:ascii="Times New Roman" w:hAnsi="Times New Roman" w:cs="Times New Roman"/>
        </w:rPr>
        <w:tab/>
        <w:t xml:space="preserve">Proietti, M., Guiducci, E., Cheli, P. &amp; Lip, G. Y. H. Is There an Obesity Paradox for Outcomes in Atrial Fibrillation? A Systematic Review and Meta-Analysis of Non-Vitamin K Antagonist Oral Anticoagulant Trials. </w:t>
      </w:r>
      <w:r w:rsidRPr="002D3735">
        <w:rPr>
          <w:rFonts w:ascii="Times New Roman" w:hAnsi="Times New Roman" w:cs="Times New Roman"/>
          <w:i/>
          <w:iCs/>
        </w:rPr>
        <w:t>Stroke</w:t>
      </w:r>
      <w:r w:rsidRPr="002D3735">
        <w:rPr>
          <w:rFonts w:ascii="Times New Roman" w:hAnsi="Times New Roman" w:cs="Times New Roman"/>
        </w:rPr>
        <w:t xml:space="preserve"> </w:t>
      </w:r>
      <w:r w:rsidRPr="002D3735">
        <w:rPr>
          <w:rFonts w:ascii="Times New Roman" w:hAnsi="Times New Roman" w:cs="Times New Roman"/>
          <w:b/>
          <w:bCs/>
        </w:rPr>
        <w:t>48</w:t>
      </w:r>
      <w:r w:rsidRPr="002D3735">
        <w:rPr>
          <w:rFonts w:ascii="Times New Roman" w:hAnsi="Times New Roman" w:cs="Times New Roman"/>
        </w:rPr>
        <w:t>, 857–866 (2017).</w:t>
      </w:r>
    </w:p>
    <w:p w14:paraId="4501B118"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48.</w:t>
      </w:r>
      <w:r w:rsidRPr="002D3735">
        <w:rPr>
          <w:rFonts w:ascii="Times New Roman" w:hAnsi="Times New Roman" w:cs="Times New Roman"/>
        </w:rPr>
        <w:tab/>
        <w:t xml:space="preserve">Bertomeu-Gonzalez, V. </w:t>
      </w:r>
      <w:r w:rsidRPr="002D3735">
        <w:rPr>
          <w:rFonts w:ascii="Times New Roman" w:hAnsi="Times New Roman" w:cs="Times New Roman"/>
          <w:i/>
          <w:iCs/>
        </w:rPr>
        <w:t>et al.</w:t>
      </w:r>
      <w:r w:rsidRPr="002D3735">
        <w:rPr>
          <w:rFonts w:ascii="Times New Roman" w:hAnsi="Times New Roman" w:cs="Times New Roman"/>
        </w:rPr>
        <w:t xml:space="preserve"> Association of Body Mass Index With Clinical Outcomes in Patients With Atrial Fibrillation: A Report From the FANTASIIA Registry. </w:t>
      </w:r>
      <w:r w:rsidRPr="002D3735">
        <w:rPr>
          <w:rFonts w:ascii="Times New Roman" w:hAnsi="Times New Roman" w:cs="Times New Roman"/>
          <w:i/>
          <w:iCs/>
        </w:rPr>
        <w:t>J. Am. Heart Assoc.</w:t>
      </w:r>
      <w:r w:rsidRPr="002D3735">
        <w:rPr>
          <w:rFonts w:ascii="Times New Roman" w:hAnsi="Times New Roman" w:cs="Times New Roman"/>
        </w:rPr>
        <w:t xml:space="preserve"> </w:t>
      </w:r>
      <w:r w:rsidRPr="002D3735">
        <w:rPr>
          <w:rFonts w:ascii="Times New Roman" w:hAnsi="Times New Roman" w:cs="Times New Roman"/>
          <w:b/>
          <w:bCs/>
        </w:rPr>
        <w:t>9</w:t>
      </w:r>
      <w:r w:rsidRPr="002D3735">
        <w:rPr>
          <w:rFonts w:ascii="Times New Roman" w:hAnsi="Times New Roman" w:cs="Times New Roman"/>
        </w:rPr>
        <w:t>, e013789 (2020).</w:t>
      </w:r>
    </w:p>
    <w:p w14:paraId="6CF3CB8B"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t>49.</w:t>
      </w:r>
      <w:r w:rsidRPr="002D3735">
        <w:rPr>
          <w:rFonts w:ascii="Times New Roman" w:hAnsi="Times New Roman" w:cs="Times New Roman"/>
        </w:rPr>
        <w:tab/>
        <w:t xml:space="preserve">Guarascio, M. </w:t>
      </w:r>
      <w:r w:rsidRPr="002D3735">
        <w:rPr>
          <w:rFonts w:ascii="Times New Roman" w:hAnsi="Times New Roman" w:cs="Times New Roman"/>
          <w:i/>
          <w:iCs/>
        </w:rPr>
        <w:t>et al.</w:t>
      </w:r>
      <w:r w:rsidRPr="002D3735">
        <w:rPr>
          <w:rFonts w:ascii="Times New Roman" w:hAnsi="Times New Roman" w:cs="Times New Roman"/>
        </w:rPr>
        <w:t xml:space="preserve"> DOACs use in extreme body-weighted patients: results from the prospective START-register. </w:t>
      </w:r>
      <w:r w:rsidRPr="002D3735">
        <w:rPr>
          <w:rFonts w:ascii="Times New Roman" w:hAnsi="Times New Roman" w:cs="Times New Roman"/>
          <w:i/>
          <w:iCs/>
        </w:rPr>
        <w:t>Intern. Emerg. Med.</w:t>
      </w:r>
      <w:r w:rsidRPr="002D3735">
        <w:rPr>
          <w:rFonts w:ascii="Times New Roman" w:hAnsi="Times New Roman" w:cs="Times New Roman"/>
        </w:rPr>
        <w:t xml:space="preserve"> (2023) doi:10.1007/s11739-023-03334-4.</w:t>
      </w:r>
    </w:p>
    <w:p w14:paraId="5FD48DED" w14:textId="77777777" w:rsidR="002D3735" w:rsidRPr="002D3735" w:rsidRDefault="002D3735" w:rsidP="002D3735">
      <w:pPr>
        <w:pStyle w:val="Bibliografia"/>
        <w:spacing w:line="276" w:lineRule="auto"/>
        <w:rPr>
          <w:rFonts w:ascii="Times New Roman" w:hAnsi="Times New Roman" w:cs="Times New Roman"/>
        </w:rPr>
      </w:pPr>
      <w:r w:rsidRPr="002D3735">
        <w:rPr>
          <w:rFonts w:ascii="Times New Roman" w:hAnsi="Times New Roman" w:cs="Times New Roman"/>
        </w:rPr>
        <w:lastRenderedPageBreak/>
        <w:t>50.</w:t>
      </w:r>
      <w:r w:rsidRPr="002D3735">
        <w:rPr>
          <w:rFonts w:ascii="Times New Roman" w:hAnsi="Times New Roman" w:cs="Times New Roman"/>
        </w:rPr>
        <w:tab/>
        <w:t xml:space="preserve">Rajpurkar, P. &amp; Lungren, M. P. The Current and Future State of AI Interpretation of Medical Images. </w:t>
      </w:r>
      <w:r w:rsidRPr="002D3735">
        <w:rPr>
          <w:rFonts w:ascii="Times New Roman" w:hAnsi="Times New Roman" w:cs="Times New Roman"/>
          <w:i/>
          <w:iCs/>
        </w:rPr>
        <w:t>N. Engl. J. Med.</w:t>
      </w:r>
      <w:r w:rsidRPr="002D3735">
        <w:rPr>
          <w:rFonts w:ascii="Times New Roman" w:hAnsi="Times New Roman" w:cs="Times New Roman"/>
        </w:rPr>
        <w:t xml:space="preserve"> </w:t>
      </w:r>
      <w:r w:rsidRPr="002D3735">
        <w:rPr>
          <w:rFonts w:ascii="Times New Roman" w:hAnsi="Times New Roman" w:cs="Times New Roman"/>
          <w:b/>
          <w:bCs/>
        </w:rPr>
        <w:t>388</w:t>
      </w:r>
      <w:r w:rsidRPr="002D3735">
        <w:rPr>
          <w:rFonts w:ascii="Times New Roman" w:hAnsi="Times New Roman" w:cs="Times New Roman"/>
        </w:rPr>
        <w:t>, 1981–1990 (2023).</w:t>
      </w:r>
    </w:p>
    <w:p w14:paraId="7855B5CE" w14:textId="77777777" w:rsidR="002D3735" w:rsidRPr="001C78F9" w:rsidRDefault="002D3735" w:rsidP="002D3735">
      <w:pPr>
        <w:spacing w:afterLines="60" w:after="144" w:line="276" w:lineRule="auto"/>
        <w:jc w:val="both"/>
        <w:rPr>
          <w:rFonts w:ascii="Times New Roman" w:hAnsi="Times New Roman" w:cs="Times New Roman"/>
          <w:b/>
          <w:sz w:val="20"/>
          <w:szCs w:val="20"/>
        </w:rPr>
      </w:pPr>
      <w:r w:rsidRPr="002D3735">
        <w:rPr>
          <w:rFonts w:ascii="Times New Roman" w:hAnsi="Times New Roman" w:cs="Times New Roman"/>
          <w:b/>
        </w:rPr>
        <w:fldChar w:fldCharType="end"/>
      </w:r>
    </w:p>
    <w:p w14:paraId="1406A730" w14:textId="21F55195" w:rsidR="00DA663B" w:rsidRPr="00A473E3" w:rsidRDefault="00DA663B" w:rsidP="005059E8">
      <w:pPr>
        <w:spacing w:line="360" w:lineRule="auto"/>
        <w:jc w:val="both"/>
        <w:rPr>
          <w:rFonts w:ascii="Times New Roman" w:eastAsia="Times New Roman" w:hAnsi="Times New Roman" w:cs="Times New Roman"/>
          <w:lang w:val="en-US"/>
        </w:rPr>
      </w:pPr>
    </w:p>
    <w:p w14:paraId="5E489156" w14:textId="77777777" w:rsidR="00B826E3" w:rsidRPr="00A473E3" w:rsidRDefault="00B826E3" w:rsidP="00B826E3">
      <w:pPr>
        <w:rPr>
          <w:rFonts w:ascii="Times New Roman" w:hAnsi="Times New Roman" w:cs="Times New Roman"/>
          <w:lang w:val="en-US"/>
        </w:rPr>
      </w:pPr>
    </w:p>
    <w:p w14:paraId="20FC733A" w14:textId="77777777" w:rsidR="00B826E3" w:rsidRPr="00A473E3" w:rsidRDefault="00B826E3" w:rsidP="004E5C24">
      <w:pPr>
        <w:spacing w:line="480" w:lineRule="auto"/>
        <w:jc w:val="both"/>
        <w:rPr>
          <w:rFonts w:ascii="Times New Roman" w:hAnsi="Times New Roman" w:cs="Times New Roman"/>
          <w:lang w:val="en-US"/>
        </w:rPr>
      </w:pPr>
    </w:p>
    <w:p w14:paraId="0FDD2987" w14:textId="77777777" w:rsidR="00B826E3" w:rsidRPr="00A473E3" w:rsidRDefault="00B826E3" w:rsidP="004E5C24">
      <w:pPr>
        <w:spacing w:line="480" w:lineRule="auto"/>
        <w:jc w:val="both"/>
        <w:rPr>
          <w:rFonts w:ascii="Times New Roman" w:hAnsi="Times New Roman" w:cs="Times New Roman"/>
          <w:lang w:val="en-US"/>
        </w:rPr>
      </w:pPr>
    </w:p>
    <w:p w14:paraId="328ECF06" w14:textId="77777777" w:rsidR="00B826E3" w:rsidRPr="00A473E3" w:rsidRDefault="00B826E3" w:rsidP="004E5C24">
      <w:pPr>
        <w:spacing w:line="480" w:lineRule="auto"/>
        <w:jc w:val="both"/>
        <w:rPr>
          <w:rFonts w:ascii="Times New Roman" w:hAnsi="Times New Roman" w:cs="Times New Roman"/>
          <w:lang w:val="en-US"/>
        </w:rPr>
      </w:pPr>
    </w:p>
    <w:p w14:paraId="2BA8EEC0" w14:textId="77777777" w:rsidR="00B826E3" w:rsidRPr="00A473E3" w:rsidRDefault="00B826E3" w:rsidP="004E5C24">
      <w:pPr>
        <w:spacing w:line="480" w:lineRule="auto"/>
        <w:jc w:val="both"/>
        <w:rPr>
          <w:rFonts w:ascii="Times New Roman" w:hAnsi="Times New Roman" w:cs="Times New Roman"/>
          <w:lang w:val="en-US"/>
        </w:rPr>
      </w:pPr>
    </w:p>
    <w:p w14:paraId="0ADBFFDD" w14:textId="77777777" w:rsidR="005059E8" w:rsidRPr="00A473E3" w:rsidRDefault="005059E8" w:rsidP="004E5C24">
      <w:pPr>
        <w:spacing w:line="480" w:lineRule="auto"/>
        <w:jc w:val="both"/>
        <w:rPr>
          <w:rFonts w:ascii="Times New Roman" w:hAnsi="Times New Roman" w:cs="Times New Roman"/>
          <w:lang w:val="en-US"/>
        </w:rPr>
      </w:pPr>
    </w:p>
    <w:p w14:paraId="34F37908" w14:textId="77777777" w:rsidR="005059E8" w:rsidRPr="00A473E3" w:rsidRDefault="005059E8" w:rsidP="004E5C24">
      <w:pPr>
        <w:spacing w:line="480" w:lineRule="auto"/>
        <w:jc w:val="both"/>
        <w:rPr>
          <w:rFonts w:ascii="Times New Roman" w:hAnsi="Times New Roman" w:cs="Times New Roman"/>
          <w:lang w:val="en-US"/>
        </w:rPr>
      </w:pPr>
    </w:p>
    <w:p w14:paraId="7B770723" w14:textId="77777777" w:rsidR="005059E8" w:rsidRDefault="005059E8" w:rsidP="004E5C24">
      <w:pPr>
        <w:spacing w:line="480" w:lineRule="auto"/>
        <w:jc w:val="both"/>
        <w:rPr>
          <w:rFonts w:ascii="Times New Roman" w:hAnsi="Times New Roman" w:cs="Times New Roman"/>
          <w:lang w:val="en-US"/>
        </w:rPr>
      </w:pPr>
    </w:p>
    <w:p w14:paraId="2059C4C0" w14:textId="77777777" w:rsidR="00A11184" w:rsidRDefault="00A11184" w:rsidP="004E5C24">
      <w:pPr>
        <w:spacing w:line="480" w:lineRule="auto"/>
        <w:jc w:val="both"/>
        <w:rPr>
          <w:rFonts w:ascii="Times New Roman" w:hAnsi="Times New Roman" w:cs="Times New Roman"/>
          <w:lang w:val="en-US"/>
        </w:rPr>
      </w:pPr>
    </w:p>
    <w:p w14:paraId="2EDDB71E" w14:textId="77777777" w:rsidR="00A11184" w:rsidRDefault="00A11184" w:rsidP="004E5C24">
      <w:pPr>
        <w:spacing w:line="480" w:lineRule="auto"/>
        <w:jc w:val="both"/>
        <w:rPr>
          <w:rFonts w:ascii="Times New Roman" w:hAnsi="Times New Roman" w:cs="Times New Roman"/>
          <w:lang w:val="en-US"/>
        </w:rPr>
      </w:pPr>
    </w:p>
    <w:p w14:paraId="0AC6CAAD" w14:textId="77777777" w:rsidR="00A11184" w:rsidRDefault="00A11184" w:rsidP="004E5C24">
      <w:pPr>
        <w:spacing w:line="480" w:lineRule="auto"/>
        <w:jc w:val="both"/>
        <w:rPr>
          <w:rFonts w:ascii="Times New Roman" w:hAnsi="Times New Roman" w:cs="Times New Roman"/>
          <w:lang w:val="en-US"/>
        </w:rPr>
      </w:pPr>
    </w:p>
    <w:p w14:paraId="0759FAFC" w14:textId="77777777" w:rsidR="008D02BC" w:rsidRPr="00A473E3" w:rsidRDefault="008D02BC" w:rsidP="004E5C24">
      <w:pPr>
        <w:spacing w:line="480" w:lineRule="auto"/>
        <w:jc w:val="both"/>
        <w:rPr>
          <w:rFonts w:ascii="Times New Roman" w:hAnsi="Times New Roman" w:cs="Times New Roman"/>
          <w:b/>
          <w:lang w:val="en-US"/>
        </w:rPr>
      </w:pPr>
    </w:p>
    <w:p w14:paraId="21FE4880" w14:textId="77777777" w:rsidR="006D78CE" w:rsidRPr="002D3735" w:rsidRDefault="006D78CE" w:rsidP="006D78CE">
      <w:pPr>
        <w:rPr>
          <w:rFonts w:ascii="Times New Roman" w:hAnsi="Times New Roman" w:cs="Times New Roman"/>
          <w:color w:val="FF0000"/>
          <w:lang w:val="en-US"/>
        </w:rPr>
      </w:pPr>
    </w:p>
    <w:sectPr w:rsidR="006D78CE" w:rsidRPr="002D3735" w:rsidSect="00115F22">
      <w:headerReference w:type="default" r:id="rId16"/>
      <w:footerReference w:type="default" r:id="rId17"/>
      <w:pgSz w:w="11906" w:h="16838"/>
      <w:pgMar w:top="1701" w:right="1588" w:bottom="1701" w:left="209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BAADE" w14:textId="77777777" w:rsidR="0058391E" w:rsidRDefault="0058391E" w:rsidP="0051713B">
      <w:pPr>
        <w:spacing w:after="0" w:line="240" w:lineRule="auto"/>
      </w:pPr>
      <w:r>
        <w:separator/>
      </w:r>
    </w:p>
  </w:endnote>
  <w:endnote w:type="continuationSeparator" w:id="0">
    <w:p w14:paraId="24D596EE" w14:textId="77777777" w:rsidR="0058391E" w:rsidRDefault="0058391E" w:rsidP="005171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3928695"/>
      <w:docPartObj>
        <w:docPartGallery w:val="Page Numbers (Bottom of Page)"/>
        <w:docPartUnique/>
      </w:docPartObj>
    </w:sdtPr>
    <w:sdtEndPr>
      <w:rPr>
        <w:rFonts w:ascii="Times New Roman" w:hAnsi="Times New Roman" w:cs="Times New Roman"/>
        <w:sz w:val="20"/>
      </w:rPr>
    </w:sdtEndPr>
    <w:sdtContent>
      <w:p w14:paraId="41A6F2B9" w14:textId="77777777" w:rsidR="00115F22" w:rsidRPr="0051713B" w:rsidRDefault="00115F22" w:rsidP="0051713B">
        <w:pPr>
          <w:pStyle w:val="Pidipagina"/>
          <w:jc w:val="center"/>
          <w:rPr>
            <w:rFonts w:ascii="Times New Roman" w:hAnsi="Times New Roman" w:cs="Times New Roman"/>
            <w:sz w:val="20"/>
          </w:rPr>
        </w:pPr>
        <w:r w:rsidRPr="0051713B">
          <w:rPr>
            <w:rFonts w:ascii="Times New Roman" w:hAnsi="Times New Roman" w:cs="Times New Roman"/>
            <w:sz w:val="20"/>
          </w:rPr>
          <w:fldChar w:fldCharType="begin"/>
        </w:r>
        <w:r w:rsidRPr="0051713B">
          <w:rPr>
            <w:rFonts w:ascii="Times New Roman" w:hAnsi="Times New Roman" w:cs="Times New Roman"/>
            <w:sz w:val="20"/>
          </w:rPr>
          <w:instrText>PAGE   \* MERGEFORMAT</w:instrText>
        </w:r>
        <w:r w:rsidRPr="0051713B">
          <w:rPr>
            <w:rFonts w:ascii="Times New Roman" w:hAnsi="Times New Roman" w:cs="Times New Roman"/>
            <w:sz w:val="20"/>
          </w:rPr>
          <w:fldChar w:fldCharType="separate"/>
        </w:r>
        <w:r w:rsidR="00C83C92" w:rsidRPr="00C83C92">
          <w:rPr>
            <w:rFonts w:ascii="Times New Roman" w:hAnsi="Times New Roman" w:cs="Times New Roman"/>
            <w:noProof/>
            <w:sz w:val="20"/>
            <w:lang w:val="it-IT"/>
          </w:rPr>
          <w:t>36</w:t>
        </w:r>
        <w:r w:rsidRPr="0051713B">
          <w:rPr>
            <w:rFonts w:ascii="Times New Roman" w:hAnsi="Times New Roman" w:cs="Times New Roman"/>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EBDD26" w14:textId="77777777" w:rsidR="0058391E" w:rsidRDefault="0058391E" w:rsidP="0051713B">
      <w:pPr>
        <w:spacing w:after="0" w:line="240" w:lineRule="auto"/>
      </w:pPr>
      <w:r>
        <w:separator/>
      </w:r>
    </w:p>
  </w:footnote>
  <w:footnote w:type="continuationSeparator" w:id="0">
    <w:p w14:paraId="07F974EC" w14:textId="77777777" w:rsidR="0058391E" w:rsidRDefault="0058391E" w:rsidP="005171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1F9F1A" w14:textId="6BB2A0A2" w:rsidR="00115F22" w:rsidRDefault="00115F22">
    <w:pPr>
      <w:pStyle w:val="Intestazione"/>
    </w:pPr>
  </w:p>
  <w:p w14:paraId="4827813C" w14:textId="77777777" w:rsidR="00115F22" w:rsidRDefault="00115F22">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D0E06"/>
    <w:multiLevelType w:val="hybridMultilevel"/>
    <w:tmpl w:val="3AB245DC"/>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abstractNum w:abstractNumId="1" w15:restartNumberingAfterBreak="0">
    <w:nsid w:val="19017B8A"/>
    <w:multiLevelType w:val="hybridMultilevel"/>
    <w:tmpl w:val="4722608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 w15:restartNumberingAfterBreak="0">
    <w:nsid w:val="2AF37750"/>
    <w:multiLevelType w:val="hybridMultilevel"/>
    <w:tmpl w:val="36DE475C"/>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3" w15:restartNumberingAfterBreak="0">
    <w:nsid w:val="30F56FF8"/>
    <w:multiLevelType w:val="hybridMultilevel"/>
    <w:tmpl w:val="540CEACE"/>
    <w:lvl w:ilvl="0" w:tplc="04100001">
      <w:start w:val="1"/>
      <w:numFmt w:val="bullet"/>
      <w:lvlText w:val=""/>
      <w:lvlJc w:val="left"/>
      <w:pPr>
        <w:ind w:left="1440" w:hanging="360"/>
      </w:pPr>
      <w:rPr>
        <w:rFonts w:ascii="Symbol" w:hAnsi="Symbol" w:hint="default"/>
      </w:rPr>
    </w:lvl>
    <w:lvl w:ilvl="1" w:tplc="1708DC3A">
      <w:start w:val="12"/>
      <w:numFmt w:val="bullet"/>
      <w:lvlText w:val="•"/>
      <w:lvlJc w:val="left"/>
      <w:pPr>
        <w:ind w:left="2490" w:hanging="690"/>
      </w:pPr>
      <w:rPr>
        <w:rFonts w:ascii="Times New Roman" w:eastAsiaTheme="minorHAnsi" w:hAnsi="Times New Roman" w:cs="Times New Roman"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3C107752"/>
    <w:multiLevelType w:val="hybridMultilevel"/>
    <w:tmpl w:val="429E153E"/>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5FD454B"/>
    <w:multiLevelType w:val="hybridMultilevel"/>
    <w:tmpl w:val="07861BB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47AB2FDC"/>
    <w:multiLevelType w:val="hybridMultilevel"/>
    <w:tmpl w:val="C5666752"/>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7" w15:restartNumberingAfterBreak="0">
    <w:nsid w:val="53AE7BBE"/>
    <w:multiLevelType w:val="hybridMultilevel"/>
    <w:tmpl w:val="D482FDD6"/>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8" w15:restartNumberingAfterBreak="0">
    <w:nsid w:val="584B007A"/>
    <w:multiLevelType w:val="hybridMultilevel"/>
    <w:tmpl w:val="515811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A3623A7"/>
    <w:multiLevelType w:val="hybridMultilevel"/>
    <w:tmpl w:val="87E4C4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869679836">
    <w:abstractNumId w:val="4"/>
  </w:num>
  <w:num w:numId="2" w16cid:durableId="1414742239">
    <w:abstractNumId w:val="7"/>
  </w:num>
  <w:num w:numId="3" w16cid:durableId="1649164844">
    <w:abstractNumId w:val="1"/>
  </w:num>
  <w:num w:numId="4" w16cid:durableId="722606904">
    <w:abstractNumId w:val="3"/>
  </w:num>
  <w:num w:numId="5" w16cid:durableId="1121731319">
    <w:abstractNumId w:val="8"/>
  </w:num>
  <w:num w:numId="6" w16cid:durableId="1308700417">
    <w:abstractNumId w:val="0"/>
  </w:num>
  <w:num w:numId="7" w16cid:durableId="1444305426">
    <w:abstractNumId w:val="5"/>
  </w:num>
  <w:num w:numId="8" w16cid:durableId="296188190">
    <w:abstractNumId w:val="6"/>
  </w:num>
  <w:num w:numId="9" w16cid:durableId="1115832274">
    <w:abstractNumId w:val="2"/>
  </w:num>
  <w:num w:numId="10" w16cid:durableId="61895405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MxMzG2tDQ1MzI0MTZU0lEKTi0uzszPAykwqQUA5+/IxiwAAAA="/>
  </w:docVars>
  <w:rsids>
    <w:rsidRoot w:val="004E5C24"/>
    <w:rsid w:val="00007CDA"/>
    <w:rsid w:val="000214DB"/>
    <w:rsid w:val="00065836"/>
    <w:rsid w:val="0007467F"/>
    <w:rsid w:val="00085298"/>
    <w:rsid w:val="000907CF"/>
    <w:rsid w:val="000A4B1F"/>
    <w:rsid w:val="000F168C"/>
    <w:rsid w:val="000F2391"/>
    <w:rsid w:val="00115F22"/>
    <w:rsid w:val="001243C6"/>
    <w:rsid w:val="00193B10"/>
    <w:rsid w:val="001974C4"/>
    <w:rsid w:val="00252EF9"/>
    <w:rsid w:val="002625FD"/>
    <w:rsid w:val="00265262"/>
    <w:rsid w:val="002669EE"/>
    <w:rsid w:val="00267557"/>
    <w:rsid w:val="002713F4"/>
    <w:rsid w:val="00277E7F"/>
    <w:rsid w:val="002C46B2"/>
    <w:rsid w:val="002D3735"/>
    <w:rsid w:val="002D698D"/>
    <w:rsid w:val="002E4080"/>
    <w:rsid w:val="0030451B"/>
    <w:rsid w:val="003070DC"/>
    <w:rsid w:val="003272F5"/>
    <w:rsid w:val="00332286"/>
    <w:rsid w:val="003368AA"/>
    <w:rsid w:val="003368D2"/>
    <w:rsid w:val="003500C5"/>
    <w:rsid w:val="003504F1"/>
    <w:rsid w:val="00381713"/>
    <w:rsid w:val="00382F00"/>
    <w:rsid w:val="00392716"/>
    <w:rsid w:val="00393D3F"/>
    <w:rsid w:val="00395CA2"/>
    <w:rsid w:val="003A4961"/>
    <w:rsid w:val="003B68AD"/>
    <w:rsid w:val="003C44E7"/>
    <w:rsid w:val="003D423F"/>
    <w:rsid w:val="003D6698"/>
    <w:rsid w:val="003E0E67"/>
    <w:rsid w:val="003F78A6"/>
    <w:rsid w:val="00401269"/>
    <w:rsid w:val="004057A0"/>
    <w:rsid w:val="004263C8"/>
    <w:rsid w:val="00431C12"/>
    <w:rsid w:val="0043537D"/>
    <w:rsid w:val="004815E5"/>
    <w:rsid w:val="00482570"/>
    <w:rsid w:val="004B00BC"/>
    <w:rsid w:val="004C34BC"/>
    <w:rsid w:val="004C7C2C"/>
    <w:rsid w:val="004D6B5E"/>
    <w:rsid w:val="004E5C24"/>
    <w:rsid w:val="004F3AA0"/>
    <w:rsid w:val="00503E28"/>
    <w:rsid w:val="00504512"/>
    <w:rsid w:val="005059E8"/>
    <w:rsid w:val="0051633D"/>
    <w:rsid w:val="0051713B"/>
    <w:rsid w:val="00533C16"/>
    <w:rsid w:val="00547A22"/>
    <w:rsid w:val="0057559F"/>
    <w:rsid w:val="005762B3"/>
    <w:rsid w:val="00582899"/>
    <w:rsid w:val="0058308C"/>
    <w:rsid w:val="0058391E"/>
    <w:rsid w:val="005B49E0"/>
    <w:rsid w:val="005C50CC"/>
    <w:rsid w:val="005C51A1"/>
    <w:rsid w:val="00621FC7"/>
    <w:rsid w:val="00641BF8"/>
    <w:rsid w:val="00674755"/>
    <w:rsid w:val="006765F3"/>
    <w:rsid w:val="00691D86"/>
    <w:rsid w:val="006A609E"/>
    <w:rsid w:val="006B55B1"/>
    <w:rsid w:val="006D55B3"/>
    <w:rsid w:val="006D78CE"/>
    <w:rsid w:val="006E3FCC"/>
    <w:rsid w:val="00700F05"/>
    <w:rsid w:val="007118D8"/>
    <w:rsid w:val="00760600"/>
    <w:rsid w:val="00761C88"/>
    <w:rsid w:val="0077222F"/>
    <w:rsid w:val="007818AE"/>
    <w:rsid w:val="007862A6"/>
    <w:rsid w:val="007A7329"/>
    <w:rsid w:val="007B68D1"/>
    <w:rsid w:val="007C2405"/>
    <w:rsid w:val="007D71FA"/>
    <w:rsid w:val="00803682"/>
    <w:rsid w:val="00804605"/>
    <w:rsid w:val="00805257"/>
    <w:rsid w:val="00815EFB"/>
    <w:rsid w:val="0082520A"/>
    <w:rsid w:val="00834ACF"/>
    <w:rsid w:val="00836A6F"/>
    <w:rsid w:val="00837019"/>
    <w:rsid w:val="00855691"/>
    <w:rsid w:val="008628E8"/>
    <w:rsid w:val="00875E51"/>
    <w:rsid w:val="00891FE8"/>
    <w:rsid w:val="00895FD1"/>
    <w:rsid w:val="008D02BC"/>
    <w:rsid w:val="008E046E"/>
    <w:rsid w:val="008E3C35"/>
    <w:rsid w:val="008F3271"/>
    <w:rsid w:val="0091488A"/>
    <w:rsid w:val="009449AD"/>
    <w:rsid w:val="00955BC5"/>
    <w:rsid w:val="009727B2"/>
    <w:rsid w:val="009974E7"/>
    <w:rsid w:val="009A341C"/>
    <w:rsid w:val="009B21B6"/>
    <w:rsid w:val="009D507D"/>
    <w:rsid w:val="009E368D"/>
    <w:rsid w:val="009F4723"/>
    <w:rsid w:val="00A11184"/>
    <w:rsid w:val="00A27674"/>
    <w:rsid w:val="00A32CF9"/>
    <w:rsid w:val="00A3655C"/>
    <w:rsid w:val="00A43B35"/>
    <w:rsid w:val="00A473E3"/>
    <w:rsid w:val="00A56A72"/>
    <w:rsid w:val="00A76201"/>
    <w:rsid w:val="00A80D13"/>
    <w:rsid w:val="00A8228C"/>
    <w:rsid w:val="00AA5442"/>
    <w:rsid w:val="00AD10A4"/>
    <w:rsid w:val="00AD50A8"/>
    <w:rsid w:val="00AE042B"/>
    <w:rsid w:val="00AF1BAB"/>
    <w:rsid w:val="00B01AB2"/>
    <w:rsid w:val="00B11AB3"/>
    <w:rsid w:val="00B30246"/>
    <w:rsid w:val="00B4240D"/>
    <w:rsid w:val="00B541C6"/>
    <w:rsid w:val="00B5769B"/>
    <w:rsid w:val="00B61D4B"/>
    <w:rsid w:val="00B70EF1"/>
    <w:rsid w:val="00B73610"/>
    <w:rsid w:val="00B823AC"/>
    <w:rsid w:val="00B826E3"/>
    <w:rsid w:val="00B908F9"/>
    <w:rsid w:val="00B93E3B"/>
    <w:rsid w:val="00BB43D1"/>
    <w:rsid w:val="00BF152A"/>
    <w:rsid w:val="00BF26C7"/>
    <w:rsid w:val="00C22A32"/>
    <w:rsid w:val="00C34AEE"/>
    <w:rsid w:val="00C40598"/>
    <w:rsid w:val="00C55779"/>
    <w:rsid w:val="00C72618"/>
    <w:rsid w:val="00C77154"/>
    <w:rsid w:val="00C83C92"/>
    <w:rsid w:val="00C8483C"/>
    <w:rsid w:val="00CC1175"/>
    <w:rsid w:val="00CF561B"/>
    <w:rsid w:val="00D02C29"/>
    <w:rsid w:val="00D4488E"/>
    <w:rsid w:val="00D679FE"/>
    <w:rsid w:val="00D80A3C"/>
    <w:rsid w:val="00D87005"/>
    <w:rsid w:val="00DA663B"/>
    <w:rsid w:val="00DA79D1"/>
    <w:rsid w:val="00DB6112"/>
    <w:rsid w:val="00DC07F1"/>
    <w:rsid w:val="00DC21B0"/>
    <w:rsid w:val="00DE36B5"/>
    <w:rsid w:val="00DE78A0"/>
    <w:rsid w:val="00DF4911"/>
    <w:rsid w:val="00E01905"/>
    <w:rsid w:val="00E02E1F"/>
    <w:rsid w:val="00E166B8"/>
    <w:rsid w:val="00E27477"/>
    <w:rsid w:val="00E45111"/>
    <w:rsid w:val="00E6130B"/>
    <w:rsid w:val="00E67629"/>
    <w:rsid w:val="00E82011"/>
    <w:rsid w:val="00E87AA8"/>
    <w:rsid w:val="00EC6248"/>
    <w:rsid w:val="00ED2DDE"/>
    <w:rsid w:val="00EF4593"/>
    <w:rsid w:val="00F0049A"/>
    <w:rsid w:val="00F046E6"/>
    <w:rsid w:val="00F20BAD"/>
    <w:rsid w:val="00F236DF"/>
    <w:rsid w:val="00F33BBE"/>
    <w:rsid w:val="00F3568D"/>
    <w:rsid w:val="00F419B3"/>
    <w:rsid w:val="00F43BF1"/>
    <w:rsid w:val="00F4531E"/>
    <w:rsid w:val="00FA2064"/>
    <w:rsid w:val="00FB6C95"/>
    <w:rsid w:val="00FC1188"/>
    <w:rsid w:val="00FC5B2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F9F0B0"/>
  <w15:chartTrackingRefBased/>
  <w15:docId w15:val="{ECDE512B-935D-4069-AF4F-1B4EFE4F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E5C24"/>
    <w:pPr>
      <w:spacing w:line="256" w:lineRule="auto"/>
    </w:pPr>
    <w:rPr>
      <w:lang w:val="en-GB"/>
    </w:rPr>
  </w:style>
  <w:style w:type="paragraph" w:styleId="Titolo1">
    <w:name w:val="heading 1"/>
    <w:basedOn w:val="Normale"/>
    <w:next w:val="Normale"/>
    <w:link w:val="Titolo1Carattere"/>
    <w:uiPriority w:val="9"/>
    <w:qFormat/>
    <w:rsid w:val="00007CD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8D02B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4E5C24"/>
    <w:pPr>
      <w:autoSpaceDE w:val="0"/>
      <w:autoSpaceDN w:val="0"/>
      <w:adjustRightInd w:val="0"/>
      <w:spacing w:after="0" w:line="240" w:lineRule="auto"/>
    </w:pPr>
    <w:rPr>
      <w:rFonts w:ascii="Times New Roman" w:hAnsi="Times New Roman" w:cs="Times New Roman"/>
      <w:color w:val="000000"/>
      <w:sz w:val="24"/>
      <w:szCs w:val="24"/>
    </w:rPr>
  </w:style>
  <w:style w:type="paragraph" w:styleId="Paragrafoelenco">
    <w:name w:val="List Paragraph"/>
    <w:basedOn w:val="Normale"/>
    <w:uiPriority w:val="34"/>
    <w:qFormat/>
    <w:rsid w:val="00FA2064"/>
    <w:pPr>
      <w:ind w:left="720"/>
      <w:contextualSpacing/>
    </w:pPr>
  </w:style>
  <w:style w:type="paragraph" w:styleId="Bibliografia">
    <w:name w:val="Bibliography"/>
    <w:basedOn w:val="Normale"/>
    <w:next w:val="Normale"/>
    <w:uiPriority w:val="37"/>
    <w:unhideWhenUsed/>
    <w:rsid w:val="00DA663B"/>
    <w:pPr>
      <w:tabs>
        <w:tab w:val="left" w:pos="504"/>
      </w:tabs>
      <w:spacing w:after="240" w:line="240" w:lineRule="auto"/>
      <w:ind w:left="504" w:hanging="504"/>
    </w:pPr>
  </w:style>
  <w:style w:type="paragraph" w:styleId="NormaleWeb">
    <w:name w:val="Normal (Web)"/>
    <w:basedOn w:val="Normale"/>
    <w:uiPriority w:val="99"/>
    <w:semiHidden/>
    <w:unhideWhenUsed/>
    <w:rsid w:val="008E046E"/>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character" w:styleId="Enfasigrassetto">
    <w:name w:val="Strong"/>
    <w:basedOn w:val="Carpredefinitoparagrafo"/>
    <w:uiPriority w:val="22"/>
    <w:qFormat/>
    <w:rsid w:val="008E046E"/>
    <w:rPr>
      <w:b/>
      <w:bCs/>
    </w:rPr>
  </w:style>
  <w:style w:type="character" w:customStyle="1" w:styleId="Titolo1Carattere">
    <w:name w:val="Titolo 1 Carattere"/>
    <w:basedOn w:val="Carpredefinitoparagrafo"/>
    <w:link w:val="Titolo1"/>
    <w:uiPriority w:val="9"/>
    <w:rsid w:val="00007CDA"/>
    <w:rPr>
      <w:rFonts w:asciiTheme="majorHAnsi" w:eastAsiaTheme="majorEastAsia" w:hAnsiTheme="majorHAnsi" w:cstheme="majorBidi"/>
      <w:color w:val="2E74B5" w:themeColor="accent1" w:themeShade="BF"/>
      <w:sz w:val="32"/>
      <w:szCs w:val="32"/>
      <w:lang w:val="en-GB"/>
    </w:rPr>
  </w:style>
  <w:style w:type="character" w:customStyle="1" w:styleId="Titolo2Carattere">
    <w:name w:val="Titolo 2 Carattere"/>
    <w:basedOn w:val="Carpredefinitoparagrafo"/>
    <w:link w:val="Titolo2"/>
    <w:uiPriority w:val="9"/>
    <w:semiHidden/>
    <w:rsid w:val="008D02BC"/>
    <w:rPr>
      <w:rFonts w:asciiTheme="majorHAnsi" w:eastAsiaTheme="majorEastAsia" w:hAnsiTheme="majorHAnsi" w:cstheme="majorBidi"/>
      <w:color w:val="2E74B5" w:themeColor="accent1" w:themeShade="BF"/>
      <w:sz w:val="26"/>
      <w:szCs w:val="26"/>
      <w:lang w:val="en-GB"/>
    </w:rPr>
  </w:style>
  <w:style w:type="paragraph" w:styleId="Titolosommario">
    <w:name w:val="TOC Heading"/>
    <w:basedOn w:val="Titolo1"/>
    <w:next w:val="Normale"/>
    <w:uiPriority w:val="39"/>
    <w:unhideWhenUsed/>
    <w:qFormat/>
    <w:rsid w:val="008D02BC"/>
    <w:pPr>
      <w:spacing w:line="259" w:lineRule="auto"/>
      <w:outlineLvl w:val="9"/>
    </w:pPr>
    <w:rPr>
      <w:lang w:val="it-IT" w:eastAsia="it-IT"/>
    </w:rPr>
  </w:style>
  <w:style w:type="paragraph" w:styleId="Sommario1">
    <w:name w:val="toc 1"/>
    <w:basedOn w:val="Normale"/>
    <w:next w:val="Normale"/>
    <w:autoRedefine/>
    <w:uiPriority w:val="39"/>
    <w:unhideWhenUsed/>
    <w:rsid w:val="008D02BC"/>
    <w:pPr>
      <w:spacing w:after="100"/>
    </w:pPr>
  </w:style>
  <w:style w:type="paragraph" w:styleId="Sommario2">
    <w:name w:val="toc 2"/>
    <w:basedOn w:val="Normale"/>
    <w:next w:val="Normale"/>
    <w:autoRedefine/>
    <w:uiPriority w:val="39"/>
    <w:unhideWhenUsed/>
    <w:rsid w:val="008D02BC"/>
    <w:pPr>
      <w:tabs>
        <w:tab w:val="left" w:pos="660"/>
        <w:tab w:val="right" w:leader="dot" w:pos="8493"/>
      </w:tabs>
      <w:spacing w:after="100" w:line="360" w:lineRule="auto"/>
      <w:ind w:left="220"/>
    </w:pPr>
  </w:style>
  <w:style w:type="character" w:styleId="Collegamentoipertestuale">
    <w:name w:val="Hyperlink"/>
    <w:basedOn w:val="Carpredefinitoparagrafo"/>
    <w:uiPriority w:val="99"/>
    <w:unhideWhenUsed/>
    <w:rsid w:val="008D02BC"/>
    <w:rPr>
      <w:color w:val="0563C1" w:themeColor="hyperlink"/>
      <w:u w:val="single"/>
    </w:rPr>
  </w:style>
  <w:style w:type="paragraph" w:styleId="Testonotaapidipagina">
    <w:name w:val="footnote text"/>
    <w:basedOn w:val="Normale"/>
    <w:link w:val="TestonotaapidipaginaCarattere"/>
    <w:uiPriority w:val="99"/>
    <w:semiHidden/>
    <w:unhideWhenUsed/>
    <w:rsid w:val="0051713B"/>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1713B"/>
    <w:rPr>
      <w:sz w:val="20"/>
      <w:szCs w:val="20"/>
      <w:lang w:val="en-GB"/>
    </w:rPr>
  </w:style>
  <w:style w:type="character" w:styleId="Rimandonotaapidipagina">
    <w:name w:val="footnote reference"/>
    <w:basedOn w:val="Carpredefinitoparagrafo"/>
    <w:uiPriority w:val="99"/>
    <w:semiHidden/>
    <w:unhideWhenUsed/>
    <w:rsid w:val="0051713B"/>
    <w:rPr>
      <w:vertAlign w:val="superscript"/>
    </w:rPr>
  </w:style>
  <w:style w:type="paragraph" w:styleId="Intestazione">
    <w:name w:val="header"/>
    <w:basedOn w:val="Normale"/>
    <w:link w:val="IntestazioneCarattere"/>
    <w:uiPriority w:val="99"/>
    <w:unhideWhenUsed/>
    <w:rsid w:val="0051713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1713B"/>
    <w:rPr>
      <w:lang w:val="en-GB"/>
    </w:rPr>
  </w:style>
  <w:style w:type="paragraph" w:styleId="Pidipagina">
    <w:name w:val="footer"/>
    <w:basedOn w:val="Normale"/>
    <w:link w:val="PidipaginaCarattere"/>
    <w:unhideWhenUsed/>
    <w:rsid w:val="0051713B"/>
    <w:pPr>
      <w:tabs>
        <w:tab w:val="center" w:pos="4819"/>
        <w:tab w:val="right" w:pos="9638"/>
      </w:tabs>
      <w:spacing w:after="0" w:line="240" w:lineRule="auto"/>
    </w:pPr>
  </w:style>
  <w:style w:type="character" w:customStyle="1" w:styleId="PidipaginaCarattere">
    <w:name w:val="Piè di pagina Carattere"/>
    <w:basedOn w:val="Carpredefinitoparagrafo"/>
    <w:link w:val="Pidipagina"/>
    <w:rsid w:val="0051713B"/>
    <w:rPr>
      <w:lang w:val="en-GB"/>
    </w:rPr>
  </w:style>
  <w:style w:type="table" w:styleId="Tabellasemplice-2">
    <w:name w:val="Plain Table 2"/>
    <w:basedOn w:val="Tabellanormale"/>
    <w:uiPriority w:val="42"/>
    <w:rsid w:val="00FC5B25"/>
    <w:pPr>
      <w:spacing w:after="0" w:line="240" w:lineRule="auto"/>
    </w:pPr>
    <w:rPr>
      <w:rFonts w:ascii="Calibri" w:eastAsia="Calibri" w:hAnsi="Calibri" w:cs="Calibri"/>
      <w:lang w:val="en-GB" w:eastAsia="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gliatabella">
    <w:name w:val="Table Grid"/>
    <w:basedOn w:val="Tabellanormale"/>
    <w:uiPriority w:val="39"/>
    <w:rsid w:val="00DC07F1"/>
    <w:pPr>
      <w:spacing w:after="0" w:line="240" w:lineRule="auto"/>
    </w:pPr>
    <w:rPr>
      <w:rFonts w:ascii="Calibri" w:eastAsiaTheme="minorEastAsia" w:hAnsi="Calibri" w:cs="Calibri"/>
      <w:sz w:val="24"/>
      <w:szCs w:val="24"/>
      <w:lang w:val="en-GB" w:eastAsia="it-I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4">
    <w:name w:val="Plain Table 4"/>
    <w:basedOn w:val="Tabellanormale"/>
    <w:uiPriority w:val="44"/>
    <w:rsid w:val="00F046E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NormaleDiDA">
    <w:name w:val="NormaleDiDA"/>
    <w:basedOn w:val="Normale"/>
    <w:link w:val="NormaleDiDACarattere"/>
    <w:uiPriority w:val="99"/>
    <w:rsid w:val="00C83C92"/>
    <w:pPr>
      <w:widowControl w:val="0"/>
      <w:suppressAutoHyphens/>
      <w:spacing w:after="0" w:line="240" w:lineRule="auto"/>
    </w:pPr>
    <w:rPr>
      <w:rFonts w:ascii="Arial" w:eastAsia="SimSun" w:hAnsi="Arial" w:cs="Arial"/>
      <w:kern w:val="1"/>
      <w:sz w:val="20"/>
      <w:szCs w:val="20"/>
      <w:lang w:val="it-IT" w:eastAsia="zh-CN" w:bidi="hi-IN"/>
    </w:rPr>
  </w:style>
  <w:style w:type="character" w:customStyle="1" w:styleId="NormaleDiDACarattere">
    <w:name w:val="NormaleDiDA Carattere"/>
    <w:link w:val="NormaleDiDA"/>
    <w:uiPriority w:val="99"/>
    <w:locked/>
    <w:rsid w:val="00C83C92"/>
    <w:rPr>
      <w:rFonts w:ascii="Arial" w:eastAsia="SimSun" w:hAnsi="Arial" w:cs="Arial"/>
      <w:kern w:val="1"/>
      <w:sz w:val="20"/>
      <w:szCs w:val="20"/>
      <w:lang w:eastAsia="zh-CN" w:bidi="hi-IN"/>
    </w:rPr>
  </w:style>
  <w:style w:type="paragraph" w:styleId="Corpotesto">
    <w:name w:val="Body Text"/>
    <w:basedOn w:val="Normale"/>
    <w:link w:val="CorpotestoCarattere"/>
    <w:uiPriority w:val="1"/>
    <w:qFormat/>
    <w:rsid w:val="002D3735"/>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CorpotestoCarattere">
    <w:name w:val="Corpo testo Carattere"/>
    <w:basedOn w:val="Carpredefinitoparagrafo"/>
    <w:link w:val="Corpotesto"/>
    <w:uiPriority w:val="1"/>
    <w:rsid w:val="002D3735"/>
    <w:rPr>
      <w:rFonts w:ascii="Times New Roman" w:eastAsia="Times New Roman" w:hAnsi="Times New Roman" w:cs="Times New Roman"/>
      <w:sz w:val="24"/>
      <w:szCs w:val="24"/>
      <w:lang w:val="en-US"/>
    </w:rPr>
  </w:style>
  <w:style w:type="paragraph" w:styleId="Sommario3">
    <w:name w:val="toc 3"/>
    <w:basedOn w:val="Normale"/>
    <w:next w:val="Normale"/>
    <w:autoRedefine/>
    <w:uiPriority w:val="39"/>
    <w:unhideWhenUsed/>
    <w:rsid w:val="002713F4"/>
    <w:pPr>
      <w:spacing w:after="100" w:line="259" w:lineRule="auto"/>
      <w:ind w:left="440"/>
    </w:pPr>
    <w:rPr>
      <w:rFonts w:eastAsiaTheme="minorEastAsia" w:cs="Times New Roman"/>
      <w:lang w:val="it-IT" w:eastAsia="it-IT"/>
    </w:rPr>
  </w:style>
  <w:style w:type="paragraph" w:customStyle="1" w:styleId="TITOLOTNR">
    <w:name w:val="TITOLO TNR"/>
    <w:basedOn w:val="Titolo1"/>
    <w:link w:val="TITOLOTNRCarattere"/>
    <w:qFormat/>
    <w:rsid w:val="002713F4"/>
    <w:rPr>
      <w:rFonts w:ascii="Times New Roman" w:eastAsia="Times New Roman" w:hAnsi="Times New Roman" w:cs="Times New Roman"/>
      <w:b/>
      <w:bCs/>
      <w:color w:val="auto"/>
    </w:rPr>
  </w:style>
  <w:style w:type="character" w:customStyle="1" w:styleId="TITOLOTNRCarattere">
    <w:name w:val="TITOLO TNR Carattere"/>
    <w:basedOn w:val="Titolo1Carattere"/>
    <w:link w:val="TITOLOTNR"/>
    <w:rsid w:val="002713F4"/>
    <w:rPr>
      <w:rFonts w:ascii="Times New Roman" w:eastAsia="Times New Roman" w:hAnsi="Times New Roman" w:cs="Times New Roman"/>
      <w:b/>
      <w:bCs/>
      <w:color w:val="2E74B5" w:themeColor="accent1" w:themeShade="BF"/>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091008">
      <w:bodyDiv w:val="1"/>
      <w:marLeft w:val="0"/>
      <w:marRight w:val="0"/>
      <w:marTop w:val="0"/>
      <w:marBottom w:val="0"/>
      <w:divBdr>
        <w:top w:val="none" w:sz="0" w:space="0" w:color="auto"/>
        <w:left w:val="none" w:sz="0" w:space="0" w:color="auto"/>
        <w:bottom w:val="none" w:sz="0" w:space="0" w:color="auto"/>
        <w:right w:val="none" w:sz="0" w:space="0" w:color="auto"/>
      </w:divBdr>
    </w:div>
    <w:div w:id="753085486">
      <w:bodyDiv w:val="1"/>
      <w:marLeft w:val="0"/>
      <w:marRight w:val="0"/>
      <w:marTop w:val="0"/>
      <w:marBottom w:val="0"/>
      <w:divBdr>
        <w:top w:val="none" w:sz="0" w:space="0" w:color="auto"/>
        <w:left w:val="none" w:sz="0" w:space="0" w:color="auto"/>
        <w:bottom w:val="none" w:sz="0" w:space="0" w:color="auto"/>
        <w:right w:val="none" w:sz="0" w:space="0" w:color="auto"/>
      </w:divBdr>
    </w:div>
    <w:div w:id="1281108228">
      <w:bodyDiv w:val="1"/>
      <w:marLeft w:val="0"/>
      <w:marRight w:val="0"/>
      <w:marTop w:val="0"/>
      <w:marBottom w:val="0"/>
      <w:divBdr>
        <w:top w:val="none" w:sz="0" w:space="0" w:color="auto"/>
        <w:left w:val="none" w:sz="0" w:space="0" w:color="auto"/>
        <w:bottom w:val="none" w:sz="0" w:space="0" w:color="auto"/>
        <w:right w:val="none" w:sz="0" w:space="0" w:color="auto"/>
      </w:divBdr>
    </w:div>
    <w:div w:id="1736273317">
      <w:bodyDiv w:val="1"/>
      <w:marLeft w:val="0"/>
      <w:marRight w:val="0"/>
      <w:marTop w:val="0"/>
      <w:marBottom w:val="0"/>
      <w:divBdr>
        <w:top w:val="none" w:sz="0" w:space="0" w:color="auto"/>
        <w:left w:val="none" w:sz="0" w:space="0" w:color="auto"/>
        <w:bottom w:val="none" w:sz="0" w:space="0" w:color="auto"/>
        <w:right w:val="none" w:sz="0" w:space="0" w:color="auto"/>
      </w:divBdr>
    </w:div>
    <w:div w:id="1808933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172154-CFD0-4B81-BDCF-D6D759583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TotalTime>
  <Pages>33</Pages>
  <Words>36454</Words>
  <Characters>207793</Characters>
  <Application>Microsoft Office Word</Application>
  <DocSecurity>0</DocSecurity>
  <Lines>1731</Lines>
  <Paragraphs>487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Enrico B.</dc:creator>
  <cp:keywords/>
  <dc:description/>
  <cp:lastModifiedBy>Andrea Bernardini</cp:lastModifiedBy>
  <cp:revision>13</cp:revision>
  <dcterms:created xsi:type="dcterms:W3CDTF">2020-09-13T09:38:00Z</dcterms:created>
  <dcterms:modified xsi:type="dcterms:W3CDTF">2025-03-23T18:27:00Z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zotero-version="5.0.76"&gt;&lt;session id="xRP9p9gS"/&gt;&lt;style id="http://www.zotero.org/styles/vancouver" locale="en-US" hasBibliography="1" bibliographyStyleHasBeenSet="1"/&gt;&lt;prefs&gt;&lt;pref name="fieldType" value="Field"/&gt;&lt;/prefs&gt;&lt;/data&gt;</vt:lpwstr>
  </property>
</Properties>
</file>